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b/>
                <w:color w:val="38BDF8"/>
                <w:sz w:val="19"/>
              </w:rPr>
              <w:t>[GESTION DES SALAIRES &amp; PRÉLÈVEMENTS]</w:t>
              <w:br/>
            </w:r>
            <w:r>
              <w:rPr>
                <w:b/>
                <w:color w:val="FFFFFF"/>
                <w:sz w:val="34"/>
              </w:rPr>
              <w:t>MODULE OFFICIEL DES PRÉLÈVEMENTS &amp; BORDEREAUX DE PAIE</w:t>
              <w:br/>
            </w:r>
            <w:r>
              <w:rPr>
                <w:color w:val="CBD5E1"/>
                <w:sz w:val="21"/>
              </w:rPr>
              <w:t>Gestion Unifiée des Prélèvements sur Salaire ASECNA TOGO • Normes SYSCOHADA SFD</w:t>
            </w:r>
          </w:p>
        </w:tc>
      </w:tr>
    </w:tbl>
    <w:p/>
    <w:p>
      <w:pPr>
        <w:pStyle w:val="Heading1"/>
      </w:pPr>
      <w:r>
        <w:t>1. Règle de Terminologie Stricte : « Prélèvement »</w:t>
      </w:r>
    </w:p>
    <w:p>
      <w:r>
        <w:t>Sur l'ensemble des modules logiciels (Desktop, Mobile, API et États Comptables), la terminologie retenue de manière unique, exclusive et impérative est :</w:t>
        <w:br/>
        <w:br/>
        <w:t xml:space="preserve">                            « PRÉLÈVEMENT »</w:t>
        <w:br/>
        <w:br/>
        <w:t>Toute autre mention telle que « retenue sur salaire », « à la source », « à la base » ou « DRH » a été bannie pour consacrer le terme exact et officiel utilisé par les gestionnaires de paie et les coopérateurs.</w:t>
      </w:r>
    </w:p>
    <w:p>
      <w:pPr>
        <w:pStyle w:val="Heading1"/>
      </w:pPr>
      <w:r>
        <w:t>2. Chaîne de Traitement du Prélèvement Mensuel</w:t>
      </w:r>
    </w:p>
    <w:p>
      <w:r>
        <w:t>1. Consolidation des Engagements (J-5 avant clôture de paie) :</w:t>
        <w:br/>
        <w:t xml:space="preserve">   Le Core Banking consolide pour chaque sociétaire identifié par son matricule (ex. 130049) :</w:t>
        <w:br/>
        <w:t xml:space="preserve">   • L'épargne mensuelle programmée contractuelle.</w:t>
        <w:br/>
        <w:t xml:space="preserve">   • L'échéance mensuelle de crédit (capital amorti + intérêt).</w:t>
        <w:br/>
        <w:t xml:space="preserve">   • Les cotisations tontinières éventuelles.</w:t>
        <w:br/>
        <w:br/>
        <w:t>2. Émission du Bordereau Global de Prélèvement :</w:t>
        <w:br/>
        <w:t xml:space="preserve">   Génération du fichier récapitulatif signé transmis à la Direction Financière pour exécution directe sur les salaires du personnel.</w:t>
        <w:br/>
        <w:br/>
        <w:t>3. Réconciliation et Lettrage Automatique :</w:t>
        <w:br/>
        <w:t xml:space="preserve">   Dès réception du virement global de salaire, le système décompose automatiquement la somme et crédite chaque compte sociétaire respectif (Compte 251 Dépôts d'Épargne et Compte 204 Crédits octroyés).</w:t>
        <w:br/>
        <w:br/>
        <w:t>4. Émission des Reçus Numériques et Notifications :</w:t>
        <w:br/>
        <w:t xml:space="preserve">   Chaque sociétaire reçoit instantanément un accusé de réception sur son smartphone attestant du « Remboursement par prélèvement » avec mise à jour immédiate de son solde.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COOPECTAT ASECNA TOGO • Système Core Banking Banolia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