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36"/>
      </w:tblGrid>
      <w:tr>
        <w:tc>
          <w:tcPr>
            <w:tcW w:type="dxa" w:w="9792"/>
            <w:shd w:fill="0F172A"/>
            <w:tcMar>
              <w:top w:w="260" w:type="dxa"/>
              <w:bottom w:w="260" w:type="dxa"/>
              <w:left w:w="260" w:type="dxa"/>
              <w:right w:w="260" w:type="dxa"/>
            </w:tcMar>
          </w:tcPr>
          <w:p>
            <w:pPr>
              <w:jc w:val="center"/>
            </w:pPr>
            <w:r>
              <w:rPr>
                <w:b/>
                <w:color w:val="38BDF8"/>
                <w:sz w:val="19"/>
              </w:rPr>
              <w:t>[PHILOSOPHIE &amp; GOUVERNANCE COOPÉRATIVE]</w:t>
              <w:br/>
            </w:r>
            <w:r>
              <w:rPr>
                <w:b/>
                <w:color w:val="FFFFFF"/>
                <w:sz w:val="34"/>
              </w:rPr>
              <w:t>LE STATUT DU SOCIÉTAIRE ET LA CARTE EN GRIS TITANE</w:t>
              <w:br/>
            </w:r>
            <w:r>
              <w:rPr>
                <w:color w:val="CBD5E1"/>
                <w:sz w:val="21"/>
              </w:rPr>
              <w:t>Fondements Coopératifs • Philosophie Mutualiste • Différence avec un Client Bancaire</w:t>
              <w:br/>
              <w:t>COOPECTAT - ASECNA TOGO</w:t>
            </w:r>
          </w:p>
        </w:tc>
      </w:tr>
    </w:tbl>
    <w:p/>
    <w:p>
      <w:pPr>
        <w:pStyle w:val="Heading1"/>
      </w:pPr>
      <w:r>
        <w:t>1. C'est quoi un « Sociétaire » ?</w:t>
      </w:r>
    </w:p>
    <w:p>
      <w:r>
        <w:t>Dans une coopérative d'épargne et de crédit régie par l'Acte Uniforme OHADA (AUDSCOOP) et la réglementation SFD de la BCEAO, le sociétaire (ou coopérateur) n'est absolument pas un simple usager ou client passif.</w:t>
        <w:br/>
        <w:br/>
        <w:t>Le sociétaire est à la fois :</w:t>
        <w:br/>
        <w:t>1. Copropriétaire de l'institution : En souscrivant ses parts sociales (minimum 50 000 F CFA), il détient une fraction du capital social inaliénable de la coopérative.</w:t>
        <w:br/>
        <w:t>2. Décideur Démocratique : Il participe à l'Assemblée Générale annuelle où s'applique la règle d'or universelle :</w:t>
        <w:br/>
        <w:t xml:space="preserve">       « UNE PERSONNE = UNE VOIX »</w:t>
        <w:br/>
        <w:t xml:space="preserve">   Contrairement à une société anonyme ou une banque classique où celui qui a 51% des actions impose sa loi, en coopérative, l'agent technique le plus récent a exactement le même pouvoir de vote que le cadre dirigeant.</w:t>
        <w:br/>
        <w:t>3. Usager Privilégié et Bénéficiaire : Il est le seul habilité à solliciter des prêts, à épargner et à percevoir les ristournes issues des excédents d'exploitation.</w:t>
      </w:r>
    </w:p>
    <w:p>
      <w:pPr>
        <w:pStyle w:val="Heading1"/>
      </w:pPr>
      <w:r>
        <w:t>2. Comparatif Détaillé : Sociétaire vs Client Ordinaire</w:t>
      </w:r>
    </w:p>
    <w:tbl>
      <w:tblPr>
        <w:tblW w:type="auto" w:w="0"/>
        <w:jc w:val="center"/>
        <w:tblLook w:firstColumn="1" w:firstRow="1" w:lastColumn="0" w:lastRow="0" w:noHBand="0" w:noVBand="1" w:val="04A0"/>
      </w:tblPr>
      <w:tblGrid>
        <w:gridCol w:w="3312"/>
        <w:gridCol w:w="3312"/>
        <w:gridCol w:w="3312"/>
      </w:tblGrid>
      <w:tr>
        <w:tc>
          <w:tcPr>
            <w:tcW w:type="dxa" w:w="2160"/>
            <w:shd w:fill="0F172A"/>
            <w:tcMar>
              <w:top w:w="120" w:type="dxa"/>
              <w:bottom w:w="120" w:type="dxa"/>
              <w:left w:w="100" w:type="dxa"/>
              <w:right w:w="100" w:type="dxa"/>
            </w:tcMar>
          </w:tcPr>
          <w:p>
            <w:pPr>
              <w:jc w:val="center"/>
            </w:pPr>
            <w:r>
              <w:rPr>
                <w:b/>
                <w:color w:val="FFFFFF"/>
                <w:sz w:val="19"/>
              </w:rPr>
              <w:t>Critère</w:t>
            </w:r>
          </w:p>
        </w:tc>
        <w:tc>
          <w:tcPr>
            <w:tcW w:type="dxa" w:w="3744"/>
            <w:shd w:fill="0F172A"/>
            <w:tcMar>
              <w:top w:w="120" w:type="dxa"/>
              <w:bottom w:w="120" w:type="dxa"/>
              <w:left w:w="100" w:type="dxa"/>
              <w:right w:w="100" w:type="dxa"/>
            </w:tcMar>
          </w:tcPr>
          <w:p>
            <w:pPr>
              <w:jc w:val="center"/>
            </w:pPr>
            <w:r>
              <w:rPr>
                <w:b/>
                <w:color w:val="FFFFFF"/>
                <w:sz w:val="19"/>
              </w:rPr>
              <w:t>Client de Banque Commerciale</w:t>
            </w:r>
          </w:p>
        </w:tc>
        <w:tc>
          <w:tcPr>
            <w:tcW w:type="dxa" w:w="3888"/>
            <w:shd w:fill="0F172A"/>
            <w:tcMar>
              <w:top w:w="120" w:type="dxa"/>
              <w:bottom w:w="120" w:type="dxa"/>
              <w:left w:w="100" w:type="dxa"/>
              <w:right w:w="100" w:type="dxa"/>
            </w:tcMar>
          </w:tcPr>
          <w:p>
            <w:pPr>
              <w:jc w:val="center"/>
            </w:pPr>
            <w:r>
              <w:rPr>
                <w:b/>
                <w:color w:val="FFFFFF"/>
                <w:sz w:val="19"/>
              </w:rPr>
              <w:t>Sociétaire de la Coopérative COOPECTAT</w:t>
            </w:r>
          </w:p>
        </w:tc>
      </w:tr>
      <w:tr>
        <w:tc>
          <w:tcPr>
            <w:tcW w:type="dxa" w:w="2160"/>
            <w:shd w:fill="FFFFFF"/>
            <w:tcMar>
              <w:top w:w="90" w:type="dxa"/>
              <w:bottom w:w="90" w:type="dxa"/>
              <w:left w:w="100" w:type="dxa"/>
              <w:right w:w="100" w:type="dxa"/>
            </w:tcMar>
          </w:tcPr>
          <w:p>
            <w:pPr>
              <w:jc w:val="left"/>
            </w:pPr>
            <w:r>
              <w:rPr>
                <w:color w:val="0F172A"/>
                <w:sz w:val="18"/>
              </w:rPr>
              <w:t>Qualité Juridique</w:t>
            </w:r>
          </w:p>
        </w:tc>
        <w:tc>
          <w:tcPr>
            <w:tcW w:type="dxa" w:w="3744"/>
            <w:shd w:fill="FFFFFF"/>
            <w:tcMar>
              <w:top w:w="90" w:type="dxa"/>
              <w:bottom w:w="90" w:type="dxa"/>
              <w:left w:w="100" w:type="dxa"/>
              <w:right w:w="100" w:type="dxa"/>
            </w:tcMar>
          </w:tcPr>
          <w:p>
            <w:pPr>
              <w:jc w:val="center"/>
            </w:pPr>
            <w:r>
              <w:rPr>
                <w:color w:val="0F172A"/>
                <w:sz w:val="18"/>
              </w:rPr>
              <w:t>Tiers contractuel (client / consommateur)</w:t>
            </w:r>
          </w:p>
        </w:tc>
        <w:tc>
          <w:tcPr>
            <w:tcW w:type="dxa" w:w="3888"/>
            <w:shd w:fill="FFFFFF"/>
            <w:tcMar>
              <w:top w:w="90" w:type="dxa"/>
              <w:bottom w:w="90" w:type="dxa"/>
              <w:left w:w="100" w:type="dxa"/>
              <w:right w:w="100" w:type="dxa"/>
            </w:tcMar>
          </w:tcPr>
          <w:p>
            <w:pPr>
              <w:jc w:val="center"/>
            </w:pPr>
            <w:r>
              <w:rPr>
                <w:color w:val="0F172A"/>
                <w:sz w:val="18"/>
              </w:rPr>
              <w:t>Associé copropriétaire et membre à part entière</w:t>
            </w:r>
          </w:p>
        </w:tc>
      </w:tr>
      <w:tr>
        <w:tc>
          <w:tcPr>
            <w:tcW w:type="dxa" w:w="2160"/>
            <w:shd w:fill="F8FAFC"/>
            <w:tcMar>
              <w:top w:w="90" w:type="dxa"/>
              <w:bottom w:w="90" w:type="dxa"/>
              <w:left w:w="100" w:type="dxa"/>
              <w:right w:w="100" w:type="dxa"/>
            </w:tcMar>
          </w:tcPr>
          <w:p>
            <w:pPr>
              <w:jc w:val="left"/>
            </w:pPr>
            <w:r>
              <w:rPr>
                <w:color w:val="0F172A"/>
                <w:sz w:val="18"/>
              </w:rPr>
              <w:t>Pouvoir de Vote</w:t>
            </w:r>
          </w:p>
        </w:tc>
        <w:tc>
          <w:tcPr>
            <w:tcW w:type="dxa" w:w="3744"/>
            <w:shd w:fill="F8FAFC"/>
            <w:tcMar>
              <w:top w:w="90" w:type="dxa"/>
              <w:bottom w:w="90" w:type="dxa"/>
              <w:left w:w="100" w:type="dxa"/>
              <w:right w:w="100" w:type="dxa"/>
            </w:tcMar>
          </w:tcPr>
          <w:p>
            <w:pPr>
              <w:jc w:val="center"/>
            </w:pPr>
            <w:r>
              <w:rPr>
                <w:color w:val="0F172A"/>
                <w:sz w:val="18"/>
              </w:rPr>
              <w:t>Néant (les actionnaires votent selon leur capital)</w:t>
            </w:r>
          </w:p>
        </w:tc>
        <w:tc>
          <w:tcPr>
            <w:tcW w:type="dxa" w:w="3888"/>
            <w:shd w:fill="F8FAFC"/>
            <w:tcMar>
              <w:top w:w="90" w:type="dxa"/>
              <w:bottom w:w="90" w:type="dxa"/>
              <w:left w:w="100" w:type="dxa"/>
              <w:right w:w="100" w:type="dxa"/>
            </w:tcMar>
          </w:tcPr>
          <w:p>
            <w:pPr>
              <w:jc w:val="center"/>
            </w:pPr>
            <w:r>
              <w:rPr>
                <w:color w:val="0F172A"/>
                <w:sz w:val="18"/>
              </w:rPr>
              <w:t>Total : 1 Homme = 1 Voix à l'Assemblée Générale</w:t>
            </w:r>
          </w:p>
        </w:tc>
      </w:tr>
      <w:tr>
        <w:tc>
          <w:tcPr>
            <w:tcW w:type="dxa" w:w="2160"/>
            <w:shd w:fill="FFFFFF"/>
            <w:tcMar>
              <w:top w:w="90" w:type="dxa"/>
              <w:bottom w:w="90" w:type="dxa"/>
              <w:left w:w="100" w:type="dxa"/>
              <w:right w:w="100" w:type="dxa"/>
            </w:tcMar>
          </w:tcPr>
          <w:p>
            <w:pPr>
              <w:jc w:val="left"/>
            </w:pPr>
            <w:r>
              <w:rPr>
                <w:color w:val="0F172A"/>
                <w:sz w:val="18"/>
              </w:rPr>
              <w:t>Destination du Profit</w:t>
            </w:r>
          </w:p>
        </w:tc>
        <w:tc>
          <w:tcPr>
            <w:tcW w:type="dxa" w:w="3744"/>
            <w:shd w:fill="FFFFFF"/>
            <w:tcMar>
              <w:top w:w="90" w:type="dxa"/>
              <w:bottom w:w="90" w:type="dxa"/>
              <w:left w:w="100" w:type="dxa"/>
              <w:right w:w="100" w:type="dxa"/>
            </w:tcMar>
          </w:tcPr>
          <w:p>
            <w:pPr>
              <w:jc w:val="center"/>
            </w:pPr>
            <w:r>
              <w:rPr>
                <w:color w:val="0F172A"/>
                <w:sz w:val="18"/>
              </w:rPr>
              <w:t>Dividendes versés à des actionnaires privés</w:t>
            </w:r>
          </w:p>
        </w:tc>
        <w:tc>
          <w:tcPr>
            <w:tcW w:type="dxa" w:w="3888"/>
            <w:shd w:fill="FFFFFF"/>
            <w:tcMar>
              <w:top w:w="90" w:type="dxa"/>
              <w:bottom w:w="90" w:type="dxa"/>
              <w:left w:w="100" w:type="dxa"/>
              <w:right w:w="100" w:type="dxa"/>
            </w:tcMar>
          </w:tcPr>
          <w:p>
            <w:pPr>
              <w:jc w:val="center"/>
            </w:pPr>
            <w:r>
              <w:rPr>
                <w:color w:val="0F172A"/>
                <w:sz w:val="18"/>
              </w:rPr>
              <w:t>Ristournes réparties aux sociétaires et réserves communes</w:t>
            </w:r>
          </w:p>
        </w:tc>
      </w:tr>
      <w:tr>
        <w:tc>
          <w:tcPr>
            <w:tcW w:type="dxa" w:w="2160"/>
            <w:shd w:fill="F8FAFC"/>
            <w:tcMar>
              <w:top w:w="90" w:type="dxa"/>
              <w:bottom w:w="90" w:type="dxa"/>
              <w:left w:w="100" w:type="dxa"/>
              <w:right w:w="100" w:type="dxa"/>
            </w:tcMar>
          </w:tcPr>
          <w:p>
            <w:pPr>
              <w:jc w:val="left"/>
            </w:pPr>
            <w:r>
              <w:rPr>
                <w:color w:val="0F172A"/>
                <w:sz w:val="18"/>
              </w:rPr>
              <w:t>Politique de Crédit</w:t>
            </w:r>
          </w:p>
        </w:tc>
        <w:tc>
          <w:tcPr>
            <w:tcW w:type="dxa" w:w="3744"/>
            <w:shd w:fill="F8FAFC"/>
            <w:tcMar>
              <w:top w:w="90" w:type="dxa"/>
              <w:bottom w:w="90" w:type="dxa"/>
              <w:left w:w="100" w:type="dxa"/>
              <w:right w:w="100" w:type="dxa"/>
            </w:tcMar>
          </w:tcPr>
          <w:p>
            <w:pPr>
              <w:jc w:val="center"/>
            </w:pPr>
            <w:r>
              <w:rPr>
                <w:color w:val="0F172A"/>
                <w:sz w:val="18"/>
              </w:rPr>
              <w:t>Recherche du profit commercial maximal</w:t>
            </w:r>
          </w:p>
        </w:tc>
        <w:tc>
          <w:tcPr>
            <w:tcW w:type="dxa" w:w="3888"/>
            <w:shd w:fill="F8FAFC"/>
            <w:tcMar>
              <w:top w:w="90" w:type="dxa"/>
              <w:bottom w:w="90" w:type="dxa"/>
              <w:left w:w="100" w:type="dxa"/>
              <w:right w:w="100" w:type="dxa"/>
            </w:tcMar>
          </w:tcPr>
          <w:p>
            <w:pPr>
              <w:jc w:val="center"/>
            </w:pPr>
            <w:r>
              <w:rPr>
                <w:color w:val="0F172A"/>
                <w:sz w:val="18"/>
              </w:rPr>
              <w:t>Taux mutualisé juste couvrant strictly les frais (5% à 10%)</w:t>
            </w:r>
          </w:p>
        </w:tc>
      </w:tr>
      <w:tr>
        <w:tc>
          <w:tcPr>
            <w:tcW w:type="dxa" w:w="2160"/>
            <w:shd w:fill="FFFFFF"/>
            <w:tcMar>
              <w:top w:w="90" w:type="dxa"/>
              <w:bottom w:w="90" w:type="dxa"/>
              <w:left w:w="100" w:type="dxa"/>
              <w:right w:w="100" w:type="dxa"/>
            </w:tcMar>
          </w:tcPr>
          <w:p>
            <w:pPr>
              <w:jc w:val="left"/>
            </w:pPr>
            <w:r>
              <w:rPr>
                <w:color w:val="0F172A"/>
                <w:sz w:val="18"/>
              </w:rPr>
              <w:t>Régime des Frais</w:t>
            </w:r>
          </w:p>
        </w:tc>
        <w:tc>
          <w:tcPr>
            <w:tcW w:type="dxa" w:w="3744"/>
            <w:shd w:fill="FFFFFF"/>
            <w:tcMar>
              <w:top w:w="90" w:type="dxa"/>
              <w:bottom w:w="90" w:type="dxa"/>
              <w:left w:w="100" w:type="dxa"/>
              <w:right w:w="100" w:type="dxa"/>
            </w:tcMar>
          </w:tcPr>
          <w:p>
            <w:pPr>
              <w:jc w:val="center"/>
            </w:pPr>
            <w:r>
              <w:rPr>
                <w:color w:val="0F172A"/>
                <w:sz w:val="18"/>
              </w:rPr>
              <w:t>Frais de tenue de compte et commissions récurrentes</w:t>
            </w:r>
          </w:p>
        </w:tc>
        <w:tc>
          <w:tcPr>
            <w:tcW w:type="dxa" w:w="3888"/>
            <w:shd w:fill="FFFFFF"/>
            <w:tcMar>
              <w:top w:w="90" w:type="dxa"/>
              <w:bottom w:w="90" w:type="dxa"/>
              <w:left w:w="100" w:type="dxa"/>
              <w:right w:w="100" w:type="dxa"/>
            </w:tcMar>
          </w:tcPr>
          <w:p>
            <w:pPr>
              <w:jc w:val="center"/>
            </w:pPr>
            <w:r>
              <w:rPr>
                <w:color w:val="0F172A"/>
                <w:sz w:val="18"/>
              </w:rPr>
              <w:t>Transparence mutualiste, absence de commissions abusives</w:t>
            </w:r>
          </w:p>
        </w:tc>
      </w:tr>
      <w:tr>
        <w:tc>
          <w:tcPr>
            <w:tcW w:type="dxa" w:w="2160"/>
            <w:shd w:fill="F8FAFC"/>
            <w:tcMar>
              <w:top w:w="90" w:type="dxa"/>
              <w:bottom w:w="90" w:type="dxa"/>
              <w:left w:w="100" w:type="dxa"/>
              <w:right w:w="100" w:type="dxa"/>
            </w:tcMar>
          </w:tcPr>
          <w:p>
            <w:pPr>
              <w:jc w:val="left"/>
            </w:pPr>
            <w:r>
              <w:rPr>
                <w:color w:val="0F172A"/>
                <w:sz w:val="18"/>
              </w:rPr>
              <w:t>Solidarité</w:t>
            </w:r>
          </w:p>
        </w:tc>
        <w:tc>
          <w:tcPr>
            <w:tcW w:type="dxa" w:w="3744"/>
            <w:shd w:fill="F8FAFC"/>
            <w:tcMar>
              <w:top w:w="90" w:type="dxa"/>
              <w:bottom w:w="90" w:type="dxa"/>
              <w:left w:w="100" w:type="dxa"/>
              <w:right w:w="100" w:type="dxa"/>
            </w:tcMar>
          </w:tcPr>
          <w:p>
            <w:pPr>
              <w:jc w:val="center"/>
            </w:pPr>
            <w:r>
              <w:rPr>
                <w:color w:val="0F172A"/>
                <w:sz w:val="18"/>
              </w:rPr>
              <w:t>Relation bancaire froide et impersonnelle</w:t>
            </w:r>
          </w:p>
        </w:tc>
        <w:tc>
          <w:tcPr>
            <w:tcW w:type="dxa" w:w="3888"/>
            <w:shd w:fill="F8FAFC"/>
            <w:tcMar>
              <w:top w:w="90" w:type="dxa"/>
              <w:bottom w:w="90" w:type="dxa"/>
              <w:left w:w="100" w:type="dxa"/>
              <w:right w:w="100" w:type="dxa"/>
            </w:tcMar>
          </w:tcPr>
          <w:p>
            <w:pPr>
              <w:jc w:val="center"/>
            </w:pPr>
            <w:r>
              <w:rPr>
                <w:color w:val="0F172A"/>
                <w:sz w:val="18"/>
              </w:rPr>
              <w:t>Solidarité professionnelle entre collègues de l'ASECNA</w:t>
            </w:r>
          </w:p>
        </w:tc>
      </w:tr>
    </w:tbl>
    <w:p/>
    <w:p>
      <w:pPr>
        <w:pStyle w:val="Heading1"/>
      </w:pPr>
      <w:r>
        <w:t>3. Droits et Devoirs du Sociétaire</w:t>
      </w:r>
    </w:p>
    <w:p>
      <w:r>
        <w:t>Droits Institutionnels :</w:t>
        <w:br/>
        <w:t>• Droit d'élire et de se faire élire au Conseil d'Administration, Comité de Crédit et Commission de Surveillance.</w:t>
        <w:br/>
        <w:t>• Droit d'accès aux crédits subventionnés jusqu'à 15 000 000 F CFA remboursables par prélèvement.</w:t>
        <w:br/>
        <w:t>• Droit au dividende coopératif annuel voté en Assemblée Générale.</w:t>
        <w:br/>
        <w:t>• Droit de suivi transparent de ses opérations sur 18 mois via l'application mobile.</w:t>
        <w:br/>
        <w:br/>
        <w:t>Devoirs et Engagements :</w:t>
        <w:br/>
        <w:t>• Libérer la souscription minimale de 5 parts sociales (50 000 F CFA).</w:t>
        <w:br/>
        <w:t>• Respecter scrupuleusement les remboursements pour préserver le fonds commun des collègues.</w:t>
        <w:br/>
        <w:t>• Se déplacer physiquement au guichet pour émarger lors de tout décaissement d'espèces.</w:t>
      </w:r>
    </w:p>
    <w:p>
      <w:pPr>
        <w:pStyle w:val="Heading1"/>
      </w:pPr>
      <w:r>
        <w:t>4. La Carte du Sociétaire (Livrée en Gris Titane &amp; Acier)</w:t>
      </w:r>
    </w:p>
    <w:p>
      <w:r>
        <w:t>Dans l'application mobile et aux guichets, la carte sociétaire arbore désormais une robe officielle en Gris Titane &amp; Acier Métallisé :</w:t>
        <w:br/>
        <w:br/>
        <w:t>• Teinte Symbolique : Dégradé harmonieux de nuances ardoise (#64748B, #475569, #334155, #1E293B).</w:t>
        <w:br/>
        <w:t>• Signification : Évoque la rigueur technique, la sécurité aéronautique et l'élégance institutionnelle du personnel ASECNA.</w:t>
        <w:br/>
        <w:t>• Éléments Identifiants : Nom complet du sociétaire, Matricule officiel (ex. 130049), Numéro de compte normalisé (2512 1100 1300 4901) et puce sécurisée NFC pour identification aux guichets.</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94A3B8"/>
        <w:sz w:val="17"/>
      </w:rPr>
      <w:t>COOPECTAT ASECNA TOGO • Système Core Banking Banolia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