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E40AF"/>
          <w:sz w:val="52"/>
        </w:rPr>
        <w:t>LOGIMED TINGO MARÍA</w:t>
      </w:r>
    </w:p>
    <w:p>
      <w:pPr>
        <w:jc w:val="center"/>
      </w:pPr>
      <w:r>
        <w:rPr>
          <w:color w:val="64748B"/>
          <w:sz w:val="32"/>
        </w:rPr>
        <w:t>Sistema de Transporte y Logística</w:t>
      </w:r>
    </w:p>
    <w:p/>
    <w:p>
      <w:pPr>
        <w:jc w:val="center"/>
      </w:pPr>
      <w:r>
        <w:rPr>
          <w:b/>
          <w:color w:val="1E293B"/>
          <w:sz w:val="40"/>
        </w:rPr>
        <w:t>Configuración y Parametrización</w:t>
      </w:r>
    </w:p>
    <w:p/>
    <w:p>
      <w:pPr>
        <w:jc w:val="center"/>
      </w:pPr>
      <w:r>
        <w:rPr>
          <w:color w:val="64748B"/>
          <w:sz w:val="24"/>
        </w:rPr>
        <w:t>Archivo: config.json</w:t>
      </w:r>
    </w:p>
    <w:p/>
    <w:p>
      <w:pPr>
        <w:jc w:val="center"/>
      </w:pPr>
      <w:r>
        <w:rPr>
          <w:color w:val="64748B"/>
          <w:sz w:val="24"/>
        </w:rPr>
        <w:t>Sesión 9: Configuración y Parametrización</w:t>
      </w:r>
    </w:p>
    <w:p>
      <w:r>
        <w:br w:type="page"/>
      </w:r>
    </w:p>
    <w:p>
      <w:pPr>
        <w:pStyle w:val="Heading1"/>
      </w:pPr>
      <w:r>
        <w:rPr>
          <w:color w:val="1E40AF"/>
        </w:rPr>
        <w:t>1. Contenido del archivo config.json</w:t>
      </w:r>
    </w:p>
    <w:p>
      <w:r>
        <w:rPr>
          <w:rFonts w:ascii="Consolas" w:hAnsi="Consolas"/>
          <w:color w:val="1E293B"/>
          <w:sz w:val="18"/>
        </w:rPr>
        <w:t>{</w:t>
        <w:br/>
        <w:t xml:space="preserve">  "configuracion": {</w:t>
        <w:br/>
        <w:t xml:space="preserve">    "servidor": {</w:t>
        <w:br/>
        <w:t xml:space="preserve">      "puerto": 4000,</w:t>
        <w:br/>
        <w:t xml:space="preserve">      "zonaHoraria": "America/Lima"</w:t>
        <w:br/>
        <w:t xml:space="preserve">    },</w:t>
        <w:br/>
        <w:t xml:space="preserve">    "baseDatos": {</w:t>
        <w:br/>
        <w:t xml:space="preserve">      "usar": true,</w:t>
        <w:br/>
        <w:t xml:space="preserve">      "url": "postgresql://usuario:password@host:5432/postgres"</w:t>
        <w:br/>
        <w:t xml:space="preserve">    },</w:t>
        <w:br/>
        <w:t xml:space="preserve">    "api": {</w:t>
        <w:br/>
        <w:t xml:space="preserve">      "urlBaseFrontend": "http://localhost:4000",</w:t>
        <w:br/>
        <w:t xml:space="preserve">      "dniUrl": "https://api.decolecta.com/v1/reniec/dni",</w:t>
        <w:br/>
        <w:t xml:space="preserve">      "dniToken": ""</w:t>
        <w:br/>
        <w:t xml:space="preserve">    },</w:t>
        <w:br/>
        <w:t xml:space="preserve">    "auth": {</w:t>
        <w:br/>
        <w:t xml:space="preserve">      "adminUser": "admin",</w:t>
        <w:br/>
        <w:t xml:space="preserve">      "adminPass": "admin123",</w:t>
        <w:br/>
        <w:t xml:space="preserve">      "seedNombre": "Walter",</w:t>
        <w:br/>
        <w:t xml:space="preserve">      "seedEmail": "wruizmarin21@gmail.com",</w:t>
        <w:br/>
        <w:t xml:space="preserve">      "seedPassword": "wally21",</w:t>
        <w:br/>
        <w:t xml:space="preserve">      "tokenKey": "adminToken",</w:t>
        <w:br/>
        <w:t xml:space="preserve">      "userKey": "adminUser"</w:t>
        <w:br/>
        <w:t xml:space="preserve">    }</w:t>
        <w:br/>
        <w:t xml:space="preserve">  },</w:t>
        <w:br/>
        <w:t xml:space="preserve">  "parametrizacion": {</w:t>
        <w:br/>
        <w:t xml:space="preserve">    "tarifas": {</w:t>
        <w:br/>
        <w:t xml:space="preserve">      "precioEstandarSoles": 10,</w:t>
        <w:br/>
        <w:t xml:space="preserve">      "pesoLimiteKg": 2,</w:t>
        <w:br/>
        <w:t xml:space="preserve">      "moneda": "soles"</w:t>
        <w:br/>
        <w:t xml:space="preserve">    },</w:t>
        <w:br/>
        <w:t xml:space="preserve">    "paquetes": {</w:t>
        <w:br/>
        <w:t xml:space="preserve">      "estados": ["En Almacén", "En Tránsito", "Entregado", "Intento fallido"],</w:t>
        <w:br/>
        <w:t xml:space="preserve">      "prefijoSeguimiento": "TM-",</w:t>
        <w:br/>
        <w:t xml:space="preserve">      "metodosPago": ["tarjeta", "yape", "efectivo"]</w:t>
        <w:br/>
        <w:t xml:space="preserve">    },</w:t>
        <w:br/>
        <w:t xml:space="preserve">    "telefonos": {</w:t>
        <w:br/>
        <w:t xml:space="preserve">      "paisPorDefecto": "PE",</w:t>
        <w:br/>
        <w:t xml:space="preserve">      "paises": [</w:t>
        <w:br/>
        <w:t xml:space="preserve">        { "iso": "PE", "nombre": "Peru", "dialCode": "51", "digits": 9 },</w:t>
        <w:br/>
        <w:t xml:space="preserve">        { "iso": "CL", "nombre": "Chile", "dialCode": "56", "digits": 9 },</w:t>
        <w:br/>
        <w:t xml:space="preserve">        { "iso": "CO", "nombre": "Colombia", "dialCode": "57", "digits": 10 },</w:t>
        <w:br/>
        <w:t xml:space="preserve">        { "iso": "EC", "nombre": "Ecuador", "dialCode": "593", "digits": 9 },</w:t>
        <w:br/>
        <w:t xml:space="preserve">        { "iso": "MX", "nombre": "Mexico", "dialCode": "52", "digits": 10 },</w:t>
        <w:br/>
        <w:t xml:space="preserve">        { "iso": "US", "nombre": "Estados Unidos", "dialCode": "1", "digits": 10 },</w:t>
        <w:br/>
        <w:t xml:space="preserve">        { "iso": "BO", "nombre": "Bolivia", "dialCode": "591", "digits": 8 },</w:t>
        <w:br/>
        <w:t xml:space="preserve">        { "iso": "AR", "nombre": "Argentina", "dialCode": "54", "digits": 10 },</w:t>
        <w:br/>
        <w:t xml:space="preserve">        { "iso": "BR", "nombre": "Brasil", "dialCode": "55", "digits": 11 }</w:t>
        <w:br/>
        <w:t xml:space="preserve">      ]</w:t>
        <w:br/>
        <w:t xml:space="preserve">    }</w:t>
        <w:br/>
        <w:t xml:space="preserve">  }</w:t>
        <w:br/>
        <w:t>}</w:t>
        <w:br/>
      </w:r>
    </w:p>
    <w:p/>
    <w:p>
      <w:pPr>
        <w:pStyle w:val="Heading1"/>
      </w:pPr>
      <w:r>
        <w:rPr>
          <w:color w:val="1E40AF"/>
        </w:rPr>
        <w:t>2. Líneas de CONFIGURACIÓN</w:t>
      </w:r>
    </w:p>
    <w:p>
      <w:r>
        <w:rPr>
          <w:b/>
        </w:rPr>
        <w:t xml:space="preserve">Definición: </w:t>
      </w:r>
      <w:r>
        <w:rPr>
          <w:color w:val="64748B"/>
        </w:rPr>
        <w:t>Valores técnicos que definen cómo opera el sistema (entorno, conexiones, credenciales). Cambian según el despliegue (desarrollo/producción) pero no según reglas de negocio.</w:t>
      </w:r>
    </w:p>
    <w:p>
      <w:pPr>
        <w:pStyle w:val="Heading2"/>
      </w:pPr>
      <w:r>
        <w:rPr>
          <w:color w:val="1E293B"/>
        </w:rPr>
        <w:t>2.1 Servidor (líneas 3–5)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64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Línea</w:t>
            </w:r>
          </w:p>
        </w:tc>
        <w:tc>
          <w:tcPr>
            <w:tcW w:type="dxa" w:w="2160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Clave</w:t>
            </w:r>
          </w:p>
        </w:tc>
        <w:tc>
          <w:tcPr>
            <w:tcW w:type="dxa" w:w="3168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2160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puerto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4000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Configuración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zonaHoraria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America/Lima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Configuración</w:t>
            </w:r>
          </w:p>
        </w:tc>
      </w:tr>
    </w:tbl>
    <w:p/>
    <w:p>
      <w:pPr>
        <w:pStyle w:val="Heading2"/>
      </w:pPr>
      <w:r>
        <w:rPr>
          <w:color w:val="1E293B"/>
        </w:rPr>
        <w:t>2.2 Base de datos (líneas 7–9)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64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Línea</w:t>
            </w:r>
          </w:p>
        </w:tc>
        <w:tc>
          <w:tcPr>
            <w:tcW w:type="dxa" w:w="1440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Clave</w:t>
            </w:r>
          </w:p>
        </w:tc>
        <w:tc>
          <w:tcPr>
            <w:tcW w:type="dxa" w:w="4608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1728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usar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true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Configuración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url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postgresql://usuario:password@host:5432/postgres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Configuración</w:t>
            </w:r>
          </w:p>
        </w:tc>
      </w:tr>
    </w:tbl>
    <w:p/>
    <w:p>
      <w:pPr>
        <w:pStyle w:val="Heading2"/>
      </w:pPr>
      <w:r>
        <w:rPr>
          <w:color w:val="1E293B"/>
        </w:rPr>
        <w:t>2.3 API (líneas 11–14)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64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Línea</w:t>
            </w:r>
          </w:p>
        </w:tc>
        <w:tc>
          <w:tcPr>
            <w:tcW w:type="dxa" w:w="2160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Clave</w:t>
            </w:r>
          </w:p>
        </w:tc>
        <w:tc>
          <w:tcPr>
            <w:tcW w:type="dxa" w:w="3600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1728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urlBaseFrontend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http://localhost:4000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Configuración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dniUrl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https://api.decolecta.com/v1/reniec/dni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Configuración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dniToken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(vacío — se configura en .env)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Configuración</w:t>
            </w:r>
          </w:p>
        </w:tc>
      </w:tr>
    </w:tbl>
    <w:p/>
    <w:p>
      <w:pPr>
        <w:pStyle w:val="Heading2"/>
      </w:pPr>
      <w:r>
        <w:rPr>
          <w:color w:val="1E293B"/>
        </w:rPr>
        <w:t>2.4 Autenticación (líneas 16–23)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64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Línea</w:t>
            </w:r>
          </w:p>
        </w:tc>
        <w:tc>
          <w:tcPr>
            <w:tcW w:type="dxa" w:w="2160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Clave</w:t>
            </w:r>
          </w:p>
        </w:tc>
        <w:tc>
          <w:tcPr>
            <w:tcW w:type="dxa" w:w="3600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1728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adminUser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Configuración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adminPass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admin123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Configuración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seedNombre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Walter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Configuración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seedEmail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wruizmarin21@gmail.com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Configuración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seedPassword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wally21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Configuración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21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tokenKey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adminToken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Configuración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userKey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adminUser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Configuración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40AF"/>
        </w:rPr>
        <w:t>3. Líneas de PARAMETRIZACIÓN</w:t>
      </w:r>
    </w:p>
    <w:p>
      <w:r>
        <w:rPr>
          <w:b/>
        </w:rPr>
        <w:t xml:space="preserve">Definición: </w:t>
      </w:r>
      <w:r>
        <w:rPr>
          <w:color w:val="64748B"/>
        </w:rPr>
        <w:t>Reglas de negocio o valores que el administrador/empresa puede ajustar sin cambiar código. Definen qué hace el sistema en términos comerciales.</w:t>
      </w:r>
    </w:p>
    <w:p>
      <w:pPr>
        <w:pStyle w:val="Heading2"/>
      </w:pPr>
      <w:r>
        <w:rPr>
          <w:color w:val="1E293B"/>
        </w:rPr>
        <w:t>3.1 Tarifas (líneas 27–30)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64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Línea</w:t>
            </w:r>
          </w:p>
        </w:tc>
        <w:tc>
          <w:tcPr>
            <w:tcW w:type="dxa" w:w="2592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Clave</w:t>
            </w:r>
          </w:p>
        </w:tc>
        <w:tc>
          <w:tcPr>
            <w:tcW w:type="dxa" w:w="2592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2160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27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precioEstandarSoles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Parametrización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28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pesoLimiteKg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Parametrización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29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moneda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soles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Parametrización</w:t>
            </w:r>
          </w:p>
        </w:tc>
      </w:tr>
    </w:tbl>
    <w:p/>
    <w:p>
      <w:pPr>
        <w:pStyle w:val="Heading2"/>
      </w:pPr>
      <w:r>
        <w:rPr>
          <w:color w:val="1E293B"/>
        </w:rPr>
        <w:t>3.2 Paquetes (líneas 32–35)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64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Línea</w:t>
            </w:r>
          </w:p>
        </w:tc>
        <w:tc>
          <w:tcPr>
            <w:tcW w:type="dxa" w:w="2592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Clave</w:t>
            </w:r>
          </w:p>
        </w:tc>
        <w:tc>
          <w:tcPr>
            <w:tcW w:type="dxa" w:w="3456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1872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32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estados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En Almacén, En Tránsito, Entregado, Intento fallido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Parametrización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33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prefijoSeguimiento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TM-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Parametrización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34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metodosPago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tarjeta, yape, efectivo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Parametrización</w:t>
            </w:r>
          </w:p>
        </w:tc>
      </w:tr>
    </w:tbl>
    <w:p/>
    <w:p>
      <w:pPr>
        <w:pStyle w:val="Heading2"/>
      </w:pPr>
      <w:r>
        <w:rPr>
          <w:color w:val="1E293B"/>
        </w:rPr>
        <w:t>3.3 Teléfonos (líneas 37–49)</w:t>
      </w:r>
    </w:p>
    <w:p>
      <w:r>
        <w:rPr>
          <w:b/>
        </w:rPr>
        <w:t xml:space="preserve">País por defecto (línea 38): </w:t>
      </w:r>
      <w:r>
        <w:t>PE (Perú)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720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Línea</w:t>
            </w:r>
          </w:p>
        </w:tc>
        <w:tc>
          <w:tcPr>
            <w:tcW w:type="dxa" w:w="1872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País</w:t>
            </w:r>
          </w:p>
        </w:tc>
        <w:tc>
          <w:tcPr>
            <w:tcW w:type="dxa" w:w="1152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Código ISO</w:t>
            </w:r>
          </w:p>
        </w:tc>
        <w:tc>
          <w:tcPr>
            <w:tcW w:type="dxa" w:w="1728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Código de marcado</w:t>
            </w:r>
          </w:p>
        </w:tc>
        <w:tc>
          <w:tcPr>
            <w:tcW w:type="dxa" w:w="1008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Dígitos</w:t>
            </w:r>
          </w:p>
        </w:tc>
        <w:tc>
          <w:tcPr>
            <w:tcW w:type="dxa" w:w="1728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39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Perú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PE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+51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Parametrización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40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Chile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CL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+56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Parametrización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41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Colombia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CO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+57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Parametrización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42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Ecuador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EC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+593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Parametrización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43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México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MX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+52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Parametrización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44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Estados Unidos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US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+1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Parametrización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45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Bolivia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BO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+591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Parametrización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46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Argentina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AR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+54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Parametrización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47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Brasil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BR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+55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Parametrización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40AF"/>
        </w:rPr>
        <w:t>4. Resumen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Sección</w:t>
            </w:r>
          </w:p>
        </w:tc>
        <w:tc>
          <w:tcPr>
            <w:tcW w:type="dxa" w:w="1008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Líneas</w:t>
            </w:r>
          </w:p>
        </w:tc>
        <w:tc>
          <w:tcPr>
            <w:tcW w:type="dxa" w:w="1872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600"/>
            <w:shd w:fill="1E40A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configuracion.servidor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3–5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Configuración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Puerto y zona horaria del backend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configuracion.baseDatos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7–9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Configuración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Conexión a PostgreSQL/Supabase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configuracion.api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11–14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Configuración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URLs de API y token DNI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configuracion.auth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16–23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Configuración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Credenciales admin y claves localStorage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parametrizacion.tarifas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27–30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Parametrización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Precio estándar, peso límite, moneda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parametrizacion.paquetes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32–35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Parametrización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Estados, prefijo tracking, métodos de pago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parametrizacion.telefonos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37–49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Parametrización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Países soportados y reglas de dígitos</w:t>
            </w:r>
          </w:p>
        </w:tc>
      </w:tr>
    </w:tbl>
    <w:p/>
    <w:p>
      <w:r>
        <w:rPr>
          <w:b/>
        </w:rPr>
        <w:t>Estructura:</w:t>
      </w:r>
    </w:p>
    <w:p>
      <w:r>
        <w:rPr>
          <w:rFonts w:ascii="Consolas" w:hAnsi="Consolas"/>
          <w:sz w:val="20"/>
        </w:rPr>
        <w:t>config.json</w:t>
        <w:br/>
        <w:t>├── configuracion (líneas 2-24)    → CONFIGURACIÓN</w:t>
        <w:br/>
        <w:t>│   ├── servidor</w:t>
        <w:br/>
        <w:t>│   ├── baseDatos</w:t>
        <w:br/>
        <w:t>│   ├── api</w:t>
        <w:br/>
        <w:t>│   └── auth</w:t>
        <w:br/>
        <w:t>│</w:t>
        <w:br/>
        <w:t>└── parametrizacion (líneas 25-49) → PARAMETRIZACIÓN</w:t>
        <w:br/>
        <w:t xml:space="preserve">    ├── tarifas</w:t>
        <w:br/>
        <w:t xml:space="preserve">    ├── paquetes</w:t>
        <w:br/>
        <w:t xml:space="preserve">    └── telefonos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