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FICHA DE EVALUACIÓN EXPLORATORIA DE LA CALIDAD DEL PRODUCTO SOFTWARE</w:t>
      </w:r>
    </w:p>
    <w:p>
      <w:r>
        <w:t>(BASADA EN ISO/IEC 25010:2023)</w:t>
      </w:r>
    </w:p>
    <w:p/>
    <w:p>
      <w:r>
        <w:t>Curso: Calidad de Producto de Software</w:t>
      </w:r>
    </w:p>
    <w:p>
      <w:r>
        <w:t>Software evaluado: TingoCargo — Sistema de Transporte y Logística</w:t>
      </w:r>
    </w:p>
    <w:p>
      <w:r>
        <w:t>Fecha: 14/09/2026</w:t>
      </w:r>
    </w:p>
    <w:p/>
    <w:p>
      <w:r>
        <w:t>INSTRUCCIONES</w:t>
      </w:r>
    </w:p>
    <w:p>
      <w:r>
        <w:t>Observe y, cuando sea posible, utilice el software. Para cada afirmación, marque el nivel que mejor represente su valoración.</w:t>
      </w:r>
    </w:p>
    <w:p/>
    <w:p>
      <w:r>
        <w:t>ESCALA DE VALORACIÓN</w:t>
      </w:r>
    </w:p>
    <w:p>
      <w:r>
        <w:t>1 = Totalmente en desacuerdo</w:t>
      </w:r>
    </w:p>
    <w:p>
      <w:r>
        <w:t>2 = En desacuerdo</w:t>
      </w:r>
    </w:p>
    <w:p>
      <w:r>
        <w:t>3 = Ni de acuerdo ni en desacuerdo</w:t>
      </w:r>
    </w:p>
    <w:p>
      <w:r>
        <w:t>4 = De acuerdo</w:t>
      </w:r>
    </w:p>
    <w:p>
      <w:r>
        <w:t>5 = Totalmente de acuerdo</w:t>
      </w:r>
    </w:p>
    <w:p>
      <w:r>
        <w:t>N/A = No fue posible evaluarlo</w:t>
      </w:r>
    </w:p>
    <w:p/>
    <w:p>
      <w:r>
        <w:t>ESCALA INTERPRETATIVA</w:t>
      </w:r>
    </w:p>
    <w:p>
      <w:r>
        <w:t>1.00 – 1.80  Muy bajo</w:t>
      </w:r>
    </w:p>
    <w:p>
      <w:r>
        <w:t>1.81 – 2.60  Bajo</w:t>
      </w:r>
    </w:p>
    <w:p>
      <w:r>
        <w:t>2.61 – 3.40  Medio</w:t>
      </w:r>
    </w:p>
    <w:p>
      <w:r>
        <w:t>3.41 – 4.20  Alto</w:t>
      </w:r>
    </w:p>
    <w:p>
      <w:r>
        <w:t>4.21 – 5.00  Muy alto</w:t>
      </w:r>
    </w:p>
    <w:p/>
    <w:p>
      <w:r>
        <w:t>PROMEDIO GLOBAL: 4.86 / 5  —  MUY ALTO</w:t>
      </w:r>
    </w:p>
    <w:p>
      <w:r>
        <w:t>Criterios evaluados: 36 / 36</w:t>
      </w:r>
    </w:p>
    <w:p/>
    <w:p>
      <w:r>
        <w:t>Las tablas siguientes contienen: (1) identificación, (2) resultados por categoría, y (3–11) cada criterio con valor marcado y justificación técnica.</w:t>
      </w:r>
    </w:p>
    <w:p>
      <w:pPr>
        <w:pStyle w:val="Heading2"/>
      </w:pPr>
      <w:r>
        <w:t>Table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Dato</w:t>
            </w:r>
          </w:p>
        </w:tc>
      </w:tr>
      <w:tr>
        <w:tc>
          <w:tcPr>
            <w:tcW w:type="dxa" w:w="4320"/>
          </w:tcPr>
          <w:p>
            <w:r>
              <w:t>Curso</w:t>
            </w:r>
          </w:p>
        </w:tc>
        <w:tc>
          <w:tcPr>
            <w:tcW w:type="dxa" w:w="4320"/>
          </w:tcPr>
          <w:p>
            <w:r>
              <w:t>Calidad de Producto de Software</w:t>
            </w:r>
          </w:p>
        </w:tc>
      </w:tr>
      <w:tr>
        <w:tc>
          <w:tcPr>
            <w:tcW w:type="dxa" w:w="4320"/>
          </w:tcPr>
          <w:p>
            <w:r>
              <w:t>Software evaluado</w:t>
            </w:r>
          </w:p>
        </w:tc>
        <w:tc>
          <w:tcPr>
            <w:tcW w:type="dxa" w:w="4320"/>
          </w:tcPr>
          <w:p>
            <w:r>
              <w:t>TingoCargo — Sistema de Transporte y Logística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14/09/2026</w:t>
            </w:r>
          </w:p>
        </w:tc>
      </w:tr>
      <w:tr>
        <w:tc>
          <w:tcPr>
            <w:tcW w:type="dxa" w:w="4320"/>
          </w:tcPr>
          <w:p>
            <w:r>
              <w:t>Promedio global</w:t>
            </w:r>
          </w:p>
        </w:tc>
        <w:tc>
          <w:tcPr>
            <w:tcW w:type="dxa" w:w="4320"/>
          </w:tcPr>
          <w:p>
            <w:r>
              <w:t>4.86 / 5 — Muy alto</w:t>
            </w:r>
          </w:p>
        </w:tc>
      </w:tr>
      <w:tr>
        <w:tc>
          <w:tcPr>
            <w:tcW w:type="dxa" w:w="4320"/>
          </w:tcPr>
          <w:p>
            <w:r>
              <w:t>Criterios evaluados</w:t>
            </w:r>
          </w:p>
        </w:tc>
        <w:tc>
          <w:tcPr>
            <w:tcW w:type="dxa" w:w="4320"/>
          </w:tcPr>
          <w:p>
            <w:r>
              <w:t>36 / 36</w:t>
            </w:r>
          </w:p>
        </w:tc>
      </w:tr>
    </w:tbl>
    <w:p/>
    <w:p>
      <w:pPr>
        <w:pStyle w:val="Heading2"/>
      </w:pPr>
      <w:r>
        <w:t>Table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Característica</w:t>
            </w:r>
          </w:p>
        </w:tc>
        <w:tc>
          <w:tcPr>
            <w:tcW w:type="dxa" w:w="2160"/>
          </w:tcPr>
          <w:p>
            <w:r>
              <w:t>Promedio</w:t>
            </w:r>
          </w:p>
        </w:tc>
        <w:tc>
          <w:tcPr>
            <w:tcW w:type="dxa" w:w="2160"/>
          </w:tcPr>
          <w:p>
            <w:r>
              <w:t>Nivel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Adecuación funcional</w:t>
            </w:r>
          </w:p>
        </w:tc>
        <w:tc>
          <w:tcPr>
            <w:tcW w:type="dxa" w:w="2160"/>
          </w:tcPr>
          <w:p>
            <w:r>
              <w:t>5.00 / 5</w:t>
            </w:r>
          </w:p>
        </w:tc>
        <w:tc>
          <w:tcPr>
            <w:tcW w:type="dxa" w:w="2160"/>
          </w:tcPr>
          <w:p>
            <w:r>
              <w:t>Muy alto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Eficiencia de desempeño</w:t>
            </w:r>
          </w:p>
        </w:tc>
        <w:tc>
          <w:tcPr>
            <w:tcW w:type="dxa" w:w="2160"/>
          </w:tcPr>
          <w:p>
            <w:r>
              <w:t>4.50 / 5</w:t>
            </w:r>
          </w:p>
        </w:tc>
        <w:tc>
          <w:tcPr>
            <w:tcW w:type="dxa" w:w="2160"/>
          </w:tcPr>
          <w:p>
            <w:r>
              <w:t>Muy alto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Compatibilidad</w:t>
            </w:r>
          </w:p>
        </w:tc>
        <w:tc>
          <w:tcPr>
            <w:tcW w:type="dxa" w:w="2160"/>
          </w:tcPr>
          <w:p>
            <w:r>
              <w:t>5.00 / 5</w:t>
            </w:r>
          </w:p>
        </w:tc>
        <w:tc>
          <w:tcPr>
            <w:tcW w:type="dxa" w:w="2160"/>
          </w:tcPr>
          <w:p>
            <w:r>
              <w:t>Muy alto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Capacidad de interacción</w:t>
            </w:r>
          </w:p>
        </w:tc>
        <w:tc>
          <w:tcPr>
            <w:tcW w:type="dxa" w:w="2160"/>
          </w:tcPr>
          <w:p>
            <w:r>
              <w:t>5.00 / 5</w:t>
            </w:r>
          </w:p>
        </w:tc>
        <w:tc>
          <w:tcPr>
            <w:tcW w:type="dxa" w:w="2160"/>
          </w:tcPr>
          <w:p>
            <w:r>
              <w:t>Muy alto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Fiabilidad</w:t>
            </w:r>
          </w:p>
        </w:tc>
        <w:tc>
          <w:tcPr>
            <w:tcW w:type="dxa" w:w="2160"/>
          </w:tcPr>
          <w:p>
            <w:r>
              <w:t>4.50 / 5</w:t>
            </w:r>
          </w:p>
        </w:tc>
        <w:tc>
          <w:tcPr>
            <w:tcW w:type="dxa" w:w="2160"/>
          </w:tcPr>
          <w:p>
            <w:r>
              <w:t>Muy alto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Seguridad</w:t>
            </w:r>
          </w:p>
        </w:tc>
        <w:tc>
          <w:tcPr>
            <w:tcW w:type="dxa" w:w="2160"/>
          </w:tcPr>
          <w:p>
            <w:r>
              <w:t>5.00 / 5</w:t>
            </w:r>
          </w:p>
        </w:tc>
        <w:tc>
          <w:tcPr>
            <w:tcW w:type="dxa" w:w="2160"/>
          </w:tcPr>
          <w:p>
            <w:r>
              <w:t>Muy alto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Mantenibilidad</w:t>
            </w:r>
          </w:p>
        </w:tc>
        <w:tc>
          <w:tcPr>
            <w:tcW w:type="dxa" w:w="2160"/>
          </w:tcPr>
          <w:p>
            <w:r>
              <w:t>5.00 / 5</w:t>
            </w:r>
          </w:p>
        </w:tc>
        <w:tc>
          <w:tcPr>
            <w:tcW w:type="dxa" w:w="2160"/>
          </w:tcPr>
          <w:p>
            <w:r>
              <w:t>Muy alto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Flexibilidad</w:t>
            </w:r>
          </w:p>
        </w:tc>
        <w:tc>
          <w:tcPr>
            <w:tcW w:type="dxa" w:w="2160"/>
          </w:tcPr>
          <w:p>
            <w:r>
              <w:t>4.75 / 5</w:t>
            </w:r>
          </w:p>
        </w:tc>
        <w:tc>
          <w:tcPr>
            <w:tcW w:type="dxa" w:w="2160"/>
          </w:tcPr>
          <w:p>
            <w:r>
              <w:t>Muy alto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Safety / Seguridad operacional</w:t>
            </w:r>
          </w:p>
        </w:tc>
        <w:tc>
          <w:tcPr>
            <w:tcW w:type="dxa" w:w="2160"/>
          </w:tcPr>
          <w:p>
            <w:r>
              <w:t>5.00 / 5</w:t>
            </w:r>
          </w:p>
        </w:tc>
        <w:tc>
          <w:tcPr>
            <w:tcW w:type="dxa" w:w="2160"/>
          </w:tcPr>
          <w:p>
            <w:r>
              <w:t>Muy alto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PROMEDIO GLOBAL</w:t>
            </w:r>
          </w:p>
        </w:tc>
        <w:tc>
          <w:tcPr>
            <w:tcW w:type="dxa" w:w="2160"/>
          </w:tcPr>
          <w:p>
            <w:r>
              <w:t>4.86 / 5</w:t>
            </w:r>
          </w:p>
        </w:tc>
        <w:tc>
          <w:tcPr>
            <w:tcW w:type="dxa" w:w="2160"/>
          </w:tcPr>
          <w:p>
            <w:r>
              <w:t>Muy alto</w:t>
            </w:r>
          </w:p>
        </w:tc>
      </w:tr>
    </w:tbl>
    <w:p/>
    <w:p>
      <w:pPr>
        <w:pStyle w:val="Heading2"/>
      </w:pPr>
      <w:r>
        <w:t>Table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Código</w:t>
            </w:r>
          </w:p>
        </w:tc>
        <w:tc>
          <w:tcPr>
            <w:tcW w:type="dxa" w:w="960"/>
          </w:tcPr>
          <w:p>
            <w:r>
              <w:t>Afirmación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N/A</w:t>
            </w:r>
          </w:p>
        </w:tc>
        <w:tc>
          <w:tcPr>
            <w:tcW w:type="dxa" w:w="960"/>
          </w:tcPr>
          <w:p>
            <w:r>
              <w:t>Justificación</w:t>
            </w:r>
          </w:p>
        </w:tc>
      </w:tr>
      <w:tr>
        <w:tc>
          <w:tcPr>
            <w:tcW w:type="dxa" w:w="960"/>
          </w:tcPr>
          <w:p>
            <w:r>
              <w:t>AF1</w:t>
            </w:r>
          </w:p>
        </w:tc>
        <w:tc>
          <w:tcPr>
            <w:tcW w:type="dxa" w:w="960"/>
          </w:tcPr>
          <w:p>
            <w:r>
              <w:t>El software proporciona las funciones necesarias para cumplir con el propósito para el cual fue desarrollado.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CRUD completo de paquetes, usuarios, sucursales, distribuidoras y clientes. Flujo completo de envío: registro → almacén → tránsito → entrega. Rastreo por código, pagos, boletas y reportes Excel/CSV.</w:t>
            </w:r>
          </w:p>
        </w:tc>
      </w:tr>
      <w:tr>
        <w:tc>
          <w:tcPr>
            <w:tcW w:type="dxa" w:w="960"/>
          </w:tcPr>
          <w:p>
            <w:r>
              <w:t>AF2</w:t>
            </w:r>
          </w:p>
        </w:tc>
        <w:tc>
          <w:tcPr>
            <w:tcW w:type="dxa" w:w="960"/>
          </w:tcPr>
          <w:p>
            <w:r>
              <w:t>Las funciones disponibles producen resultados correctos de acuerdo con lo esperado.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Cálculos de precio automáticos según peso y tarifa (config.json). Validación de teléfonos por país en formato E.164. Estados del paquete controlados. Hash bcrypt para contraseñas.</w:t>
            </w:r>
          </w:p>
        </w:tc>
      </w:tr>
      <w:tr>
        <w:tc>
          <w:tcPr>
            <w:tcW w:type="dxa" w:w="960"/>
          </w:tcPr>
          <w:p>
            <w:r>
              <w:t>AF3</w:t>
            </w:r>
          </w:p>
        </w:tc>
        <w:tc>
          <w:tcPr>
            <w:tcW w:type="dxa" w:w="960"/>
          </w:tcPr>
          <w:p>
            <w:r>
              <w:t>Las funciones del software permiten realizar adecuadamente las tareas principales.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Tareas cubiertas: registrar paquete, asignar operador/repartidor, marcar salida, confirmar entrega, registrar pago, emitir boleta, rastrear envío y exportar reportes.</w:t>
            </w:r>
          </w:p>
        </w:tc>
      </w:tr>
      <w:tr>
        <w:tc>
          <w:tcPr>
            <w:tcW w:type="dxa" w:w="960"/>
          </w:tcPr>
          <w:p>
            <w:r>
              <w:t>AF4</w:t>
            </w:r>
          </w:p>
        </w:tc>
        <w:tc>
          <w:tcPr>
            <w:tcW w:type="dxa" w:w="960"/>
          </w:tcPr>
          <w:p>
            <w:r>
              <w:t>Las funciones disponibles responden a las necesidades de los usuarios a quienes está dirigido el software.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Cuatro roles diferenciados (Administrador, Operador, Repartidor, Cliente) con permisos y vistas adaptadas. Portal de cliente independiente con rastreo y solicitud de envíos.</w:t>
            </w:r>
          </w:p>
        </w:tc>
      </w:tr>
    </w:tbl>
    <w:p/>
    <w:p>
      <w:pPr>
        <w:pStyle w:val="Heading2"/>
      </w:pPr>
      <w:r>
        <w:t>Table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Código</w:t>
            </w:r>
          </w:p>
        </w:tc>
        <w:tc>
          <w:tcPr>
            <w:tcW w:type="dxa" w:w="960"/>
          </w:tcPr>
          <w:p>
            <w:r>
              <w:t>Afirmación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N/A</w:t>
            </w:r>
          </w:p>
        </w:tc>
        <w:tc>
          <w:tcPr>
            <w:tcW w:type="dxa" w:w="960"/>
          </w:tcPr>
          <w:p>
            <w:r>
              <w:t>Justificación</w:t>
            </w:r>
          </w:p>
        </w:tc>
      </w:tr>
      <w:tr>
        <w:tc>
          <w:tcPr>
            <w:tcW w:type="dxa" w:w="960"/>
          </w:tcPr>
          <w:p>
            <w:r>
              <w:t>ED1</w:t>
            </w:r>
          </w:p>
        </w:tc>
        <w:tc>
          <w:tcPr>
            <w:tcW w:type="dxa" w:w="960"/>
          </w:tcPr>
          <w:p>
            <w:r>
              <w:t>El software responde rápidamente a las acciones realizadas por el usuario.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API REST con Express. Frontend SPA con React + Vite, navegación sin recargas. Consultas SQL directas y parametrizadas a PostgreSQL.</w:t>
            </w:r>
          </w:p>
        </w:tc>
      </w:tr>
      <w:tr>
        <w:tc>
          <w:tcPr>
            <w:tcW w:type="dxa" w:w="960"/>
          </w:tcPr>
          <w:p>
            <w:r>
              <w:t>ED2</w:t>
            </w:r>
          </w:p>
        </w:tc>
        <w:tc>
          <w:tcPr>
            <w:tcW w:type="dxa" w:w="960"/>
          </w:tcPr>
          <w:p>
            <w:r>
              <w:t>Las operaciones principales se ejecutan sin esperas excesivas.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Operaciones CRUD con queries directas. Sin procesamiento pesado. Build optimizado con Vite.</w:t>
            </w:r>
          </w:p>
        </w:tc>
      </w:tr>
      <w:tr>
        <w:tc>
          <w:tcPr>
            <w:tcW w:type="dxa" w:w="960"/>
          </w:tcPr>
          <w:p>
            <w:r>
              <w:t>ED3</w:t>
            </w:r>
          </w:p>
        </w:tc>
        <w:tc>
          <w:tcPr>
            <w:tcW w:type="dxa" w:w="960"/>
          </w:tcPr>
          <w:p>
            <w:r>
              <w:t>El software utiliza de manera razonable los recursos del dispositivo durante su funcionamiento.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Backend Node.js ligero. Frontend React sin librerías pesadas. Tokens en memoria (Map) con límite de 500 registros en audit log. El almacenamiento en memoria no persiste entre reinicios.</w:t>
            </w:r>
          </w:p>
        </w:tc>
      </w:tr>
      <w:tr>
        <w:tc>
          <w:tcPr>
            <w:tcW w:type="dxa" w:w="960"/>
          </w:tcPr>
          <w:p>
            <w:r>
              <w:t>ED4</w:t>
            </w:r>
          </w:p>
        </w:tc>
        <w:tc>
          <w:tcPr>
            <w:tcW w:type="dxa" w:w="960"/>
          </w:tcPr>
          <w:p>
            <w:r>
              <w:t>El software puede atender la cantidad de información, usuarios o transacciones para la que fue diseñado.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PostgreSQL (Supabase) soporta miles de registros. config.json permite ajustar parámetros. Los tokens en memoria limitan la escalabilidad horizontal a una instancia.</w:t>
            </w:r>
          </w:p>
        </w:tc>
      </w:tr>
    </w:tbl>
    <w:p/>
    <w:p>
      <w:pPr>
        <w:pStyle w:val="Heading2"/>
      </w:pPr>
      <w:r>
        <w:t>Table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Código</w:t>
            </w:r>
          </w:p>
        </w:tc>
        <w:tc>
          <w:tcPr>
            <w:tcW w:type="dxa" w:w="960"/>
          </w:tcPr>
          <w:p>
            <w:r>
              <w:t>Afirmación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N/A</w:t>
            </w:r>
          </w:p>
        </w:tc>
        <w:tc>
          <w:tcPr>
            <w:tcW w:type="dxa" w:w="960"/>
          </w:tcPr>
          <w:p>
            <w:r>
              <w:t>Justificación</w:t>
            </w:r>
          </w:p>
        </w:tc>
      </w:tr>
      <w:tr>
        <w:tc>
          <w:tcPr>
            <w:tcW w:type="dxa" w:w="960"/>
          </w:tcPr>
          <w:p>
            <w:r>
              <w:t>CO1</w:t>
            </w:r>
          </w:p>
        </w:tc>
        <w:tc>
          <w:tcPr>
            <w:tcW w:type="dxa" w:w="960"/>
          </w:tcPr>
          <w:p>
            <w:r>
              <w:t>El software puede funcionar adecuadamente junto con otras aplicaciones sin generar problemas evidentes.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API REST estándar con CORS. No interfiere con otros servicios. Frontend independiente desplegable en cualquier servidor estático.</w:t>
            </w:r>
          </w:p>
        </w:tc>
      </w:tr>
      <w:tr>
        <w:tc>
          <w:tcPr>
            <w:tcW w:type="dxa" w:w="960"/>
          </w:tcPr>
          <w:p>
            <w:r>
              <w:t>CO2</w:t>
            </w:r>
          </w:p>
        </w:tc>
        <w:tc>
          <w:tcPr>
            <w:tcW w:type="dxa" w:w="960"/>
          </w:tcPr>
          <w:p>
            <w:r>
              <w:t>El software puede intercambiar información con otros sistemas o aplicaciones cuando es necesario.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Exportación a CSV y Excel (XLSX). Integración con WhatsApp, Google Maps y API RENIEC (consulta DNI). API REST consumible por cualquier cliente HTTP.</w:t>
            </w:r>
          </w:p>
        </w:tc>
      </w:tr>
      <w:tr>
        <w:tc>
          <w:tcPr>
            <w:tcW w:type="dxa" w:w="960"/>
          </w:tcPr>
          <w:p>
            <w:r>
              <w:t>CO3</w:t>
            </w:r>
          </w:p>
        </w:tc>
        <w:tc>
          <w:tcPr>
            <w:tcW w:type="dxa" w:w="960"/>
          </w:tcPr>
          <w:p>
            <w:r>
              <w:t>La información intercambiada con otros sistemas conserva su significado y utilidad.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JSON estándar. CSV con BOM UTF-8. Excel con cabeceras descriptivas. Teléfonos en E.164. Fechas en ISO 8601 con zona horaria.</w:t>
            </w:r>
          </w:p>
        </w:tc>
      </w:tr>
      <w:tr>
        <w:tc>
          <w:tcPr>
            <w:tcW w:type="dxa" w:w="960"/>
          </w:tcPr>
          <w:p>
            <w:r>
              <w:t>CO4</w:t>
            </w:r>
          </w:p>
        </w:tc>
        <w:tc>
          <w:tcPr>
            <w:tcW w:type="dxa" w:w="960"/>
          </w:tcPr>
          <w:p>
            <w:r>
              <w:t>El software se integra adecuadamente con las tecnologías o sistemas externos que necesita.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Supabase/PostgreSQL, WhatsApp, Google Maps y API RENIEC. Todas las integraciones funcionan correctamente.</w:t>
            </w:r>
          </w:p>
        </w:tc>
      </w:tr>
    </w:tbl>
    <w:p/>
    <w:p>
      <w:pPr>
        <w:pStyle w:val="Heading2"/>
      </w:pPr>
      <w:r>
        <w:t>Table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Código</w:t>
            </w:r>
          </w:p>
        </w:tc>
        <w:tc>
          <w:tcPr>
            <w:tcW w:type="dxa" w:w="960"/>
          </w:tcPr>
          <w:p>
            <w:r>
              <w:t>Afirmación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N/A</w:t>
            </w:r>
          </w:p>
        </w:tc>
        <w:tc>
          <w:tcPr>
            <w:tcW w:type="dxa" w:w="960"/>
          </w:tcPr>
          <w:p>
            <w:r>
              <w:t>Justificación</w:t>
            </w:r>
          </w:p>
        </w:tc>
      </w:tr>
      <w:tr>
        <w:tc>
          <w:tcPr>
            <w:tcW w:type="dxa" w:w="960"/>
          </w:tcPr>
          <w:p>
            <w:r>
              <w:t>CI1</w:t>
            </w:r>
          </w:p>
        </w:tc>
        <w:tc>
          <w:tcPr>
            <w:tcW w:type="dxa" w:w="960"/>
          </w:tcPr>
          <w:p>
            <w:r>
              <w:t>Desde el primer contacto, resulta fácil comprender qué se puede hacer con el software y cómo comenzar a utilizarlo.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Landing page con sección ¿Cómo funciona? en 3 pasos. Buscador de rastreo prominente. Botones claros de registro e inicio de sesión.</w:t>
            </w:r>
          </w:p>
        </w:tc>
      </w:tr>
      <w:tr>
        <w:tc>
          <w:tcPr>
            <w:tcW w:type="dxa" w:w="960"/>
          </w:tcPr>
          <w:p>
            <w:r>
              <w:t>CI2</w:t>
            </w:r>
          </w:p>
        </w:tc>
        <w:tc>
          <w:tcPr>
            <w:tcW w:type="dxa" w:w="960"/>
          </w:tcPr>
          <w:p>
            <w:r>
              <w:t>Un usuario nuevo puede aprender a realizar las principales tareas sin necesitar una capacitación extensa.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Interfaz intuitiva con iconografía clara. Sidebar descriptivo. Formularios con labels, placeholders y validación en tiempo real.</w:t>
            </w:r>
          </w:p>
        </w:tc>
      </w:tr>
      <w:tr>
        <w:tc>
          <w:tcPr>
            <w:tcW w:type="dxa" w:w="960"/>
          </w:tcPr>
          <w:p>
            <w:r>
              <w:t>CI3</w:t>
            </w:r>
          </w:p>
        </w:tc>
        <w:tc>
          <w:tcPr>
            <w:tcW w:type="dxa" w:w="960"/>
          </w:tcPr>
          <w:p>
            <w:r>
              <w:t>Las opciones y controles permiten realizar las tareas de manera sencilla y reducen la posibilidad de cometer errores.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Validaciones en frontend y backend. Modales de confirmación antes de acciones destructivas. Selectores para roles, sucursales y estados. Formato automático de teléfonos.</w:t>
            </w:r>
          </w:p>
        </w:tc>
      </w:tr>
      <w:tr>
        <w:tc>
          <w:tcPr>
            <w:tcW w:type="dxa" w:w="960"/>
          </w:tcPr>
          <w:p>
            <w:r>
              <w:t>CI4</w:t>
            </w:r>
          </w:p>
        </w:tc>
        <w:tc>
          <w:tcPr>
            <w:tcW w:type="dxa" w:w="960"/>
          </w:tcPr>
          <w:p>
            <w:r>
              <w:t>El software resulta comprensible y utilizable para personas con diferentes edades, habilidades, contextos y necesidades, y proporciona ayuda cuando es necesaria.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Botón flotante de ayuda con 6 temas paso a paso. Diseño responsive. Texto legible con contraste adecuado.</w:t>
            </w:r>
          </w:p>
        </w:tc>
      </w:tr>
    </w:tbl>
    <w:p/>
    <w:p>
      <w:pPr>
        <w:pStyle w:val="Heading2"/>
      </w:pPr>
      <w:r>
        <w:t>Table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Código</w:t>
            </w:r>
          </w:p>
        </w:tc>
        <w:tc>
          <w:tcPr>
            <w:tcW w:type="dxa" w:w="960"/>
          </w:tcPr>
          <w:p>
            <w:r>
              <w:t>Afirmación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N/A</w:t>
            </w:r>
          </w:p>
        </w:tc>
        <w:tc>
          <w:tcPr>
            <w:tcW w:type="dxa" w:w="960"/>
          </w:tcPr>
          <w:p>
            <w:r>
              <w:t>Justificación</w:t>
            </w:r>
          </w:p>
        </w:tc>
      </w:tr>
      <w:tr>
        <w:tc>
          <w:tcPr>
            <w:tcW w:type="dxa" w:w="960"/>
          </w:tcPr>
          <w:p>
            <w:r>
              <w:t>FI1</w:t>
            </w:r>
          </w:p>
        </w:tc>
        <w:tc>
          <w:tcPr>
            <w:tcW w:type="dxa" w:w="960"/>
          </w:tcPr>
          <w:p>
            <w:r>
              <w:t>El software funciona correctamente sin presentar fallos durante las operaciones realizadas.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Validaciones en cada endpoint. SQL parametrizado. Frontend con estados de carga y error en cada componente.</w:t>
            </w:r>
          </w:p>
        </w:tc>
      </w:tr>
      <w:tr>
        <w:tc>
          <w:tcPr>
            <w:tcW w:type="dxa" w:w="960"/>
          </w:tcPr>
          <w:p>
            <w:r>
              <w:t>FI2</w:t>
            </w:r>
          </w:p>
        </w:tc>
        <w:tc>
          <w:tcPr>
            <w:tcW w:type="dxa" w:w="960"/>
          </w:tcPr>
          <w:p>
            <w:r>
              <w:t>El software se encuentra disponible y puede utilizarse cuando el usuario lo necesita.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Servidor Express estable. PostgreSQL/Supabase con alta disponibilidad. Health check en /api/health. Limitado a una instancia del servidor.</w:t>
            </w:r>
          </w:p>
        </w:tc>
      </w:tr>
      <w:tr>
        <w:tc>
          <w:tcPr>
            <w:tcW w:type="dxa" w:w="960"/>
          </w:tcPr>
          <w:p>
            <w:r>
              <w:t>FI3</w:t>
            </w:r>
          </w:p>
        </w:tc>
        <w:tc>
          <w:tcPr>
            <w:tcW w:type="dxa" w:w="960"/>
          </w:tcPr>
          <w:p>
            <w:r>
              <w:t>Cuando ocurre un problema, el software puede continuar funcionando o manejar adecuadamente la situación.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ErrorBoundary en React con pantalla de recuperación. Manejador global de errores en Express. Respuestas de error con mensajes claros.</w:t>
            </w:r>
          </w:p>
        </w:tc>
      </w:tr>
      <w:tr>
        <w:tc>
          <w:tcPr>
            <w:tcW w:type="dxa" w:w="960"/>
          </w:tcPr>
          <w:p>
            <w:r>
              <w:t>FI4</w:t>
            </w:r>
          </w:p>
        </w:tc>
        <w:tc>
          <w:tcPr>
            <w:tcW w:type="dxa" w:w="960"/>
          </w:tcPr>
          <w:p>
            <w:r>
              <w:t>Después de un fallo o interrupción, el software puede recuperar su funcionamiento o la información afectada.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ErrorBoundary ofrece Reintentar e Ir al inicio. Los datos persisten en PostgreSQL. Los tokens de sesión se pierden al reiniciar el servidor.</w:t>
            </w:r>
          </w:p>
        </w:tc>
      </w:tr>
    </w:tbl>
    <w:p/>
    <w:p>
      <w:pPr>
        <w:pStyle w:val="Heading2"/>
      </w:pPr>
      <w:r>
        <w:t>Table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Código</w:t>
            </w:r>
          </w:p>
        </w:tc>
        <w:tc>
          <w:tcPr>
            <w:tcW w:type="dxa" w:w="960"/>
          </w:tcPr>
          <w:p>
            <w:r>
              <w:t>Afirmación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N/A</w:t>
            </w:r>
          </w:p>
        </w:tc>
        <w:tc>
          <w:tcPr>
            <w:tcW w:type="dxa" w:w="960"/>
          </w:tcPr>
          <w:p>
            <w:r>
              <w:t>Justificación</w:t>
            </w:r>
          </w:p>
        </w:tc>
      </w:tr>
      <w:tr>
        <w:tc>
          <w:tcPr>
            <w:tcW w:type="dxa" w:w="960"/>
          </w:tcPr>
          <w:p>
            <w:r>
              <w:t>SE1</w:t>
            </w:r>
          </w:p>
        </w:tc>
        <w:tc>
          <w:tcPr>
            <w:tcW w:type="dxa" w:w="960"/>
          </w:tcPr>
          <w:p>
            <w:r>
              <w:t>El software restringe el acceso a la información según los permisos correspondientes.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Cuatro roles con permisos diferenciados. Middleware requireAdmin. Los clientes solo ven sus propios paquetes. Las rutas validan el rol.</w:t>
            </w:r>
          </w:p>
        </w:tc>
      </w:tr>
      <w:tr>
        <w:tc>
          <w:tcPr>
            <w:tcW w:type="dxa" w:w="960"/>
          </w:tcPr>
          <w:p>
            <w:r>
              <w:t>SE2</w:t>
            </w:r>
          </w:p>
        </w:tc>
        <w:tc>
          <w:tcPr>
            <w:tcW w:type="dxa" w:w="960"/>
          </w:tcPr>
          <w:p>
            <w:r>
              <w:t>El software protege la información frente a modificaciones, eliminaciones o alteraciones no autorizadas.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Bearer token en rutas protegidas. Contraseñas con bcrypt (10 rondas). SQL parametrizado. Solo admin puede eliminar usuarios.</w:t>
            </w:r>
          </w:p>
        </w:tc>
      </w:tr>
      <w:tr>
        <w:tc>
          <w:tcPr>
            <w:tcW w:type="dxa" w:w="960"/>
          </w:tcPr>
          <w:p>
            <w:r>
              <w:t>SE3</w:t>
            </w:r>
          </w:p>
        </w:tc>
        <w:tc>
          <w:tcPr>
            <w:tcW w:type="dxa" w:w="960"/>
          </w:tcPr>
          <w:p>
            <w:r>
              <w:t>El software permite identificar o asociar las acciones realizadas con los usuarios correspondientes cuando es necesario.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Audit log: logins, creación de paquetes, cambios de estado, pagos y eliminaciones. Cada entrada incluye usuario, acción, recurso y detalle. Página /admin/actividad.</w:t>
            </w:r>
          </w:p>
        </w:tc>
      </w:tr>
      <w:tr>
        <w:tc>
          <w:tcPr>
            <w:tcW w:type="dxa" w:w="960"/>
          </w:tcPr>
          <w:p>
            <w:r>
              <w:t>SE4</w:t>
            </w:r>
          </w:p>
        </w:tc>
        <w:tc>
          <w:tcPr>
            <w:tcW w:type="dxa" w:w="960"/>
          </w:tcPr>
          <w:p>
            <w:r>
              <w:t>El software presenta mecanismos para protegerse frente a intentos de acceso o acciones no autorizadas.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Rate limiting: 5 intentos fallidos y bloqueo de 15 minutos. Intentos restantes visibles. Intentos bloqueados en el audit log. Rutas protegidas 401/403.</w:t>
            </w:r>
          </w:p>
        </w:tc>
      </w:tr>
    </w:tbl>
    <w:p/>
    <w:p>
      <w:pPr>
        <w:pStyle w:val="Heading2"/>
      </w:pPr>
      <w:r>
        <w:t>Table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Código</w:t>
            </w:r>
          </w:p>
        </w:tc>
        <w:tc>
          <w:tcPr>
            <w:tcW w:type="dxa" w:w="960"/>
          </w:tcPr>
          <w:p>
            <w:r>
              <w:t>Afirmación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N/A</w:t>
            </w:r>
          </w:p>
        </w:tc>
        <w:tc>
          <w:tcPr>
            <w:tcW w:type="dxa" w:w="960"/>
          </w:tcPr>
          <w:p>
            <w:r>
              <w:t>Justificación</w:t>
            </w:r>
          </w:p>
        </w:tc>
      </w:tr>
      <w:tr>
        <w:tc>
          <w:tcPr>
            <w:tcW w:type="dxa" w:w="960"/>
          </w:tcPr>
          <w:p>
            <w:r>
              <w:t>MA1</w:t>
            </w:r>
          </w:p>
        </w:tc>
        <w:tc>
          <w:tcPr>
            <w:tcW w:type="dxa" w:w="960"/>
          </w:tcPr>
          <w:p>
            <w:r>
              <w:t>El software está organizado en componentes o módulos que permiten realizar cambios sin afectar innecesariamente otras partes.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storage.js y storageDb.js intercambiables. Componentes React independientes. Separación clara backend/frontend.</w:t>
            </w:r>
          </w:p>
        </w:tc>
      </w:tr>
      <w:tr>
        <w:tc>
          <w:tcPr>
            <w:tcW w:type="dxa" w:w="960"/>
          </w:tcPr>
          <w:p>
            <w:r>
              <w:t>MA2</w:t>
            </w:r>
          </w:p>
        </w:tc>
        <w:tc>
          <w:tcPr>
            <w:tcW w:type="dxa" w:w="960"/>
          </w:tcPr>
          <w:p>
            <w:r>
              <w:t>Es posible identificar con relativa facilidad las partes que deben modificarse cuando se requiere un cambio.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Estructura clara: pages/, components/, services/, utils/. JSDoc en archivos principales. CONFIG_IDENTIFICACION.md documenta la configuración.</w:t>
            </w:r>
          </w:p>
        </w:tc>
      </w:tr>
      <w:tr>
        <w:tc>
          <w:tcPr>
            <w:tcW w:type="dxa" w:w="960"/>
          </w:tcPr>
          <w:p>
            <w:r>
              <w:t>MA3</w:t>
            </w:r>
          </w:p>
        </w:tc>
        <w:tc>
          <w:tcPr>
            <w:tcW w:type="dxa" w:w="960"/>
          </w:tcPr>
          <w:p>
            <w:r>
              <w:t>El software puede modificarse o ampliarse para incorporar nuevos requerimientos sin tener que reconstruirlo completamente.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config.json centraliza tarifas, estados, métodos de pago y países. Nuevas páginas se agregan sin modificar las existentes.</w:t>
            </w:r>
          </w:p>
        </w:tc>
      </w:tr>
      <w:tr>
        <w:tc>
          <w:tcPr>
            <w:tcW w:type="dxa" w:w="960"/>
          </w:tcPr>
          <w:p>
            <w:r>
              <w:t>MA4</w:t>
            </w:r>
          </w:p>
        </w:tc>
        <w:tc>
          <w:tcPr>
            <w:tcW w:type="dxa" w:w="960"/>
          </w:tcPr>
          <w:p>
            <w:r>
              <w:t>El software utiliza componentes reutilizables y cuenta con mecanismos que facilitan su prueba.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StatCard, ConfirmModal, HelpGuide, ErrorBoundary, Timeline. Tests en backend/tests/api.test.js.</w:t>
            </w:r>
          </w:p>
        </w:tc>
      </w:tr>
    </w:tbl>
    <w:p/>
    <w:p>
      <w:pPr>
        <w:pStyle w:val="Heading2"/>
      </w:pPr>
      <w:r>
        <w:t>Table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Código</w:t>
            </w:r>
          </w:p>
        </w:tc>
        <w:tc>
          <w:tcPr>
            <w:tcW w:type="dxa" w:w="960"/>
          </w:tcPr>
          <w:p>
            <w:r>
              <w:t>Afirmación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N/A</w:t>
            </w:r>
          </w:p>
        </w:tc>
        <w:tc>
          <w:tcPr>
            <w:tcW w:type="dxa" w:w="960"/>
          </w:tcPr>
          <w:p>
            <w:r>
              <w:t>Justificación</w:t>
            </w:r>
          </w:p>
        </w:tc>
      </w:tr>
      <w:tr>
        <w:tc>
          <w:tcPr>
            <w:tcW w:type="dxa" w:w="960"/>
          </w:tcPr>
          <w:p>
            <w:r>
              <w:t>FL1</w:t>
            </w:r>
          </w:p>
        </w:tc>
        <w:tc>
          <w:tcPr>
            <w:tcW w:type="dxa" w:w="960"/>
          </w:tcPr>
          <w:p>
            <w:r>
              <w:t>El software puede adaptarse a diferentes necesidades, configuraciones o contextos de utilización.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config.json permite cambiar marca, prefijo, tarifas, estados, métodos de pago, zona horaria y países sin modificar código.</w:t>
            </w:r>
          </w:p>
        </w:tc>
      </w:tr>
      <w:tr>
        <w:tc>
          <w:tcPr>
            <w:tcW w:type="dxa" w:w="960"/>
          </w:tcPr>
          <w:p>
            <w:r>
              <w:t>FL2</w:t>
            </w:r>
          </w:p>
        </w:tc>
        <w:tc>
          <w:tcPr>
            <w:tcW w:type="dxa" w:w="960"/>
          </w:tcPr>
          <w:p>
            <w:r>
              <w:t>El software puede ampliarse para soportar un aumento en usuarios, información o carga de trabajo.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PostgreSQL/Supabase escala verticalmente. Frontend SPA ligero. API REST stateless (excepto tokens en memoria). Para escalar horizontalmente habría que persistir tokens.</w:t>
            </w:r>
          </w:p>
        </w:tc>
      </w:tr>
      <w:tr>
        <w:tc>
          <w:tcPr>
            <w:tcW w:type="dxa" w:w="960"/>
          </w:tcPr>
          <w:p>
            <w:r>
              <w:t>FL3</w:t>
            </w:r>
          </w:p>
        </w:tc>
        <w:tc>
          <w:tcPr>
            <w:tcW w:type="dxa" w:w="960"/>
          </w:tcPr>
          <w:p>
            <w:r>
              <w:t>El software puede instalarse, actualizarse o trasladarse a diferentes entornos cuando corresponde.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.env por entorno. USE_DB entre memoria y PostgreSQL. Frontend buildeable con Vite. config.json portable.</w:t>
            </w:r>
          </w:p>
        </w:tc>
      </w:tr>
      <w:tr>
        <w:tc>
          <w:tcPr>
            <w:tcW w:type="dxa" w:w="960"/>
          </w:tcPr>
          <w:p>
            <w:r>
              <w:t>FL4</w:t>
            </w:r>
          </w:p>
        </w:tc>
        <w:tc>
          <w:tcPr>
            <w:tcW w:type="dxa" w:w="960"/>
          </w:tcPr>
          <w:p>
            <w:r>
              <w:t>El software puede incorporar cambios o nuevas necesidades sin perder las funciones que ya proporciona.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Arquitectura modular. Se agregaron audit log, rate limiting, ErrorBoundary, HelpGuide y ConfirmModal sin alterar la lógica de negocio existente.</w:t>
            </w:r>
          </w:p>
        </w:tc>
      </w:tr>
    </w:tbl>
    <w:p/>
    <w:p>
      <w:pPr>
        <w:pStyle w:val="Heading2"/>
      </w:pPr>
      <w:r>
        <w:t>Table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Código</w:t>
            </w:r>
          </w:p>
        </w:tc>
        <w:tc>
          <w:tcPr>
            <w:tcW w:type="dxa" w:w="960"/>
          </w:tcPr>
          <w:p>
            <w:r>
              <w:t>Afirmación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N/A</w:t>
            </w:r>
          </w:p>
        </w:tc>
        <w:tc>
          <w:tcPr>
            <w:tcW w:type="dxa" w:w="960"/>
          </w:tcPr>
          <w:p>
            <w:r>
              <w:t>Justificación</w:t>
            </w:r>
          </w:p>
        </w:tc>
      </w:tr>
      <w:tr>
        <w:tc>
          <w:tcPr>
            <w:tcW w:type="dxa" w:w="960"/>
          </w:tcPr>
          <w:p>
            <w:r>
              <w:t>SA1</w:t>
            </w:r>
          </w:p>
        </w:tc>
        <w:tc>
          <w:tcPr>
            <w:tcW w:type="dxa" w:w="960"/>
          </w:tcPr>
          <w:p>
            <w:r>
              <w:t>El software establece restricciones para evitar operaciones que podrían generar consecuencias peligrosas o no deseadas.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ConfirmModal antes de marcar salida, confirmar entrega y eliminar usuarios. Impide pagar un paquete sin precio asignado.</w:t>
            </w:r>
          </w:p>
        </w:tc>
      </w:tr>
      <w:tr>
        <w:tc>
          <w:tcPr>
            <w:tcW w:type="dxa" w:w="960"/>
          </w:tcPr>
          <w:p>
            <w:r>
              <w:t>SA2</w:t>
            </w:r>
          </w:p>
        </w:tc>
        <w:tc>
          <w:tcPr>
            <w:tcW w:type="dxa" w:w="960"/>
          </w:tcPr>
          <w:p>
            <w:r>
              <w:t>El software permite identificar situaciones o condiciones que podrían representar un riesgo durante su utilización.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Health check detallado: estado del servidor, BD, memoria, tokens y uptime. Login muestra intentos restantes. Audit log registra fallos.</w:t>
            </w:r>
          </w:p>
        </w:tc>
      </w:tr>
      <w:tr>
        <w:tc>
          <w:tcPr>
            <w:tcW w:type="dxa" w:w="960"/>
          </w:tcPr>
          <w:p>
            <w:r>
              <w:t>SA3</w:t>
            </w:r>
          </w:p>
        </w:tc>
        <w:tc>
          <w:tcPr>
            <w:tcW w:type="dxa" w:w="960"/>
          </w:tcPr>
          <w:p>
            <w:r>
              <w:t>Ante una situación anormal o fallo, el software evita realizar acciones que puedan generar consecuencias peligrosas.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Manejador global de errores en Express. ErrorBoundary evita pantalla blanca. Rate limiting bloquea accesos excesivos.</w:t>
            </w:r>
          </w:p>
        </w:tc>
      </w:tr>
      <w:tr>
        <w:tc>
          <w:tcPr>
            <w:tcW w:type="dxa" w:w="960"/>
          </w:tcPr>
          <w:p>
            <w:r>
              <w:t>SA4</w:t>
            </w:r>
          </w:p>
        </w:tc>
        <w:tc>
          <w:tcPr>
            <w:tcW w:type="dxa" w:w="960"/>
          </w:tcPr>
          <w:p>
            <w:r>
              <w:t>El software proporciona advertencias claras cuando una acción podría generar un riesgo o consecuencia importante.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Advertencias explícitas: Esta acción no se puede deshacer; X intentos restantes; Cuenta bloqueada por N minutos.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