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Estudiante: Walter Baya</w:t>
      </w:r>
    </w:p>
    <w:p w:rsidR="00000000" w:rsidDel="00000000" w:rsidP="00000000" w:rsidRDefault="00000000" w:rsidRPr="00000000" w14:paraId="00000002">
      <w:pPr>
        <w:pStyle w:val="Heading1"/>
        <w:rPr/>
      </w:pPr>
      <w:bookmarkStart w:colFirst="0" w:colLast="0" w:name="_2jv0ebqo3oly" w:id="0"/>
      <w:bookmarkEnd w:id="0"/>
      <w:r w:rsidDel="00000000" w:rsidR="00000000" w:rsidRPr="00000000">
        <w:rPr>
          <w:rtl w:val="0"/>
        </w:rPr>
        <w:t xml:space="preserve">ACTIVIDAD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spacing w:line="360" w:lineRule="auto"/>
        <w:ind w:left="720" w:hanging="360"/>
        <w:jc w:val="both"/>
        <w:rPr>
          <w:u w:val="none"/>
        </w:rPr>
      </w:pPr>
      <w:r w:rsidDel="00000000" w:rsidR="00000000" w:rsidRPr="00000000">
        <w:rPr>
          <w:rtl w:val="0"/>
        </w:rPr>
        <w:t xml:space="preserve">Definir muestra y población, ejemplificar. </w:t>
      </w:r>
    </w:p>
    <w:p w:rsidR="00000000" w:rsidDel="00000000" w:rsidP="00000000" w:rsidRDefault="00000000" w:rsidRPr="00000000" w14:paraId="00000005">
      <w:pPr>
        <w:numPr>
          <w:ilvl w:val="0"/>
          <w:numId w:val="2"/>
        </w:numPr>
        <w:spacing w:line="360" w:lineRule="auto"/>
        <w:ind w:left="720" w:hanging="360"/>
        <w:jc w:val="both"/>
        <w:rPr>
          <w:u w:val="none"/>
        </w:rPr>
      </w:pPr>
      <w:r w:rsidDel="00000000" w:rsidR="00000000" w:rsidRPr="00000000">
        <w:rPr>
          <w:rtl w:val="0"/>
        </w:rPr>
        <w:t xml:space="preserve">Dar ejemplos de encuestas dónde utilicen variables cualitativas y cuantitativas</w:t>
      </w:r>
    </w:p>
    <w:p w:rsidR="00000000" w:rsidDel="00000000" w:rsidP="00000000" w:rsidRDefault="00000000" w:rsidRPr="00000000" w14:paraId="00000006">
      <w:pPr>
        <w:numPr>
          <w:ilvl w:val="0"/>
          <w:numId w:val="2"/>
        </w:numPr>
        <w:spacing w:line="360" w:lineRule="auto"/>
        <w:ind w:left="720" w:hanging="360"/>
        <w:jc w:val="both"/>
        <w:rPr>
          <w:u w:val="none"/>
        </w:rPr>
      </w:pPr>
      <w:r w:rsidDel="00000000" w:rsidR="00000000" w:rsidRPr="00000000">
        <w:rPr>
          <w:rtl w:val="0"/>
        </w:rPr>
        <w:t xml:space="preserve">Se midió el colesterol total de 50 pacientes. Armá una tabla de frecuencias con 5 clases de igual amplitud, y hacé el Histograma correspondiente. Los datos son: 171, 178, 175, 173, 182, 189, 184, 188, 181. 187, 186, 188, 198, 191, 191. 195, 197. 196, 199, 194, 199. 197, 194, 193, 205, 209, 207, 204, 207, 206, 208, 201,203, 202, 202, 201, 207. 205. 208, 207, 215, 211, 213, 218, 212, 222, 227, 228, 234, 243.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6yim0bp77yom" w:id="1"/>
      <w:bookmarkEnd w:id="1"/>
      <w:r w:rsidDel="00000000" w:rsidR="00000000" w:rsidRPr="00000000">
        <w:rPr>
          <w:rtl w:val="0"/>
        </w:rPr>
        <w:t xml:space="preserve">RESPUESTAS: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sz w:val="24"/>
          <w:szCs w:val="24"/>
        </w:rPr>
      </w:pPr>
      <w:r w:rsidDel="00000000" w:rsidR="00000000" w:rsidRPr="00000000">
        <w:rPr>
          <w:sz w:val="24"/>
          <w:szCs w:val="24"/>
          <w:rtl w:val="0"/>
        </w:rPr>
        <w:t xml:space="preserve">Población: La población yo entiendo que es el conjunto de todos los integrantes del grupo bajo análisis, por ejemplo si estamos haciendo un análisis sobre consumo de tabaco en Santiago de Chile, la población bajo análisis son todos los que viven en Santiago de Chile o sea el conjunto sobre el cual vamos a querer sacar la conclusión.</w:t>
      </w:r>
    </w:p>
    <w:p w:rsidR="00000000" w:rsidDel="00000000" w:rsidP="00000000" w:rsidRDefault="00000000" w:rsidRPr="00000000" w14:paraId="0000000B">
      <w:pPr>
        <w:spacing w:line="360" w:lineRule="auto"/>
        <w:ind w:left="720" w:firstLine="0"/>
        <w:jc w:val="both"/>
        <w:rPr>
          <w:sz w:val="24"/>
          <w:szCs w:val="24"/>
        </w:rPr>
      </w:pPr>
      <w:r w:rsidDel="00000000" w:rsidR="00000000" w:rsidRPr="00000000">
        <w:rPr>
          <w:sz w:val="24"/>
          <w:szCs w:val="24"/>
          <w:rtl w:val="0"/>
        </w:rPr>
        <w:t xml:space="preserve">Muestra: Justamente como por ahi es muy complicado/costoso hacer esto de censar a todos lo que se hace es se toma un conjunto representativo o que consideramos  representativo de la población para trabajar con él, a esto se le llama muestra, es un subconjunto de la población, representativo de la misma, en este caso podríamos tomar por ejemplo 10000 personas de Santiago de Chile que cumplan determinados criterios de forma tal que representen a la población general de Santiago de Chile. </w:t>
      </w:r>
    </w:p>
    <w:p w:rsidR="00000000" w:rsidDel="00000000" w:rsidP="00000000" w:rsidRDefault="00000000" w:rsidRPr="00000000" w14:paraId="0000000C">
      <w:pPr>
        <w:numPr>
          <w:ilvl w:val="0"/>
          <w:numId w:val="1"/>
        </w:numPr>
        <w:spacing w:line="360" w:lineRule="auto"/>
        <w:ind w:left="720" w:hanging="360"/>
        <w:jc w:val="both"/>
        <w:rPr>
          <w:sz w:val="24"/>
          <w:szCs w:val="24"/>
        </w:rPr>
      </w:pPr>
      <w:r w:rsidDel="00000000" w:rsidR="00000000" w:rsidRPr="00000000">
        <w:rPr>
          <w:sz w:val="24"/>
          <w:szCs w:val="24"/>
          <w:rtl w:val="0"/>
        </w:rPr>
        <w:t xml:space="preserve">Las encuestas para otorgar becas de ayuda económica para estudiantes preguntan cosas como “que tan buena es tu conexión a internet” o  “que tan apropiados consideras que son tus dispositivos para realizar el cursado de las clases” estas son preguntas cualitativas ya que la respuesta no es un número, sino una clase.</w:t>
      </w:r>
    </w:p>
    <w:p w:rsidR="00000000" w:rsidDel="00000000" w:rsidP="00000000" w:rsidRDefault="00000000" w:rsidRPr="00000000" w14:paraId="0000000D">
      <w:pPr>
        <w:spacing w:line="360" w:lineRule="auto"/>
        <w:ind w:left="720" w:firstLine="0"/>
        <w:jc w:val="both"/>
        <w:rPr>
          <w:sz w:val="24"/>
          <w:szCs w:val="24"/>
        </w:rPr>
      </w:pPr>
      <w:r w:rsidDel="00000000" w:rsidR="00000000" w:rsidRPr="00000000">
        <w:rPr>
          <w:sz w:val="24"/>
          <w:szCs w:val="24"/>
          <w:rtl w:val="0"/>
        </w:rPr>
        <w:t xml:space="preserve">En cambio cuando te preguntan por ejemplo “Cuantos hijos tenés” o “Cuales son tus ingresos por grupo familiar” son datos cuantitativos ya que la respuesta es un número.</w:t>
      </w:r>
    </w:p>
    <w:p w:rsidR="00000000" w:rsidDel="00000000" w:rsidP="00000000" w:rsidRDefault="00000000" w:rsidRPr="00000000" w14:paraId="0000000E">
      <w:pPr>
        <w:numPr>
          <w:ilvl w:val="0"/>
          <w:numId w:val="1"/>
        </w:numPr>
        <w:spacing w:line="360" w:lineRule="auto"/>
        <w:ind w:left="720" w:hanging="360"/>
        <w:jc w:val="both"/>
        <w:rPr>
          <w:sz w:val="24"/>
          <w:szCs w:val="24"/>
        </w:rPr>
      </w:pPr>
      <w:r w:rsidDel="00000000" w:rsidR="00000000" w:rsidRPr="00000000">
        <w:rPr>
          <w:sz w:val="24"/>
          <w:szCs w:val="24"/>
          <w:rtl w:val="0"/>
        </w:rPr>
        <w:t xml:space="preserve">Los grupos tienen que ser 5, y tenemos que el dato mayor es 243 y el menor es 171 entonces la amplitud será: d = ( 243 - 171 )/ 5 = 14.4, teniendo esto en mente hago la siguiente tabla.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7.757617254365"/>
        <w:gridCol w:w="1226.2923656282096"/>
        <w:gridCol w:w="1226.2923656282096"/>
        <w:gridCol w:w="1226.2923656282096"/>
        <w:gridCol w:w="1226.2923656282096"/>
        <w:gridCol w:w="1226.2923656282096"/>
        <w:gridCol w:w="1226.2923656282096"/>
        <w:tblGridChange w:id="0">
          <w:tblGrid>
            <w:gridCol w:w="1667.757617254365"/>
            <w:gridCol w:w="1226.2923656282096"/>
            <w:gridCol w:w="1226.2923656282096"/>
            <w:gridCol w:w="1226.2923656282096"/>
            <w:gridCol w:w="1226.2923656282096"/>
            <w:gridCol w:w="1226.2923656282096"/>
            <w:gridCol w:w="1226.2923656282096"/>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2">
            <w:pPr>
              <w:widowControl w:val="0"/>
              <w:rPr>
                <w:sz w:val="20"/>
                <w:szCs w:val="20"/>
              </w:rPr>
            </w:pPr>
            <w:r w:rsidDel="00000000" w:rsidR="00000000" w:rsidRPr="00000000">
              <w:rPr>
                <w:rFonts w:ascii="Roboto" w:cs="Roboto" w:eastAsia="Roboto" w:hAnsi="Roboto"/>
                <w:color w:val="ffffff"/>
                <w:sz w:val="20"/>
                <w:szCs w:val="20"/>
                <w:rtl w:val="0"/>
              </w:rPr>
              <w:t xml:space="preserve">Colesterol Total</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3">
            <w:pPr>
              <w:widowControl w:val="0"/>
              <w:rPr>
                <w:sz w:val="20"/>
                <w:szCs w:val="20"/>
              </w:rPr>
            </w:pPr>
            <w:r w:rsidDel="00000000" w:rsidR="00000000" w:rsidRPr="00000000">
              <w:rPr>
                <w:rFonts w:ascii="Roboto" w:cs="Roboto" w:eastAsia="Roboto" w:hAnsi="Roboto"/>
                <w:color w:val="ffffff"/>
                <w:sz w:val="20"/>
                <w:szCs w:val="20"/>
                <w:rtl w:val="0"/>
              </w:rPr>
              <w:t xml:space="preserve">f</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4">
            <w:pPr>
              <w:widowControl w:val="0"/>
              <w:rPr>
                <w:sz w:val="20"/>
                <w:szCs w:val="20"/>
              </w:rPr>
            </w:pPr>
            <w:r w:rsidDel="00000000" w:rsidR="00000000" w:rsidRPr="00000000">
              <w:rPr>
                <w:rFonts w:ascii="Roboto" w:cs="Roboto" w:eastAsia="Roboto" w:hAnsi="Roboto"/>
                <w:color w:val="ffffff"/>
                <w:sz w:val="20"/>
                <w:szCs w:val="20"/>
                <w:rtl w:val="0"/>
              </w:rPr>
              <w:t xml:space="preserve">fr</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5">
            <w:pPr>
              <w:widowControl w:val="0"/>
              <w:rPr>
                <w:sz w:val="20"/>
                <w:szCs w:val="20"/>
              </w:rPr>
            </w:pPr>
            <w:r w:rsidDel="00000000" w:rsidR="00000000" w:rsidRPr="00000000">
              <w:rPr>
                <w:rFonts w:ascii="Roboto" w:cs="Roboto" w:eastAsia="Roboto" w:hAnsi="Roboto"/>
                <w:color w:val="ffffff"/>
                <w:sz w:val="20"/>
                <w:szCs w:val="20"/>
                <w:rtl w:val="0"/>
              </w:rPr>
              <w:t xml:space="preserve">f%</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6">
            <w:pPr>
              <w:widowControl w:val="0"/>
              <w:rPr>
                <w:sz w:val="20"/>
                <w:szCs w:val="20"/>
              </w:rPr>
            </w:pPr>
            <w:r w:rsidDel="00000000" w:rsidR="00000000" w:rsidRPr="00000000">
              <w:rPr>
                <w:rFonts w:ascii="Roboto" w:cs="Roboto" w:eastAsia="Roboto" w:hAnsi="Roboto"/>
                <w:color w:val="ffffff"/>
                <w:sz w:val="20"/>
                <w:szCs w:val="20"/>
                <w:rtl w:val="0"/>
              </w:rPr>
              <w:t xml:space="preserve">F</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7">
            <w:pPr>
              <w:widowControl w:val="0"/>
              <w:rPr>
                <w:sz w:val="20"/>
                <w:szCs w:val="20"/>
              </w:rPr>
            </w:pPr>
            <w:r w:rsidDel="00000000" w:rsidR="00000000" w:rsidRPr="00000000">
              <w:rPr>
                <w:rFonts w:ascii="Roboto" w:cs="Roboto" w:eastAsia="Roboto" w:hAnsi="Roboto"/>
                <w:color w:val="ffffff"/>
                <w:sz w:val="20"/>
                <w:szCs w:val="20"/>
                <w:rtl w:val="0"/>
              </w:rPr>
              <w:t xml:space="preserve">Fr</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8">
            <w:pPr>
              <w:widowControl w:val="0"/>
              <w:rPr>
                <w:sz w:val="20"/>
                <w:szCs w:val="20"/>
              </w:rPr>
            </w:pPr>
            <w:r w:rsidDel="00000000" w:rsidR="00000000" w:rsidRPr="00000000">
              <w:rPr>
                <w:rFonts w:ascii="Roboto" w:cs="Roboto" w:eastAsia="Roboto" w:hAnsi="Roboto"/>
                <w:color w:val="ffffff"/>
                <w:sz w:val="20"/>
                <w:szCs w:val="20"/>
                <w:rtl w:val="0"/>
              </w:rPr>
              <w:t xml:space="preserve">F%</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9">
            <w:pPr>
              <w:widowControl w:val="0"/>
              <w:rPr>
                <w:sz w:val="20"/>
                <w:szCs w:val="20"/>
              </w:rPr>
            </w:pPr>
            <w:r w:rsidDel="00000000" w:rsidR="00000000" w:rsidRPr="00000000">
              <w:rPr>
                <w:rFonts w:ascii="Roboto" w:cs="Roboto" w:eastAsia="Roboto" w:hAnsi="Roboto"/>
                <w:color w:val="434343"/>
                <w:sz w:val="20"/>
                <w:szCs w:val="20"/>
                <w:rtl w:val="0"/>
              </w:rPr>
              <w:t xml:space="preserve">[171, 185.4)</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A">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B">
            <w:pPr>
              <w:widowControl w:val="0"/>
              <w:jc w:val="right"/>
              <w:rPr>
                <w:sz w:val="20"/>
                <w:szCs w:val="20"/>
              </w:rPr>
            </w:pPr>
            <w:r w:rsidDel="00000000" w:rsidR="00000000" w:rsidRPr="00000000">
              <w:rPr>
                <w:rFonts w:ascii="Roboto" w:cs="Roboto" w:eastAsia="Roboto" w:hAnsi="Roboto"/>
                <w:color w:val="434343"/>
                <w:sz w:val="20"/>
                <w:szCs w:val="20"/>
                <w:rtl w:val="0"/>
              </w:rPr>
              <w:t xml:space="preserve">0.14</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C">
            <w:pPr>
              <w:widowControl w:val="0"/>
              <w:jc w:val="right"/>
              <w:rPr>
                <w:sz w:val="20"/>
                <w:szCs w:val="20"/>
              </w:rPr>
            </w:pPr>
            <w:r w:rsidDel="00000000" w:rsidR="00000000" w:rsidRPr="00000000">
              <w:rPr>
                <w:rFonts w:ascii="Roboto" w:cs="Roboto" w:eastAsia="Roboto" w:hAnsi="Roboto"/>
                <w:color w:val="434343"/>
                <w:sz w:val="20"/>
                <w:szCs w:val="20"/>
                <w:rtl w:val="0"/>
              </w:rPr>
              <w:t xml:space="preserve">14.00%</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D">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E">
            <w:pPr>
              <w:widowControl w:val="0"/>
              <w:jc w:val="right"/>
              <w:rPr>
                <w:sz w:val="20"/>
                <w:szCs w:val="20"/>
              </w:rPr>
            </w:pPr>
            <w:r w:rsidDel="00000000" w:rsidR="00000000" w:rsidRPr="00000000">
              <w:rPr>
                <w:rFonts w:ascii="Roboto" w:cs="Roboto" w:eastAsia="Roboto" w:hAnsi="Roboto"/>
                <w:color w:val="434343"/>
                <w:sz w:val="20"/>
                <w:szCs w:val="20"/>
                <w:rtl w:val="0"/>
              </w:rPr>
              <w:t xml:space="preserve">0.14</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F">
            <w:pPr>
              <w:widowControl w:val="0"/>
              <w:jc w:val="right"/>
              <w:rPr>
                <w:sz w:val="20"/>
                <w:szCs w:val="20"/>
              </w:rPr>
            </w:pPr>
            <w:r w:rsidDel="00000000" w:rsidR="00000000" w:rsidRPr="00000000">
              <w:rPr>
                <w:rFonts w:ascii="Roboto" w:cs="Roboto" w:eastAsia="Roboto" w:hAnsi="Roboto"/>
                <w:color w:val="434343"/>
                <w:sz w:val="20"/>
                <w:szCs w:val="20"/>
                <w:rtl w:val="0"/>
              </w:rPr>
              <w:t xml:space="preserve">14.00%</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0">
            <w:pPr>
              <w:widowControl w:val="0"/>
              <w:rPr>
                <w:sz w:val="20"/>
                <w:szCs w:val="20"/>
              </w:rPr>
            </w:pPr>
            <w:r w:rsidDel="00000000" w:rsidR="00000000" w:rsidRPr="00000000">
              <w:rPr>
                <w:rFonts w:ascii="Roboto" w:cs="Roboto" w:eastAsia="Roboto" w:hAnsi="Roboto"/>
                <w:color w:val="434343"/>
                <w:sz w:val="20"/>
                <w:szCs w:val="20"/>
                <w:rtl w:val="0"/>
              </w:rPr>
              <w:t xml:space="preserve">[185.4, 199.8)</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1">
            <w:pPr>
              <w:widowControl w:val="0"/>
              <w:jc w:val="right"/>
              <w:rPr>
                <w:sz w:val="20"/>
                <w:szCs w:val="20"/>
              </w:rPr>
            </w:pPr>
            <w:r w:rsidDel="00000000" w:rsidR="00000000" w:rsidRPr="00000000">
              <w:rPr>
                <w:rFonts w:ascii="Roboto" w:cs="Roboto" w:eastAsia="Roboto" w:hAnsi="Roboto"/>
                <w:color w:val="434343"/>
                <w:sz w:val="20"/>
                <w:szCs w:val="20"/>
                <w:rtl w:val="0"/>
              </w:rPr>
              <w:t xml:space="preserve">17</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2">
            <w:pPr>
              <w:widowControl w:val="0"/>
              <w:jc w:val="right"/>
              <w:rPr>
                <w:sz w:val="20"/>
                <w:szCs w:val="20"/>
              </w:rPr>
            </w:pPr>
            <w:r w:rsidDel="00000000" w:rsidR="00000000" w:rsidRPr="00000000">
              <w:rPr>
                <w:rFonts w:ascii="Roboto" w:cs="Roboto" w:eastAsia="Roboto" w:hAnsi="Roboto"/>
                <w:color w:val="434343"/>
                <w:sz w:val="20"/>
                <w:szCs w:val="20"/>
                <w:rtl w:val="0"/>
              </w:rPr>
              <w:t xml:space="preserve">0.34</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3">
            <w:pPr>
              <w:widowControl w:val="0"/>
              <w:jc w:val="right"/>
              <w:rPr>
                <w:sz w:val="20"/>
                <w:szCs w:val="20"/>
              </w:rPr>
            </w:pPr>
            <w:r w:rsidDel="00000000" w:rsidR="00000000" w:rsidRPr="00000000">
              <w:rPr>
                <w:rFonts w:ascii="Roboto" w:cs="Roboto" w:eastAsia="Roboto" w:hAnsi="Roboto"/>
                <w:color w:val="434343"/>
                <w:sz w:val="20"/>
                <w:szCs w:val="20"/>
                <w:rtl w:val="0"/>
              </w:rPr>
              <w:t xml:space="preserve">34.00%</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4">
            <w:pPr>
              <w:widowControl w:val="0"/>
              <w:jc w:val="right"/>
              <w:rPr>
                <w:sz w:val="20"/>
                <w:szCs w:val="20"/>
              </w:rPr>
            </w:pPr>
            <w:r w:rsidDel="00000000" w:rsidR="00000000" w:rsidRPr="00000000">
              <w:rPr>
                <w:rFonts w:ascii="Roboto" w:cs="Roboto" w:eastAsia="Roboto" w:hAnsi="Roboto"/>
                <w:color w:val="434343"/>
                <w:sz w:val="20"/>
                <w:szCs w:val="20"/>
                <w:rtl w:val="0"/>
              </w:rPr>
              <w:t xml:space="preserve">24</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5">
            <w:pPr>
              <w:widowControl w:val="0"/>
              <w:jc w:val="right"/>
              <w:rPr>
                <w:sz w:val="20"/>
                <w:szCs w:val="20"/>
              </w:rPr>
            </w:pPr>
            <w:r w:rsidDel="00000000" w:rsidR="00000000" w:rsidRPr="00000000">
              <w:rPr>
                <w:rFonts w:ascii="Roboto" w:cs="Roboto" w:eastAsia="Roboto" w:hAnsi="Roboto"/>
                <w:color w:val="434343"/>
                <w:sz w:val="20"/>
                <w:szCs w:val="20"/>
                <w:rtl w:val="0"/>
              </w:rPr>
              <w:t xml:space="preserve">0.48</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6">
            <w:pPr>
              <w:widowControl w:val="0"/>
              <w:jc w:val="right"/>
              <w:rPr>
                <w:sz w:val="20"/>
                <w:szCs w:val="20"/>
              </w:rPr>
            </w:pPr>
            <w:r w:rsidDel="00000000" w:rsidR="00000000" w:rsidRPr="00000000">
              <w:rPr>
                <w:rFonts w:ascii="Roboto" w:cs="Roboto" w:eastAsia="Roboto" w:hAnsi="Roboto"/>
                <w:color w:val="434343"/>
                <w:sz w:val="20"/>
                <w:szCs w:val="20"/>
                <w:rtl w:val="0"/>
              </w:rPr>
              <w:t xml:space="preserve">48.00%</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7">
            <w:pPr>
              <w:widowControl w:val="0"/>
              <w:rPr>
                <w:sz w:val="20"/>
                <w:szCs w:val="20"/>
              </w:rPr>
            </w:pPr>
            <w:r w:rsidDel="00000000" w:rsidR="00000000" w:rsidRPr="00000000">
              <w:rPr>
                <w:rFonts w:ascii="Roboto" w:cs="Roboto" w:eastAsia="Roboto" w:hAnsi="Roboto"/>
                <w:color w:val="434343"/>
                <w:sz w:val="20"/>
                <w:szCs w:val="20"/>
                <w:rtl w:val="0"/>
              </w:rPr>
              <w:t xml:space="preserve">[199.8, 214.2)</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8">
            <w:pPr>
              <w:widowControl w:val="0"/>
              <w:jc w:val="right"/>
              <w:rPr>
                <w:sz w:val="20"/>
                <w:szCs w:val="20"/>
              </w:rPr>
            </w:pPr>
            <w:r w:rsidDel="00000000" w:rsidR="00000000" w:rsidRPr="00000000">
              <w:rPr>
                <w:rFonts w:ascii="Roboto" w:cs="Roboto" w:eastAsia="Roboto" w:hAnsi="Roboto"/>
                <w:color w:val="434343"/>
                <w:sz w:val="20"/>
                <w:szCs w:val="20"/>
                <w:rtl w:val="0"/>
              </w:rPr>
              <w:t xml:space="preserve">19</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9">
            <w:pPr>
              <w:widowControl w:val="0"/>
              <w:jc w:val="right"/>
              <w:rPr>
                <w:sz w:val="20"/>
                <w:szCs w:val="20"/>
              </w:rPr>
            </w:pPr>
            <w:r w:rsidDel="00000000" w:rsidR="00000000" w:rsidRPr="00000000">
              <w:rPr>
                <w:rFonts w:ascii="Roboto" w:cs="Roboto" w:eastAsia="Roboto" w:hAnsi="Roboto"/>
                <w:color w:val="434343"/>
                <w:sz w:val="20"/>
                <w:szCs w:val="20"/>
                <w:rtl w:val="0"/>
              </w:rPr>
              <w:t xml:space="preserve">0.38</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A">
            <w:pPr>
              <w:widowControl w:val="0"/>
              <w:jc w:val="right"/>
              <w:rPr>
                <w:sz w:val="20"/>
                <w:szCs w:val="20"/>
              </w:rPr>
            </w:pPr>
            <w:r w:rsidDel="00000000" w:rsidR="00000000" w:rsidRPr="00000000">
              <w:rPr>
                <w:rFonts w:ascii="Roboto" w:cs="Roboto" w:eastAsia="Roboto" w:hAnsi="Roboto"/>
                <w:color w:val="434343"/>
                <w:sz w:val="20"/>
                <w:szCs w:val="20"/>
                <w:rtl w:val="0"/>
              </w:rPr>
              <w:t xml:space="preserve">38.00%</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B">
            <w:pPr>
              <w:widowControl w:val="0"/>
              <w:jc w:val="right"/>
              <w:rPr>
                <w:sz w:val="20"/>
                <w:szCs w:val="20"/>
              </w:rPr>
            </w:pPr>
            <w:r w:rsidDel="00000000" w:rsidR="00000000" w:rsidRPr="00000000">
              <w:rPr>
                <w:rFonts w:ascii="Roboto" w:cs="Roboto" w:eastAsia="Roboto" w:hAnsi="Roboto"/>
                <w:color w:val="434343"/>
                <w:sz w:val="20"/>
                <w:szCs w:val="20"/>
                <w:rtl w:val="0"/>
              </w:rPr>
              <w:t xml:space="preserve">43</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C">
            <w:pPr>
              <w:widowControl w:val="0"/>
              <w:jc w:val="right"/>
              <w:rPr>
                <w:sz w:val="20"/>
                <w:szCs w:val="20"/>
              </w:rPr>
            </w:pPr>
            <w:r w:rsidDel="00000000" w:rsidR="00000000" w:rsidRPr="00000000">
              <w:rPr>
                <w:rFonts w:ascii="Roboto" w:cs="Roboto" w:eastAsia="Roboto" w:hAnsi="Roboto"/>
                <w:color w:val="434343"/>
                <w:sz w:val="20"/>
                <w:szCs w:val="20"/>
                <w:rtl w:val="0"/>
              </w:rPr>
              <w:t xml:space="preserve">0.86</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D">
            <w:pPr>
              <w:widowControl w:val="0"/>
              <w:jc w:val="right"/>
              <w:rPr>
                <w:sz w:val="20"/>
                <w:szCs w:val="20"/>
              </w:rPr>
            </w:pPr>
            <w:r w:rsidDel="00000000" w:rsidR="00000000" w:rsidRPr="00000000">
              <w:rPr>
                <w:rFonts w:ascii="Roboto" w:cs="Roboto" w:eastAsia="Roboto" w:hAnsi="Roboto"/>
                <w:color w:val="434343"/>
                <w:sz w:val="20"/>
                <w:szCs w:val="20"/>
                <w:rtl w:val="0"/>
              </w:rPr>
              <w:t xml:space="preserve">86.00%</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color w:val="434343"/>
                <w:sz w:val="20"/>
                <w:szCs w:val="20"/>
                <w:rtl w:val="0"/>
              </w:rPr>
              <w:t xml:space="preserve">[214.2, 228.6)</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F">
            <w:pPr>
              <w:widowControl w:val="0"/>
              <w:jc w:val="right"/>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0">
            <w:pPr>
              <w:widowControl w:val="0"/>
              <w:jc w:val="right"/>
              <w:rPr>
                <w:sz w:val="20"/>
                <w:szCs w:val="20"/>
              </w:rPr>
            </w:pPr>
            <w:r w:rsidDel="00000000" w:rsidR="00000000" w:rsidRPr="00000000">
              <w:rPr>
                <w:rFonts w:ascii="Roboto" w:cs="Roboto" w:eastAsia="Roboto" w:hAnsi="Roboto"/>
                <w:color w:val="434343"/>
                <w:sz w:val="20"/>
                <w:szCs w:val="20"/>
                <w:rtl w:val="0"/>
              </w:rPr>
              <w:t xml:space="preserve">0.10</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1">
            <w:pPr>
              <w:widowControl w:val="0"/>
              <w:jc w:val="right"/>
              <w:rPr>
                <w:sz w:val="20"/>
                <w:szCs w:val="20"/>
              </w:rPr>
            </w:pPr>
            <w:r w:rsidDel="00000000" w:rsidR="00000000" w:rsidRPr="00000000">
              <w:rPr>
                <w:rFonts w:ascii="Roboto" w:cs="Roboto" w:eastAsia="Roboto" w:hAnsi="Roboto"/>
                <w:color w:val="434343"/>
                <w:sz w:val="20"/>
                <w:szCs w:val="20"/>
                <w:rtl w:val="0"/>
              </w:rPr>
              <w:t xml:space="preserve">10.00%</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2">
            <w:pPr>
              <w:widowControl w:val="0"/>
              <w:jc w:val="right"/>
              <w:rPr>
                <w:sz w:val="20"/>
                <w:szCs w:val="20"/>
              </w:rPr>
            </w:pPr>
            <w:r w:rsidDel="00000000" w:rsidR="00000000" w:rsidRPr="00000000">
              <w:rPr>
                <w:rFonts w:ascii="Roboto" w:cs="Roboto" w:eastAsia="Roboto" w:hAnsi="Roboto"/>
                <w:color w:val="434343"/>
                <w:sz w:val="20"/>
                <w:szCs w:val="20"/>
                <w:rtl w:val="0"/>
              </w:rPr>
              <w:t xml:space="preserve">48</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3">
            <w:pPr>
              <w:widowControl w:val="0"/>
              <w:jc w:val="right"/>
              <w:rPr>
                <w:sz w:val="20"/>
                <w:szCs w:val="20"/>
              </w:rPr>
            </w:pPr>
            <w:r w:rsidDel="00000000" w:rsidR="00000000" w:rsidRPr="00000000">
              <w:rPr>
                <w:rFonts w:ascii="Roboto" w:cs="Roboto" w:eastAsia="Roboto" w:hAnsi="Roboto"/>
                <w:color w:val="434343"/>
                <w:sz w:val="20"/>
                <w:szCs w:val="20"/>
                <w:rtl w:val="0"/>
              </w:rPr>
              <w:t xml:space="preserve">0.96</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4">
            <w:pPr>
              <w:widowControl w:val="0"/>
              <w:jc w:val="right"/>
              <w:rPr>
                <w:sz w:val="20"/>
                <w:szCs w:val="20"/>
              </w:rPr>
            </w:pPr>
            <w:r w:rsidDel="00000000" w:rsidR="00000000" w:rsidRPr="00000000">
              <w:rPr>
                <w:rFonts w:ascii="Roboto" w:cs="Roboto" w:eastAsia="Roboto" w:hAnsi="Roboto"/>
                <w:color w:val="434343"/>
                <w:sz w:val="20"/>
                <w:szCs w:val="20"/>
                <w:rtl w:val="0"/>
              </w:rPr>
              <w:t xml:space="preserve">96.00%</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color w:val="434343"/>
                <w:sz w:val="20"/>
                <w:szCs w:val="20"/>
                <w:rtl w:val="0"/>
              </w:rPr>
              <w:t xml:space="preserve">[228.6, 243]</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6">
            <w:pPr>
              <w:widowControl w:val="0"/>
              <w:jc w:val="right"/>
              <w:rPr>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7">
            <w:pPr>
              <w:widowControl w:val="0"/>
              <w:jc w:val="right"/>
              <w:rPr>
                <w:sz w:val="20"/>
                <w:szCs w:val="20"/>
              </w:rPr>
            </w:pPr>
            <w:r w:rsidDel="00000000" w:rsidR="00000000" w:rsidRPr="00000000">
              <w:rPr>
                <w:rFonts w:ascii="Roboto" w:cs="Roboto" w:eastAsia="Roboto" w:hAnsi="Roboto"/>
                <w:color w:val="434343"/>
                <w:sz w:val="20"/>
                <w:szCs w:val="20"/>
                <w:rtl w:val="0"/>
              </w:rPr>
              <w:t xml:space="preserve">0.04</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8">
            <w:pPr>
              <w:widowControl w:val="0"/>
              <w:jc w:val="right"/>
              <w:rPr>
                <w:sz w:val="20"/>
                <w:szCs w:val="20"/>
              </w:rPr>
            </w:pPr>
            <w:r w:rsidDel="00000000" w:rsidR="00000000" w:rsidRPr="00000000">
              <w:rPr>
                <w:rFonts w:ascii="Roboto" w:cs="Roboto" w:eastAsia="Roboto" w:hAnsi="Roboto"/>
                <w:color w:val="434343"/>
                <w:sz w:val="20"/>
                <w:szCs w:val="20"/>
                <w:rtl w:val="0"/>
              </w:rPr>
              <w:t xml:space="preserve">4.00%</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9">
            <w:pPr>
              <w:widowControl w:val="0"/>
              <w:jc w:val="right"/>
              <w:rPr>
                <w:sz w:val="20"/>
                <w:szCs w:val="20"/>
              </w:rPr>
            </w:pPr>
            <w:r w:rsidDel="00000000" w:rsidR="00000000" w:rsidRPr="00000000">
              <w:rPr>
                <w:rFonts w:ascii="Roboto" w:cs="Roboto" w:eastAsia="Roboto" w:hAnsi="Roboto"/>
                <w:color w:val="434343"/>
                <w:sz w:val="20"/>
                <w:szCs w:val="20"/>
                <w:rtl w:val="0"/>
              </w:rPr>
              <w:t xml:space="preserve">50</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A">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B">
            <w:pPr>
              <w:widowControl w:val="0"/>
              <w:jc w:val="right"/>
              <w:rPr>
                <w:sz w:val="20"/>
                <w:szCs w:val="20"/>
              </w:rPr>
            </w:pPr>
            <w:r w:rsidDel="00000000" w:rsidR="00000000" w:rsidRPr="00000000">
              <w:rPr>
                <w:rFonts w:ascii="Roboto" w:cs="Roboto" w:eastAsia="Roboto" w:hAnsi="Roboto"/>
                <w:color w:val="434343"/>
                <w:sz w:val="20"/>
                <w:szCs w:val="20"/>
                <w:rtl w:val="0"/>
              </w:rPr>
              <w:t xml:space="preserve">100.00%</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D">
            <w:pPr>
              <w:widowControl w:val="0"/>
              <w:jc w:val="right"/>
              <w:rPr>
                <w:sz w:val="20"/>
                <w:szCs w:val="20"/>
              </w:rPr>
            </w:pPr>
            <w:r w:rsidDel="00000000" w:rsidR="00000000" w:rsidRPr="00000000">
              <w:rPr>
                <w:rFonts w:ascii="Roboto" w:cs="Roboto" w:eastAsia="Roboto" w:hAnsi="Roboto"/>
                <w:color w:val="434343"/>
                <w:sz w:val="20"/>
                <w:szCs w:val="20"/>
                <w:rtl w:val="0"/>
              </w:rPr>
              <w:t xml:space="preserve">50</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E">
            <w:pPr>
              <w:widowControl w:val="0"/>
              <w:jc w:val="right"/>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F">
            <w:pPr>
              <w:widowControl w:val="0"/>
              <w:jc w:val="right"/>
              <w:rPr>
                <w:sz w:val="20"/>
                <w:szCs w:val="20"/>
              </w:rPr>
            </w:pPr>
            <w:r w:rsidDel="00000000" w:rsidR="00000000" w:rsidRPr="00000000">
              <w:rPr>
                <w:rFonts w:ascii="Roboto" w:cs="Roboto" w:eastAsia="Roboto" w:hAnsi="Roboto"/>
                <w:color w:val="434343"/>
                <w:sz w:val="20"/>
                <w:szCs w:val="20"/>
                <w:rtl w:val="0"/>
              </w:rPr>
              <w:t xml:space="preserve">100.00%</w:t>
            </w: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284e3f"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42">
            <w:pPr>
              <w:widowControl w:val="0"/>
              <w:rPr>
                <w:sz w:val="20"/>
                <w:szCs w:val="20"/>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t xml:space="preserve">Posteriormente hago un histograma usando la frecuencia absoluta, por lo que vi se suele hacer con las relativas o absolutas, en este caso voy a usar la frecuencia absoluta ya que me parece que da más claridad.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809625</wp:posOffset>
            </wp:positionV>
            <wp:extent cx="5834063" cy="2619375"/>
            <wp:effectExtent b="0" l="0" r="0" t="0"/>
            <wp:wrapSquare wrapText="bothSides" distB="114300" distT="114300" distL="114300" distR="114300"/>
            <wp:docPr descr="Gráfico" id="1" name="image1.png"/>
            <a:graphic>
              <a:graphicData uri="http://schemas.openxmlformats.org/drawingml/2006/picture">
                <pic:pic>
                  <pic:nvPicPr>
                    <pic:cNvPr descr="Gráfico" id="0" name="image1.png"/>
                    <pic:cNvPicPr preferRelativeResize="0"/>
                  </pic:nvPicPr>
                  <pic:blipFill>
                    <a:blip r:embed="rId6"/>
                    <a:srcRect b="0" l="0" r="0" t="0"/>
                    <a:stretch>
                      <a:fillRect/>
                    </a:stretch>
                  </pic:blipFill>
                  <pic:spPr>
                    <a:xfrm>
                      <a:off x="0" y="0"/>
                      <a:ext cx="5834063" cy="2619375"/>
                    </a:xfrm>
                    <a:prstGeom prst="rect"/>
                    <a:ln/>
                  </pic:spPr>
                </pic:pic>
              </a:graphicData>
            </a:graphic>
          </wp:anchor>
        </w:drawing>
      </w:r>
    </w:p>
    <w:p w:rsidR="00000000" w:rsidDel="00000000" w:rsidP="00000000" w:rsidRDefault="00000000" w:rsidRPr="00000000" w14:paraId="00000047">
      <w:pPr>
        <w:spacing w:line="360" w:lineRule="auto"/>
        <w:jc w:val="both"/>
        <w:rPr/>
      </w:pPr>
      <w:r w:rsidDel="00000000" w:rsidR="00000000" w:rsidRPr="00000000">
        <w:rPr>
          <w:rtl w:val="0"/>
        </w:rPr>
        <w:t xml:space="preserve">En el histograma parece verse que la mayoría de las personas tienen colesterol total entre 185.4 y 214.2 y pocas personas tienen más de 228,6.</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