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Microsoft YaHei"/>
          <w:b/>
          <w:color w:val="2E74B5"/>
          <w:sz w:val="21"/>
        </w:rPr>
        <w:t>法拍房尽调报告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50"/>
        </w:rPr>
        <w:t>199 元档｜资料复核报告</w:t>
      </w:r>
    </w:p>
    <w:p>
      <w:pPr>
        <w:spacing w:before="0" w:after="320"/>
      </w:pPr>
      <w:r>
        <w:rPr>
          <w:rFonts w:ascii="Calibri" w:hAnsi="Calibri" w:eastAsia="Microsoft YaHei"/>
          <w:b w:val="0"/>
          <w:color w:val="5B6573"/>
          <w:sz w:val="25"/>
        </w:rPr>
        <w:t>用公告与评估报告交叉判断：值不值得继续准备参拍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标的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漳州市龙文区迎宾大道10号锦绣一方蔷薇里9幢3D号住宅不动产及家电家具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执行案号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(2026)闽0681执恢122号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2026年8月31日</w:t>
            </w:r>
          </w:p>
        </w:tc>
      </w:tr>
    </w:tbl>
    <w:p>
      <w:pPr>
        <w:pStyle w:val="Heading1"/>
        <w:keepNext/>
      </w:pPr>
      <w:r>
        <w:t>一页结论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谨慎参拍：产权与价格存在利好，但交房关键信息仍未核验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7A5A00"/>
                <w:sz w:val="20"/>
              </w:rPr>
              <w:t>结论说明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本档完成公开文书交叉复核与资金测算；不等同于已向法院、物业、税务或登记部门完成实际核验。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变卖价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评估价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参拍资金提示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936,944.46 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1,224,764 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需预缴变卖价全款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资料复核结果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公开资料结论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对决策的意义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权属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评估报告载明房、地两证齐全，产权人为单独所有。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具备过户基础；是否换发不动产权证等细节仍需后续确认。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抵押与查封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存在最高额抵押及查封信息。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过户可能涉及注销抵押、解除查封等流程，时间需预留。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土地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国有出让，使用年限至2074年2月27日。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一般不属于划拨土地补缴出让金的典型情形。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竞拍资金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变卖须预缴变卖价全款。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报名前须安排可用资金和支付通道。</w:t>
            </w:r>
          </w:p>
        </w:tc>
      </w:tr>
    </w:tbl>
    <w:p>
      <w:pPr>
        <w:pStyle w:val="Heading1"/>
        <w:keepNext/>
      </w:pPr>
      <w:r>
        <w:t>需要先看清的风险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900"/>
        <w:gridCol w:w="44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事项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对参拍的影响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占用 / 租赁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公开资料未明确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可能影响入住和交房时间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清场 / 腾退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法院未明确承诺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交房安排存在不确定性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欠费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公告提示可能存在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可能增加交割成本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B6573"/>
          <w:sz w:val="19"/>
        </w:rPr>
        <w:t>以上为公开资料呈现的风险信号，并不代表已经发生。能否参拍，取决于后续核验结果。</w:t>
      </w:r>
    </w:p>
    <w:p>
      <w:pPr>
        <w:pStyle w:val="Heading1"/>
        <w:keepNext/>
      </w:pPr>
      <w:r>
        <w:t>资金与税费判断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600"/>
        <w:gridCol w:w="2860"/>
      </w:tblGrid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公开资料基础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当前判断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契税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建筑面积 129.09㎡；买方承担。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约 0.94 万–1.41 万元，取决于购房资格与适用税率。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增值税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评估报告载明2014年购入。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满足满2年条件，通常可免征；最终以税务核定为准。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个人所得税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是否“满五唯一”未公示。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可能为0元或约2.81万元，需以实际核定为准。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未明费用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物业、水电、维修基金等金额未公示。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应预留额外资金；本档不认定实际欠费金额。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</w: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本档结论 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当前可确认的是“价格折让与产权基础”；无法确认的是“能否顺利交房”。因此本档不输出具体竞拍执行方案，也不将公开资料推断写成核验事实。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可升级的服务</w:t>
      </w:r>
    </w:p>
    <w:p>
      <w:pPr>
        <w:spacing w:before="0" w:after="100" w:line="264" w:lineRule="auto"/>
      </w:pPr>
      <w:r>
        <w:rPr>
          <w:rFonts w:ascii="Calibri" w:hAnsi="Calibri" w:eastAsia="Microsoft YaHei"/>
          <w:b w:val="0"/>
          <w:color w:val="0B2545"/>
          <w:sz w:val="21"/>
        </w:rPr>
        <w:t>如需把“未明风险”变成“已确认结果”，可升级 599 元深度核验：现场情况、一手沟通结果、欠费/占用核验、出价条件判断。竞拍执行、过户和交房协调属于另行委托的助拍服务。</w:t>
      </w:r>
    </w:p>
    <w:p>
      <w:pPr>
        <w:spacing w:before="160" w:after="0" w:line="252" w:lineRule="auto"/>
      </w:pPr>
      <w:r>
        <w:rPr>
          <w:rFonts w:ascii="Calibri" w:hAnsi="Calibri" w:eastAsia="Microsoft YaHei"/>
          <w:b/>
          <w:color w:val="5B6573"/>
          <w:sz w:val="17"/>
        </w:rPr>
        <w:t>报告说明：</w:t>
      </w:r>
      <w:r>
        <w:rPr>
          <w:rFonts w:ascii="Calibri" w:hAnsi="Calibri" w:eastAsia="Microsoft YaHei"/>
          <w:b w:val="0"/>
          <w:color w:val="5B6573"/>
          <w:sz w:val="17"/>
        </w:rPr>
        <w:t>信息依据为法院公开公告、变卖须知、调查情况表和资产评估报告；本档未实地看样，也未完成法院、物业、税务或登记部门的一手核验。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color w:val="5B6573"/>
        <w:sz w:val="17"/>
      </w:rPr>
      <w:t xml:space="preserve">法拍房尽调报告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锦绣一方9幢3D号-尽调报告（199元档·资料复核改版）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