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Microsoft YaHei"/>
          <w:b/>
          <w:color w:val="2E74B5"/>
          <w:sz w:val="21"/>
        </w:rPr>
        <w:t>法拍房尽调报告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50"/>
        </w:rPr>
        <w:t>599 元档｜深度核验报告</w:t>
      </w:r>
    </w:p>
    <w:p>
      <w:pPr>
        <w:spacing w:before="0" w:after="320"/>
      </w:pPr>
      <w:r>
        <w:rPr>
          <w:rFonts w:ascii="Calibri" w:hAnsi="Calibri" w:eastAsia="Microsoft YaHei"/>
          <w:b w:val="0"/>
          <w:color w:val="5B6573"/>
          <w:sz w:val="25"/>
        </w:rPr>
        <w:t>用一手核验结果判断：现在能不能出价、出价条件是什么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标的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漳州市龙文区迎宾大道10号锦绣一方蔷薇里9幢3D号住宅不动产及家电家具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执行案号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(2026)闽0681执恢122号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2026年8月31日</w:t>
            </w:r>
          </w:p>
        </w:tc>
      </w:tr>
    </w:tbl>
    <w:p>
      <w:pPr>
        <w:pStyle w:val="Heading1"/>
        <w:keepNext/>
      </w:pPr>
      <w:r>
        <w:t>一页结论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暂不输出最终参拍结论：当前材料缺少实地与一手核验记录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20"/>
              </w:rPr>
              <w:t>结论说明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本文件展示 599 元档应有的交付结构。现有材料仅含公开资料和平台图片，未提供实地、物业、法院或登记部门的一手核验结果，因此不将其伪装为“现场勘察”。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变卖价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评估价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参拍资金提示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936,944.46 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1,224,764 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需预缴变卖价全款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公开资料复核摘要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价格与资金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变卖价93.69万元，约为评估价76.5%；变卖参与需预缴变卖价全款。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产权与抵押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评估报告载明房、地两证齐全，单独所有；存在最高额抵押及查封信息。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税费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满2年信息对增值税较为有利；个税、欠费及其他交割费用仍以实际核定为准。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核心空白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占用、租赁、腾退、欠费、法院清场安排均未从现有材料得到一手确认。</w:t>
            </w:r>
          </w:p>
        </w:tc>
      </w:tr>
    </w:tbl>
    <w:p>
      <w:pPr>
        <w:pStyle w:val="Heading1"/>
        <w:keepNext/>
      </w:pPr>
      <w:r>
        <w:t>深度核验交付记录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60"/>
        <w:gridCol w:w="2900"/>
        <w:gridCol w:w="20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核验模块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应取得的证据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本次状态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交付后的决策价值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现场与占用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实拍楼栋、门口、公共区域；看样记录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未提供实地材料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判断是否有人居住及现场维护情况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法院 / 辅拍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沟通日期、对象、原始答复或书面凭据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未提供一手记录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判断清场、看样、过户配合条件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物业 / 欠费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物业反馈、欠费明细、交接要求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未提供一手记录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评估交房阻力及额外成本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登记 / 权利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登记簿查询结果、居住权/租赁等信息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未提供一手记录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判断是否存在影响使用或过户的权利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</w: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真实性说明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平台公示图片只能说明“平台展示了什么”，不能证明当前是否有人住、是否已腾空、是否存在欠费，也不能代替实地勘察。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599 元档应提供的决策输出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最终风险结论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根据已取得的一手证据，将占用、清场、欠费、权利状态分别标为已确认 / 有条件 / 不建议。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出价条件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只在无人占用或腾退路径明确、无重大租赁/居住权障碍、费用可控等前提同时满足时，才输出出价条件。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价格建议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结合核验结果、税费和预计交接成本给出“可出价 / 谨慎出价 / 不建议出价”及价格上限；未完成核验不报具体上限。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证据附件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现场照片、沟通记录、核验凭据、平台图片来源说明。照片须标注拍摄日期和来源。</w:t>
            </w:r>
          </w:p>
        </w:tc>
      </w:tr>
    </w:tbl>
    <w:p>
      <w:pPr>
        <w:pStyle w:val="Heading1"/>
        <w:keepNext/>
      </w:pPr>
      <w:r>
        <w:t>助拍服务边界</w:t>
      </w:r>
    </w:p>
    <w:p>
      <w:pPr>
        <w:spacing w:before="0" w:after="10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深度核验报告负责把关键未知项查清；竞拍执行、资金与贷款衔接、过户推进、交房及腾退协调，属于后续助拍服务的实际交付。报告不替代服务执行，也不把复杂执行步骤写成客户可直接照做的教程。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color w:val="5B6573"/>
        <w:sz w:val="17"/>
      </w:rPr>
      <w:t xml:space="preserve">法拍房尽调报告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锦绣一方9幢3D号-尽调报告（599元档·深度核验结构样稿）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