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Microsoft YaHei"/>
          <w:b/>
          <w:color w:val="2E74B5"/>
          <w:sz w:val="21"/>
        </w:rPr>
        <w:t>法拍房尽调报告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50"/>
        </w:rPr>
        <w:t>99 元档｜风险筛查报告</w:t>
      </w:r>
    </w:p>
    <w:p>
      <w:pPr>
        <w:spacing w:before="0" w:after="320"/>
      </w:pPr>
      <w:r>
        <w:rPr>
          <w:rFonts w:ascii="Calibri" w:hAnsi="Calibri" w:eastAsia="Microsoft YaHei"/>
          <w:b w:val="0"/>
          <w:color w:val="5B6573"/>
          <w:sz w:val="25"/>
        </w:rPr>
        <w:t>用公开资料帮你判断：这套房是否值得继续了解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标的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漳州市龙文区迎宾大道10号锦绣一方蔷薇里9幢3D号住宅不动产及家电家具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执行案号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(2026)闽0681执恢122号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2026年8月31日</w:t>
            </w:r>
          </w:p>
        </w:tc>
      </w:tr>
    </w:tbl>
    <w:p>
      <w:pPr>
        <w:pStyle w:val="Heading1"/>
        <w:keepNext/>
      </w:pPr>
      <w:r>
        <w:t>一页结论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当前结论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谨慎关注：不建议仅凭当前公开资料自行参拍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20"/>
              </w:rPr>
              <w:t>结论说明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本档只完成公开资料的初步筛查，重点识别明显风险信号，不提供现场核验、部门查询、腾退处置或竞拍执行方案。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变卖价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评估价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参拍资金提示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936,944.46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1,224,764 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需预缴变卖价全款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需要先看清的风险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900"/>
        <w:gridCol w:w="44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事项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对参拍的影响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占用 / 租赁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公开资料未明确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可能影响入住和交房时间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清场 / 腾退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法院未明确承诺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交房安排存在不确定性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欠费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公告提示可能存在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可能增加交割成本</w:t>
            </w:r>
          </w:p>
        </w:tc>
      </w:tr>
    </w:tbl>
    <w:p>
      <w:pPr>
        <w:pStyle w:val="Heading1"/>
        <w:keepNext/>
      </w:pPr>
      <w:r>
        <w:t>公开资料中的关键事实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标的类型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住宅不动产及家电家具；建筑面积 129.09㎡，3层/共8层，无电梯。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产权基础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评估报告载明房、地两证齐全，单独所有；存在最高额抵押及查封信息。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价格信号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变卖价约为评估价的 76.5%，价格有折让，但不能替代对交房和费用的判断。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已知费用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公告载明税费各自承担；部分费用可能由买受人先行垫付或承担，具体金额未公示。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</w: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本档结论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目前最大问题不是价格，而是交房相关信息未明。若仍有参拍意向，应先进入进一步资料复核或委托专业助拍服务。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服务边界与下一步</w:t>
      </w:r>
    </w:p>
    <w:p>
      <w:pPr>
        <w:spacing w:before="0" w:after="100" w:line="264" w:lineRule="auto"/>
      </w:pPr>
      <w:r>
        <w:rPr>
          <w:rFonts w:ascii="Calibri" w:hAnsi="Calibri" w:eastAsia="Microsoft YaHei"/>
          <w:b w:val="0"/>
          <w:color w:val="0B2545"/>
          <w:sz w:val="21"/>
        </w:rPr>
        <w:t>本档用于筛掉明显不适合盲拍的标的。若你想进一步判断产权、税费与资金压力，可升级 199 元资料复核；如需实际核验、竞拍、过户及交房协调，可委托深度核验或助拍服务。</w:t>
      </w:r>
    </w:p>
    <w:p>
      <w:pPr>
        <w:pStyle w:val="Heading1"/>
        <w:keepNext/>
      </w:pPr>
      <w:r>
        <w:t>报告说明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B6573"/>
          <w:sz w:val="19"/>
        </w:rPr>
        <w:t>信息依据：法院公开公告、拍卖标的调查情况表、评估报告等公开资料。本档未实地看样，未向法院、物业、税务或登记部门进行核验。</w:t>
      </w: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color w:val="5B6573"/>
          <w:sz w:val="19"/>
        </w:rPr>
        <w:t>本报告仅供参拍决策参考，不构成投资、法律、税务或过户结果承诺；最终以法院、登记、税务及现场实际情况为准。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color w:val="5B6573"/>
        <w:sz w:val="17"/>
      </w:rPr>
      <w:t xml:space="preserve">法拍房尽调报告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锦绣一方9幢3D号-尽调报告（99元档·风险筛查改版）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