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A98656">
      <w:pPr>
        <w:spacing w:before="0" w:after="480" w:line="312" w:lineRule="auto"/>
      </w:pPr>
    </w:p>
    <w:p w14:paraId="79A0F633">
      <w:pPr>
        <w:spacing w:before="0" w:after="80" w:line="312" w:lineRule="auto"/>
        <w:jc w:val="center"/>
      </w:pPr>
      <w:r>
        <w:rPr>
          <w:rFonts w:ascii="微软雅黑" w:hAnsi="微软雅黑" w:eastAsia="微软雅黑" w:cs="微软雅黑"/>
          <w:b/>
          <w:color w:val="1F3864"/>
          <w:sz w:val="48"/>
        </w:rPr>
        <w:t>福建省泉州市鼎诚石材有限公司</w:t>
      </w:r>
    </w:p>
    <w:p w14:paraId="482FA4FD">
      <w:pPr>
        <w:spacing w:before="0" w:after="160" w:line="312" w:lineRule="auto"/>
        <w:jc w:val="center"/>
      </w:pPr>
      <w:r>
        <w:rPr>
          <w:rFonts w:ascii="微软雅黑" w:hAnsi="微软雅黑" w:eastAsia="微软雅黑" w:cs="微软雅黑"/>
          <w:b/>
          <w:color w:val="2E75B6"/>
          <w:sz w:val="44"/>
        </w:rPr>
        <w:t>工业房地产破产清算拍卖投资尽调报告</w:t>
      </w:r>
    </w:p>
    <w:p w14:paraId="4FBAB123">
      <w:pPr>
        <w:pBdr>
          <w:bottom w:val="single" w:color="2E75B6" w:sz="12" w:space="6"/>
        </w:pBdr>
        <w:spacing w:before="0" w:after="840" w:line="312" w:lineRule="auto"/>
        <w:jc w:val="center"/>
      </w:pPr>
      <w:r>
        <w:rPr>
          <w:rFonts w:ascii="微软雅黑" w:hAnsi="微软雅黑" w:eastAsia="微软雅黑" w:cs="微软雅黑"/>
          <w:b w:val="0"/>
          <w:color w:val="808080"/>
          <w:sz w:val="24"/>
        </w:rPr>
        <w:t>（ 四拍 2026-09-11）</w:t>
      </w:r>
    </w:p>
    <w:p w14:paraId="397AAC26">
      <w:pPr>
        <w:spacing w:after="140" w:line="312" w:lineRule="auto"/>
        <w:jc w:val="center"/>
      </w:pPr>
      <w:r>
        <w:rPr>
          <w:rFonts w:ascii="微软雅黑" w:hAnsi="微软雅黑" w:eastAsia="微软雅黑" w:cs="微软雅黑"/>
          <w:b/>
          <w:color w:val="1F3864"/>
          <w:sz w:val="22"/>
        </w:rPr>
        <w:t>报告日期：2026年9月3日</w:t>
      </w:r>
      <w:r>
        <w:rPr>
          <w:rFonts w:ascii="微软雅黑" w:hAnsi="微软雅黑" w:eastAsia="微软雅黑" w:cs="微软雅黑"/>
          <w:b w:val="0"/>
          <w:color w:val="000000"/>
          <w:sz w:val="22"/>
        </w:rPr>
      </w:r>
    </w:p>
    <w:p w14:paraId="0FB0095C">
      <w:pPr>
        <w:spacing w:after="140" w:line="312" w:lineRule="auto"/>
        <w:jc w:val="center"/>
      </w:pPr>
      <w:r>
        <w:rPr>
          <w:rFonts w:ascii="微软雅黑" w:hAnsi="微软雅黑" w:eastAsia="微软雅黑" w:cs="微软雅黑"/>
          <w:b/>
          <w:color w:val="1F3864"/>
          <w:sz w:val="22"/>
        </w:rPr>
        <w:t>监督法院：南安市人民法院　|　管理人：福建省泉州市鼎诚石材有限公司管理人</w:t>
      </w:r>
      <w:r>
        <w:rPr>
          <w:rFonts w:ascii="微软雅黑" w:hAnsi="微软雅黑" w:eastAsia="微软雅黑" w:cs="微软雅黑"/>
          <w:b w:val="0"/>
          <w:color w:val="000000"/>
          <w:sz w:val="22"/>
        </w:rPr>
      </w:r>
    </w:p>
    <w:p w14:paraId="57E1FB31">
      <w:pPr>
        <w:spacing w:after="140" w:line="312" w:lineRule="auto"/>
        <w:jc w:val="center"/>
      </w:pPr>
      <w:r>
        <w:rPr>
          <w:rFonts w:ascii="微软雅黑" w:hAnsi="微软雅黑" w:eastAsia="微软雅黑" w:cs="微软雅黑"/>
          <w:b/>
          <w:color w:val="1F3864"/>
          <w:sz w:val="22"/>
        </w:rPr>
        <w:t>拍卖平台：淘宝司法拍卖（破产清算）</w:t>
      </w:r>
      <w:r>
        <w:rPr>
          <w:rFonts w:ascii="微软雅黑" w:hAnsi="微软雅黑" w:eastAsia="微软雅黑" w:cs="微软雅黑"/>
          <w:b w:val="0"/>
          <w:color w:val="000000"/>
          <w:sz w:val="22"/>
        </w:rPr>
      </w:r>
    </w:p>
    <w:p w14:paraId="35D42596">
      <w:pPr>
        <w:spacing w:after="140" w:line="312" w:lineRule="auto"/>
        <w:jc w:val="center"/>
      </w:pPr>
      <w:r>
        <w:rPr>
          <w:rFonts w:ascii="微软雅黑" w:hAnsi="微软雅黑" w:eastAsia="微软雅黑" w:cs="微软雅黑"/>
          <w:b/>
          <w:color w:val="1F3864"/>
          <w:sz w:val="22"/>
        </w:rPr>
        <w:t>拍卖时间：2026年9月11日10:00 至 9月12日10:00</w:t>
      </w:r>
      <w:r>
        <w:rPr>
          <w:rFonts w:ascii="微软雅黑" w:hAnsi="微软雅黑" w:eastAsia="微软雅黑" w:cs="微软雅黑"/>
          <w:b w:val="0"/>
          <w:color w:val="000000"/>
          <w:sz w:val="22"/>
        </w:rPr>
      </w:r>
    </w:p>
    <w:p w14:paraId="7ADF6C50">
      <w:pPr>
        <w:spacing w:after="140" w:line="312" w:lineRule="auto"/>
        <w:jc w:val="center"/>
      </w:pPr>
      <w:r>
        <w:rPr>
          <w:rFonts w:ascii="微软雅黑" w:hAnsi="微软雅黑" w:eastAsia="微软雅黑" w:cs="微软雅黑"/>
          <w:b/>
          <w:color w:val="1F3864"/>
          <w:sz w:val="22"/>
        </w:rPr>
        <w:t>标的物：南安市水头镇南侨村工业房地产（土地21,125㎡ + 12幢未办证建筑17,902.42㎡ + 变压器/龙门吊/污水池设备）</w:t>
      </w:r>
      <w:r>
        <w:rPr>
          <w:rFonts w:ascii="微软雅黑" w:hAnsi="微软雅黑" w:eastAsia="微软雅黑" w:cs="微软雅黑"/>
          <w:b w:val="0"/>
          <w:color w:val="000000"/>
          <w:sz w:val="22"/>
        </w:rPr>
      </w:r>
    </w:p>
    <w:p w14:paraId="22457BB1">
      <w:pPr>
        <w:spacing w:after="140" w:line="312" w:lineRule="auto"/>
        <w:jc w:val="center"/>
      </w:pPr>
      <w:r>
        <w:rPr>
          <w:rFonts w:ascii="微软雅黑" w:hAnsi="微软雅黑" w:eastAsia="微软雅黑" w:cs="微软雅黑"/>
          <w:b/>
          <w:color w:val="1F3864"/>
          <w:sz w:val="22"/>
        </w:rPr>
        <w:t>起拍价：1,335.48 万元　|　评估价：3,726.22 万元(公告) · 3,794.69 万元(报告)　|　保证金：133.54 万元</w:t>
      </w:r>
      <w:r>
        <w:rPr>
          <w:rFonts w:ascii="微软雅黑" w:hAnsi="微软雅黑" w:eastAsia="微软雅黑" w:cs="微软雅黑"/>
          <w:b w:val="0"/>
          <w:color w:val="000000"/>
          <w:sz w:val="22"/>
        </w:rPr>
      </w:r>
    </w:p>
    <w:p w14:paraId="1F62DC08">
      <w:pPr>
        <w:spacing w:after="140" w:line="312" w:lineRule="auto"/>
        <w:jc w:val="center"/>
      </w:pPr>
      <w:r>
        <w:rPr>
          <w:rFonts w:ascii="微软雅黑" w:hAnsi="微软雅黑" w:eastAsia="微软雅黑" w:cs="微软雅黑"/>
          <w:b/>
          <w:color w:val="1F3864"/>
          <w:sz w:val="22"/>
        </w:rPr>
        <w:t>权利负担：抵押权人为中国民生银行泉州分行（一押抵押登记）</w:t>
      </w:r>
      <w:r>
        <w:rPr>
          <w:rFonts w:ascii="微软雅黑" w:hAnsi="微软雅黑" w:eastAsia="微软雅黑" w:cs="微软雅黑"/>
          <w:b w:val="0"/>
          <w:color w:val="000000"/>
          <w:sz w:val="22"/>
        </w:rPr>
      </w:r>
    </w:p>
    <w:p w14:paraId="464A7D68">
      <w:pPr>
        <w:spacing w:after="140" w:line="312" w:lineRule="auto"/>
        <w:jc w:val="center"/>
      </w:pPr>
      <w:r>
        <w:rPr>
          <w:rFonts w:ascii="微软雅黑" w:hAnsi="微软雅黑" w:eastAsia="微软雅黑" w:cs="微软雅黑"/>
          <w:b/>
          <w:color w:val="1F3864"/>
          <w:sz w:val="22"/>
        </w:rPr>
        <w:t>报告性质：内部投资决策参考，不构成投资建议</w:t>
      </w:r>
      <w:r>
        <w:rPr>
          <w:rFonts w:ascii="微软雅黑" w:hAnsi="微软雅黑" w:eastAsia="微软雅黑" w:cs="微软雅黑"/>
          <w:b w:val="0"/>
          <w:color w:val="000000"/>
          <w:sz w:val="22"/>
        </w:rPr>
      </w:r>
    </w:p>
    <w:p w14:paraId="26A9121A">
      <w:r>
        <w:br w:type="page"/>
      </w:r>
    </w:p>
    <w:p w14:paraId="6406B1EE">
      <w:pPr>
        <w:pBdr>
          <w:bottom w:val="single" w:color="2E75B6" w:sz="12" w:space="6"/>
        </w:pBdr>
        <w:spacing w:before="320" w:after="160" w:line="312" w:lineRule="auto"/>
      </w:pPr>
      <w:r>
        <w:rPr>
          <w:rFonts w:ascii="微软雅黑" w:hAnsi="微软雅黑" w:eastAsia="微软雅黑" w:cs="微软雅黑"/>
          <w:b/>
          <w:color w:val="1F3864"/>
          <w:sz w:val="32"/>
        </w:rPr>
        <w:t>目  录</w:t>
      </w:r>
    </w:p>
    <w:p w14:paraId="518B4123">
      <w:pPr>
        <w:spacing w:after="160" w:line="312" w:lineRule="auto"/>
      </w:pPr>
      <w:r>
        <w:rPr>
          <w:rFonts w:ascii="微软雅黑" w:hAnsi="微软雅黑" w:eastAsia="微软雅黑" w:cs="微软雅黑"/>
          <w:b w:val="0"/>
          <w:color w:val="1F3864"/>
          <w:sz w:val="22"/>
        </w:rPr>
        <w:t>一、项目概述</w:t>
      </w:r>
    </w:p>
    <w:p w14:paraId="559696DA">
      <w:pPr>
        <w:spacing w:after="160" w:line="312" w:lineRule="auto"/>
      </w:pPr>
      <w:r>
        <w:rPr>
          <w:rFonts w:ascii="微软雅黑" w:hAnsi="微软雅黑" w:eastAsia="微软雅黑" w:cs="微软雅黑"/>
          <w:b w:val="0"/>
          <w:color w:val="1F3864"/>
          <w:sz w:val="22"/>
        </w:rPr>
        <w:t>二、标的物基础信息</w:t>
      </w:r>
    </w:p>
    <w:p w14:paraId="46A22E4E">
      <w:pPr>
        <w:spacing w:after="160" w:line="312" w:lineRule="auto"/>
      </w:pPr>
      <w:r>
        <w:rPr>
          <w:rFonts w:ascii="微软雅黑" w:hAnsi="微软雅黑" w:eastAsia="微软雅黑" w:cs="微软雅黑"/>
          <w:b w:val="0"/>
          <w:color w:val="1F3864"/>
          <w:sz w:val="22"/>
        </w:rPr>
        <w:t>三、权利负担与抵押情况</w:t>
      </w:r>
    </w:p>
    <w:p w14:paraId="47A628A8">
      <w:pPr>
        <w:spacing w:after="160" w:line="312" w:lineRule="auto"/>
      </w:pPr>
      <w:r>
        <w:rPr>
          <w:rFonts w:ascii="微软雅黑" w:hAnsi="微软雅黑" w:eastAsia="微软雅黑" w:cs="微软雅黑"/>
          <w:b w:val="0"/>
          <w:color w:val="1F3864"/>
          <w:sz w:val="22"/>
        </w:rPr>
        <w:t>四、处置规则与买方成本构成</w:t>
      </w:r>
    </w:p>
    <w:p w14:paraId="36ED58C2">
      <w:pPr>
        <w:spacing w:after="160" w:line="312" w:lineRule="auto"/>
      </w:pPr>
      <w:r>
        <w:rPr>
          <w:rFonts w:ascii="微软雅黑" w:hAnsi="微软雅黑" w:eastAsia="微软雅黑" w:cs="微软雅黑"/>
          <w:b w:val="0"/>
          <w:color w:val="1F3864"/>
          <w:sz w:val="22"/>
        </w:rPr>
        <w:t>五、法律风险清单与应对</w:t>
      </w:r>
    </w:p>
    <w:p w14:paraId="324EEE90">
      <w:pPr>
        <w:spacing w:after="160" w:line="312" w:lineRule="auto"/>
      </w:pPr>
      <w:r>
        <w:rPr>
          <w:rFonts w:ascii="微软雅黑" w:hAnsi="微软雅黑" w:eastAsia="微软雅黑" w:cs="微软雅黑"/>
          <w:b w:val="0"/>
          <w:color w:val="1F3864"/>
          <w:sz w:val="22"/>
        </w:rPr>
        <w:t>六、现场与档案核查清单</w:t>
      </w:r>
    </w:p>
    <w:p w14:paraId="3BEBB7EB">
      <w:pPr>
        <w:spacing w:after="160" w:line="312" w:lineRule="auto"/>
      </w:pPr>
      <w:r>
        <w:rPr>
          <w:rFonts w:ascii="微软雅黑" w:hAnsi="微软雅黑" w:eastAsia="微软雅黑" w:cs="微软雅黑"/>
          <w:b w:val="0"/>
          <w:color w:val="1F3864"/>
          <w:sz w:val="22"/>
        </w:rPr>
        <w:t>七、综合研判与投资建议</w:t>
      </w:r>
    </w:p>
    <w:p w14:paraId="7EB60F51">
      <w:pPr>
        <w:spacing w:after="160" w:line="312" w:lineRule="auto"/>
      </w:pPr>
      <w:r>
        <w:rPr>
          <w:rFonts w:ascii="微软雅黑" w:hAnsi="微软雅黑" w:eastAsia="微软雅黑" w:cs="微软雅黑"/>
          <w:b w:val="0"/>
          <w:color w:val="1F3864"/>
          <w:sz w:val="22"/>
        </w:rPr>
        <w:t>八、免责声明</w:t>
      </w:r>
    </w:p>
    <w:p w14:paraId="2B0977AF">
      <w:r>
        <w:br w:type="page"/>
      </w:r>
    </w:p>
    <w:p w14:paraId="0228A673">
      <w:pPr>
        <w:pBdr>
          <w:bottom w:val="single" w:color="2E75B6" w:sz="8" w:space="4"/>
        </w:pBdr>
        <w:spacing w:before="320" w:after="160" w:line="312" w:lineRule="auto"/>
      </w:pPr>
      <w:r>
        <w:rPr>
          <w:rFonts w:ascii="微软雅黑" w:hAnsi="微软雅黑" w:eastAsia="微软雅黑" w:cs="微软雅黑"/>
          <w:b/>
          <w:color w:val="1F3864"/>
          <w:sz w:val="32"/>
        </w:rPr>
        <w:t>一、项目概述</w:t>
      </w:r>
    </w:p>
    <w:p w14:paraId="117A0B22">
      <w:pPr>
        <w:pBdr>
          <w:left w:val="single" w:color="2E75B6" w:sz="24" w:space="4"/>
        </w:pBdr>
        <w:spacing w:before="200" w:after="120" w:line="312" w:lineRule="auto"/>
      </w:pPr>
      <w:r>
        <w:rPr>
          <w:rFonts w:ascii="微软雅黑" w:hAnsi="微软雅黑" w:eastAsia="微软雅黑" w:cs="微软雅黑"/>
          <w:b/>
          <w:color w:val="2E75B6"/>
          <w:sz w:val="26"/>
        </w:rPr>
        <w:t>1.1 拍卖背景</w:t>
      </w:r>
    </w:p>
    <w:p w14:paraId="0B02180B">
      <w:pPr>
        <w:spacing w:before="0" w:after="120" w:line="312" w:lineRule="auto"/>
        <w:jc w:val="both"/>
      </w:pPr>
      <w:r>
        <w:rPr>
          <w:rFonts w:ascii="微软雅黑" w:hAnsi="微软雅黑" w:eastAsia="微软雅黑" w:cs="微软雅黑"/>
          <w:b w:val="0"/>
          <w:sz w:val="22"/>
        </w:rPr>
        <w:t>福建省泉州市鼎诚石材有限公司已进入破产清算程序，由福建省泉州市鼎诚石材有限公司管理人（叶律师 13570850915）负责处置，南安市人民法院（0595-86001027）监督。本次为第四次拍卖，处置标的为管理人名下位于南安市水头镇南侨村的工业房地产、变压器、龙门吊及污水池设备。起拍价1,335.48万元为管理人公示评估总价3,726.22万元的35.83%（四拍 + 净价扣卖方税），属破产清算低价处置。</w:t>
      </w:r>
    </w:p>
    <w:p w14:paraId="08B18BD3">
      <w:pPr>
        <w:spacing w:before="0" w:after="120" w:line="312" w:lineRule="auto"/>
        <w:jc w:val="both"/>
      </w:pPr>
      <w:r>
        <w:rPr>
          <w:rFonts w:ascii="微软雅黑" w:hAnsi="微软雅黑" w:eastAsia="微软雅黑" w:cs="微软雅黑"/>
          <w:b w:val="0"/>
          <w:sz w:val="22"/>
        </w:rPr>
        <w:t>该宗工业房地产为鼎诚石材核心资产，包括一宗出让工业用地（21,125㎡，终止2062-09-07，剩约37年）及地上12幢建筑物（实测17,902.42㎡，均未办证、红线内外混合），并附变压器、龙门吊、污水池设备。本次为四拍，起拍价1,335.48万元。</w:t>
      </w:r>
    </w:p>
    <w:p w14:paraId="2BC2448C">
      <w:pPr>
        <w:pBdr>
          <w:left w:val="single" w:color="2E75B6" w:sz="24" w:space="4"/>
        </w:pBdr>
        <w:spacing w:before="200" w:after="120" w:line="312" w:lineRule="auto"/>
      </w:pPr>
      <w:r>
        <w:rPr>
          <w:rFonts w:ascii="微软雅黑" w:hAnsi="微软雅黑" w:eastAsia="微软雅黑" w:cs="微软雅黑"/>
          <w:b/>
          <w:color w:val="2E75B6"/>
          <w:sz w:val="26"/>
        </w:rPr>
        <w:t>1.2 核心数据摘要</w:t>
      </w:r>
    </w:p>
    <w:tbl>
      <w:tblPr>
        <w:tblStyle w:val="33"/>
        <w:tblW w:w="944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7097"/>
      </w:tblGrid>
      <w:tr w14:paraId="4878E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1F3864"/>
          </w:tcPr>
          <w:p w14:paraId="5C5DDFC8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项目</w:t>
            </w:r>
          </w:p>
        </w:tc>
        <w:tc>
          <w:tcPr>
            <w:tcW w:w="7097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1F3864"/>
          </w:tcPr>
          <w:p w14:paraId="6E7A2E77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内容</w:t>
            </w:r>
          </w:p>
        </w:tc>
      </w:tr>
      <w:tr w14:paraId="7D8D5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</w:tcPr>
          <w:p w14:paraId="66B199E9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拍卖标的</w:t>
            </w:r>
          </w:p>
        </w:tc>
        <w:tc>
          <w:tcPr>
            <w:tcW w:w="7097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</w:tcPr>
          <w:p w14:paraId="6B5EBA16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鼎诚石材名下水头镇南侨村工业房地产（土地+12幢建筑+设备）</w:t>
            </w:r>
          </w:p>
        </w:tc>
      </w:tr>
      <w:tr w14:paraId="6F111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AF1FB"/>
          </w:tcPr>
          <w:p w14:paraId="4C2911E8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执行/监督</w:t>
            </w:r>
          </w:p>
        </w:tc>
        <w:tc>
          <w:tcPr>
            <w:tcW w:w="7097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AF1FB"/>
          </w:tcPr>
          <w:p w14:paraId="032555B6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破产清算程序；南安市人民法院监督；(管理人)福建省泉州市鼎诚石材有限公司管理人</w:t>
            </w:r>
          </w:p>
        </w:tc>
      </w:tr>
      <w:tr w14:paraId="4121F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</w:tcPr>
          <w:p w14:paraId="7C2EDA82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拍卖时间</w:t>
            </w:r>
          </w:p>
        </w:tc>
        <w:tc>
          <w:tcPr>
            <w:tcW w:w="7097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</w:tcPr>
          <w:p w14:paraId="6DCC6EA0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2026-09-11 10:00 至 09-12 10:00</w:t>
            </w:r>
          </w:p>
        </w:tc>
      </w:tr>
      <w:tr w14:paraId="40DD4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AF1FB"/>
          </w:tcPr>
          <w:p w14:paraId="44EFB257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起拍价/评估价/保证金</w:t>
            </w:r>
          </w:p>
        </w:tc>
        <w:tc>
          <w:tcPr>
            <w:tcW w:w="7097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AF1FB"/>
          </w:tcPr>
          <w:p w14:paraId="0149AEBD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1,335.48万 / 3,726.22万(公告)·3,794.69万(报告) / 133.54万；加价幅度7.5万</w:t>
            </w:r>
          </w:p>
        </w:tc>
      </w:tr>
      <w:tr w14:paraId="0B6D9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</w:tcPr>
          <w:p w14:paraId="5A90D3F1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土地</w:t>
            </w:r>
          </w:p>
        </w:tc>
        <w:tc>
          <w:tcPr>
            <w:tcW w:w="7097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</w:tcPr>
          <w:p w14:paraId="748D298D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21,125㎡（工业；出让；终止2062-09-07，剩约37年）</w:t>
            </w:r>
          </w:p>
        </w:tc>
      </w:tr>
      <w:tr w14:paraId="61EC8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AF1FB"/>
          </w:tcPr>
          <w:p w14:paraId="04F19525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建筑（实测）</w:t>
            </w:r>
          </w:p>
        </w:tc>
        <w:tc>
          <w:tcPr>
            <w:tcW w:w="7097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AF1FB"/>
          </w:tcPr>
          <w:p w14:paraId="0C63995A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17,902.42㎡（12幢均未办证；红线内外混合）</w:t>
            </w:r>
          </w:p>
        </w:tc>
      </w:tr>
      <w:tr w14:paraId="5C44C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</w:tcPr>
          <w:p w14:paraId="75110CBB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证载建筑面积</w:t>
            </w:r>
          </w:p>
        </w:tc>
        <w:tc>
          <w:tcPr>
            <w:tcW w:w="7097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</w:tcPr>
          <w:p w14:paraId="35DBAA7C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0（12幢均未办证）</w:t>
            </w:r>
          </w:p>
        </w:tc>
      </w:tr>
      <w:tr w14:paraId="78ECD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AF1FB"/>
          </w:tcPr>
          <w:p w14:paraId="51278AB7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权利负担</w:t>
            </w:r>
          </w:p>
        </w:tc>
        <w:tc>
          <w:tcPr>
            <w:tcW w:w="7097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AF1FB"/>
          </w:tcPr>
          <w:p w14:paraId="648BC14B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抵押权人民生银行泉州分行（一押）</w:t>
            </w:r>
          </w:p>
        </w:tc>
      </w:tr>
      <w:tr w14:paraId="17D43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</w:tcPr>
          <w:p w14:paraId="2524F576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资格/税费</w:t>
            </w:r>
          </w:p>
        </w:tc>
        <w:tc>
          <w:tcPr>
            <w:tcW w:w="7097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</w:tcPr>
          <w:p w14:paraId="7231AB61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仅限企业法人；税费买卖双方一切税、费均由买受人承担（包税）</w:t>
            </w:r>
          </w:p>
        </w:tc>
      </w:tr>
      <w:tr w14:paraId="4FB22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AF1FB"/>
          </w:tcPr>
          <w:p w14:paraId="32A95852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交付</w:t>
            </w:r>
          </w:p>
        </w:tc>
        <w:tc>
          <w:tcPr>
            <w:tcW w:w="7097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AF1FB"/>
          </w:tcPr>
          <w:p w14:paraId="78CB6C1F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现状交付；管理人腾空；6个月内无法完成可无条件不成交、全额退款（不计息）</w:t>
            </w:r>
          </w:p>
        </w:tc>
      </w:tr>
    </w:tbl>
    <w:p w14:paraId="2D7265FC">
      <w:pPr>
        <w:spacing w:before="0" w:after="40" w:line="312" w:lineRule="auto"/>
      </w:pPr>
    </w:p>
    <w:p w14:paraId="5DA76200">
      <w:pPr>
        <w:spacing w:before="0" w:after="40" w:line="312" w:lineRule="auto"/>
      </w:pPr>
    </w:p>
    <w:p w14:paraId="39748F81">
      <w:pPr>
        <w:spacing w:before="0" w:after="40" w:line="312" w:lineRule="auto"/>
      </w:pPr>
    </w:p>
    <w:p w14:paraId="098DE377">
      <w:pPr>
        <w:spacing w:before="0" w:after="40" w:line="312" w:lineRule="auto"/>
      </w:pPr>
    </w:p>
    <w:p w14:paraId="128BE306">
      <w:pPr>
        <w:spacing w:before="0" w:after="40" w:line="312" w:lineRule="auto"/>
      </w:pPr>
    </w:p>
    <w:p w14:paraId="286898FC">
      <w:pPr>
        <w:pBdr>
          <w:bottom w:val="single" w:color="2E75B6" w:sz="8" w:space="4"/>
        </w:pBdr>
        <w:spacing w:before="320" w:after="160" w:line="312" w:lineRule="auto"/>
      </w:pPr>
      <w:r>
        <w:rPr>
          <w:rFonts w:ascii="微软雅黑" w:hAnsi="微软雅黑" w:eastAsia="微软雅黑" w:cs="微软雅黑"/>
          <w:b/>
          <w:color w:val="1F3864"/>
          <w:sz w:val="32"/>
        </w:rPr>
        <w:t>二、标的物基础信息</w:t>
      </w:r>
    </w:p>
    <w:p w14:paraId="2AB1A7C3">
      <w:pPr>
        <w:pBdr>
          <w:left w:val="single" w:color="2E75B6" w:sz="24" w:space="4"/>
        </w:pBdr>
        <w:spacing w:before="200" w:after="120" w:line="312" w:lineRule="auto"/>
      </w:pPr>
      <w:r>
        <w:rPr>
          <w:rFonts w:ascii="微软雅黑" w:hAnsi="微软雅黑" w:eastAsia="微软雅黑" w:cs="微软雅黑"/>
          <w:b/>
          <w:color w:val="2E75B6"/>
          <w:sz w:val="26"/>
        </w:rPr>
        <w:t>2.1 权属与登记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6D199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1F3864"/>
          </w:tcPr>
          <w:p w14:paraId="475444D1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项目</w:t>
            </w:r>
          </w:p>
        </w:tc>
        <w:tc>
          <w:tcPr>
            <w:tcW w:w="302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1F3864"/>
          </w:tcPr>
          <w:p w14:paraId="70D6624F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宗地1（工业）</w:t>
            </w:r>
          </w:p>
        </w:tc>
        <w:tc>
          <w:tcPr>
            <w:tcW w:w="302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1F3864"/>
          </w:tcPr>
          <w:p w14:paraId="3D178F9A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宗地2（仓储）</w:t>
            </w:r>
          </w:p>
        </w:tc>
      </w:tr>
      <w:tr w14:paraId="6E4B8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</w:tcPr>
          <w:p w14:paraId="5E313C4B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土地证号</w:t>
            </w:r>
          </w:p>
        </w:tc>
        <w:tc>
          <w:tcPr>
            <w:tcW w:w="302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</w:tcPr>
          <w:p w14:paraId="7412F959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南国用(2013)第00130373号</w:t>
            </w:r>
          </w:p>
        </w:tc>
        <w:tc>
          <w:tcPr>
            <w:tcW w:w="302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</w:tcPr>
          <w:p w14:paraId="17DEF6D9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—</w:t>
            </w:r>
          </w:p>
        </w:tc>
      </w:tr>
      <w:tr w14:paraId="3B991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AF1FB"/>
          </w:tcPr>
          <w:p w14:paraId="6388750E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坐落</w:t>
            </w:r>
          </w:p>
        </w:tc>
        <w:tc>
          <w:tcPr>
            <w:tcW w:w="302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AF1FB"/>
          </w:tcPr>
          <w:p w14:paraId="36C6B9E7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南安市水头镇南侨村</w:t>
            </w:r>
          </w:p>
        </w:tc>
        <w:tc>
          <w:tcPr>
            <w:tcW w:w="302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AF1FB"/>
          </w:tcPr>
          <w:p w14:paraId="66634B34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—</w:t>
            </w:r>
          </w:p>
        </w:tc>
      </w:tr>
      <w:tr w14:paraId="556E2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</w:tcPr>
          <w:p w14:paraId="11562C12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使用权面积</w:t>
            </w:r>
          </w:p>
        </w:tc>
        <w:tc>
          <w:tcPr>
            <w:tcW w:w="302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</w:tcPr>
          <w:p w14:paraId="39BFD887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21,125㎡</w:t>
            </w:r>
          </w:p>
        </w:tc>
        <w:tc>
          <w:tcPr>
            <w:tcW w:w="302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</w:tcPr>
          <w:p w14:paraId="0120C1C2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—</w:t>
            </w:r>
          </w:p>
        </w:tc>
      </w:tr>
      <w:tr w14:paraId="3A7FC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AF1FB"/>
          </w:tcPr>
          <w:p w14:paraId="1BD165EB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土地用途</w:t>
            </w:r>
          </w:p>
        </w:tc>
        <w:tc>
          <w:tcPr>
            <w:tcW w:w="302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AF1FB"/>
          </w:tcPr>
          <w:p w14:paraId="2BB42EA8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工业</w:t>
            </w:r>
          </w:p>
        </w:tc>
        <w:tc>
          <w:tcPr>
            <w:tcW w:w="302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AF1FB"/>
          </w:tcPr>
          <w:p w14:paraId="77FCC598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—</w:t>
            </w:r>
          </w:p>
        </w:tc>
      </w:tr>
      <w:tr w14:paraId="6ED6F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</w:tcPr>
          <w:p w14:paraId="67C8D3DB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使用权类型/终止</w:t>
            </w:r>
          </w:p>
        </w:tc>
        <w:tc>
          <w:tcPr>
            <w:tcW w:w="302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</w:tcPr>
          <w:p w14:paraId="2624BCD0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出让 / 2062-09-07</w:t>
            </w:r>
          </w:p>
        </w:tc>
        <w:tc>
          <w:tcPr>
            <w:tcW w:w="302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</w:tcPr>
          <w:p w14:paraId="40589F5C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—</w:t>
            </w:r>
          </w:p>
        </w:tc>
      </w:tr>
    </w:tbl>
    <w:p w14:paraId="4D3C0BB5">
      <w:pPr>
        <w:spacing w:before="0" w:after="40" w:line="312" w:lineRule="auto"/>
      </w:pPr>
    </w:p>
    <w:p w14:paraId="19E0CEAB">
      <w:pPr>
        <w:spacing w:before="0" w:after="120" w:line="312" w:lineRule="auto"/>
        <w:jc w:val="both"/>
      </w:pPr>
      <w:r>
        <w:rPr>
          <w:rFonts w:ascii="微软雅黑" w:hAnsi="微软雅黑" w:eastAsia="微软雅黑" w:cs="微软雅黑"/>
          <w:b w:val="0"/>
          <w:sz w:val="22"/>
        </w:rPr>
        <w:t>房屋所有权证：12幢建筑物均未办理《房屋所有权证》（南国用(2013)第00130373号为土地证）。权属人：福建省泉州市鼎诚石材有限公司（破产企业）。规划用途：工业厂房、宿舍、办公、配电房、仓储、停车棚（钢结构/简易/混合，成新率65%–85%）。</w:t>
      </w:r>
    </w:p>
    <w:p w14:paraId="3A929FD7">
      <w:pPr>
        <w:pBdr>
          <w:left w:val="single" w:color="2E75B6" w:sz="24" w:space="4"/>
        </w:pBdr>
        <w:spacing w:before="200" w:after="120" w:line="312" w:lineRule="auto"/>
      </w:pPr>
      <w:r>
        <w:rPr>
          <w:rFonts w:ascii="微软雅黑" w:hAnsi="微软雅黑" w:eastAsia="微软雅黑" w:cs="微软雅黑"/>
          <w:b/>
          <w:color w:val="2E75B6"/>
          <w:sz w:val="26"/>
        </w:rPr>
        <w:t>2.2 实测面积（测绘报告 晋房测字 ZK[2026]第005号 / 2025第027号）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7"/>
        <w:gridCol w:w="1511"/>
        <w:gridCol w:w="6540"/>
      </w:tblGrid>
      <w:tr w14:paraId="4B502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7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1F3864"/>
          </w:tcPr>
          <w:p w14:paraId="544A4514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类别</w:t>
            </w:r>
          </w:p>
        </w:tc>
        <w:tc>
          <w:tcPr>
            <w:tcW w:w="151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1F3864"/>
          </w:tcPr>
          <w:p w14:paraId="45D37080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面积（㎡）</w:t>
            </w:r>
          </w:p>
        </w:tc>
        <w:tc>
          <w:tcPr>
            <w:tcW w:w="65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1F3864"/>
          </w:tcPr>
          <w:p w14:paraId="785A0113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备注</w:t>
            </w:r>
          </w:p>
        </w:tc>
      </w:tr>
      <w:tr w14:paraId="43191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7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</w:tcPr>
          <w:p w14:paraId="5E2F5058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已办证建筑</w:t>
            </w:r>
          </w:p>
        </w:tc>
        <w:tc>
          <w:tcPr>
            <w:tcW w:w="151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</w:tcPr>
          <w:p w14:paraId="444F9567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0</w:t>
            </w:r>
          </w:p>
        </w:tc>
        <w:tc>
          <w:tcPr>
            <w:tcW w:w="65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</w:tcPr>
          <w:p w14:paraId="53915491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12幢均未办证</w:t>
            </w:r>
          </w:p>
        </w:tc>
      </w:tr>
      <w:tr w14:paraId="6F671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7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AF1FB"/>
          </w:tcPr>
          <w:p w14:paraId="4AF043A2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未办证建筑（红线内外混合）</w:t>
            </w:r>
          </w:p>
        </w:tc>
        <w:tc>
          <w:tcPr>
            <w:tcW w:w="151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AF1FB"/>
          </w:tcPr>
          <w:p w14:paraId="717892D5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17,902.42</w:t>
            </w:r>
          </w:p>
        </w:tc>
        <w:tc>
          <w:tcPr>
            <w:tcW w:w="65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AF1FB"/>
          </w:tcPr>
          <w:p w14:paraId="67012A64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钢结构/混合/简易，成新率65%–85%</w:t>
            </w:r>
          </w:p>
        </w:tc>
      </w:tr>
      <w:tr w14:paraId="03420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7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</w:tcPr>
          <w:p w14:paraId="15169C3C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红线外建筑</w:t>
            </w:r>
          </w:p>
        </w:tc>
        <w:tc>
          <w:tcPr>
            <w:tcW w:w="151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</w:tcPr>
          <w:p w14:paraId="057EDE5D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部分（1#红线外1,565㎡在案外人厂区）</w:t>
            </w:r>
          </w:p>
        </w:tc>
        <w:tc>
          <w:tcPr>
            <w:tcW w:w="65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</w:tcPr>
          <w:p w14:paraId="62B7D85E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超红线，不列入可确权范围</w:t>
            </w:r>
          </w:p>
        </w:tc>
      </w:tr>
      <w:tr w14:paraId="3C97A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7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AF1FB"/>
          </w:tcPr>
          <w:p w14:paraId="76022602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红线内其他（案外人厂区）</w:t>
            </w:r>
          </w:p>
        </w:tc>
        <w:tc>
          <w:tcPr>
            <w:tcW w:w="151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AF1FB"/>
          </w:tcPr>
          <w:p w14:paraId="16E8D14A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519.94㎡</w:t>
            </w:r>
          </w:p>
        </w:tc>
        <w:tc>
          <w:tcPr>
            <w:tcW w:w="65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AF1FB"/>
          </w:tcPr>
          <w:p w14:paraId="677BE611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出入经案外人大门</w:t>
            </w:r>
          </w:p>
        </w:tc>
      </w:tr>
      <w:tr w14:paraId="6BD83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7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</w:tcPr>
          <w:p w14:paraId="796C94E4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红线内小计</w:t>
            </w:r>
          </w:p>
        </w:tc>
        <w:tc>
          <w:tcPr>
            <w:tcW w:w="151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</w:tcPr>
          <w:p w14:paraId="4BD477B1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—</w:t>
            </w:r>
          </w:p>
        </w:tc>
        <w:tc>
          <w:tcPr>
            <w:tcW w:w="65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</w:tcPr>
          <w:p w14:paraId="189E4658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—</w:t>
            </w:r>
          </w:p>
        </w:tc>
      </w:tr>
      <w:tr w14:paraId="16E2E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7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AF1FB"/>
          </w:tcPr>
          <w:p w14:paraId="35E22F6A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实测合计</w:t>
            </w:r>
          </w:p>
        </w:tc>
        <w:tc>
          <w:tcPr>
            <w:tcW w:w="151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AF1FB"/>
          </w:tcPr>
          <w:p w14:paraId="41601F12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17,902.42</w:t>
            </w:r>
          </w:p>
        </w:tc>
        <w:tc>
          <w:tcPr>
            <w:tcW w:w="65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AF1FB"/>
          </w:tcPr>
          <w:p w14:paraId="2671E46F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12幢合计（评估报告口径）</w:t>
            </w:r>
          </w:p>
        </w:tc>
      </w:tr>
    </w:tbl>
    <w:p w14:paraId="399DED6A">
      <w:pPr>
        <w:spacing w:before="0" w:after="40" w:line="312" w:lineRule="auto"/>
      </w:pPr>
    </w:p>
    <w:p w14:paraId="7CBA58E1">
      <w:pPr>
        <w:spacing w:before="0" w:after="120" w:line="312" w:lineRule="auto"/>
        <w:jc w:val="both"/>
      </w:pPr>
      <w:r>
        <w:rPr>
          <w:rFonts w:ascii="微软雅黑" w:hAnsi="微软雅黑" w:eastAsia="微软雅黑" w:cs="微软雅黑"/>
          <w:b w:val="0"/>
          <w:sz w:val="22"/>
        </w:rPr>
        <w:t>12幢建筑均未办证，红线内外混合：部分超宗地红线（如1#红线外1,565㎡位于案外人厂区、须借道出入）；红线内519.94㎡现状位于案外人厂区内，出入经案外人大门。具体分幢面积以测绘报告为准。</w:t>
      </w:r>
    </w:p>
    <w:p w14:paraId="73B3EDA3">
      <w:pPr>
        <w:pBdr>
          <w:left w:val="single" w:color="2E75B6" w:sz="24" w:space="4"/>
        </w:pBdr>
        <w:spacing w:before="200" w:after="120" w:line="312" w:lineRule="auto"/>
      </w:pPr>
      <w:r>
        <w:rPr>
          <w:rFonts w:ascii="微软雅黑" w:hAnsi="微软雅黑" w:eastAsia="微软雅黑" w:cs="微软雅黑"/>
          <w:b/>
          <w:color w:val="2E75B6"/>
          <w:sz w:val="26"/>
        </w:rPr>
        <w:t>2.3 评估情况（信惠房估(2025)QZ112号 + 评估补充说明函）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2"/>
        <w:gridCol w:w="7058"/>
      </w:tblGrid>
      <w:tr w14:paraId="3766C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2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1F3864"/>
          </w:tcPr>
          <w:p w14:paraId="50736943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项目</w:t>
            </w:r>
          </w:p>
        </w:tc>
        <w:tc>
          <w:tcPr>
            <w:tcW w:w="7058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1F3864"/>
          </w:tcPr>
          <w:p w14:paraId="5F6D959A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金额/口径</w:t>
            </w:r>
          </w:p>
        </w:tc>
      </w:tr>
      <w:tr w14:paraId="35C65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2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</w:tcPr>
          <w:p w14:paraId="3EE15DC1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评估总价</w:t>
            </w:r>
          </w:p>
        </w:tc>
        <w:tc>
          <w:tcPr>
            <w:tcW w:w="7058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</w:tcPr>
          <w:p w14:paraId="7DA88209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37,262,200元(公告) / 37,946,900元(报告合计，含补充评估)；口径差异待管理人核实</w:t>
            </w:r>
          </w:p>
        </w:tc>
      </w:tr>
      <w:tr w14:paraId="12B52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2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AF1FB"/>
          </w:tcPr>
          <w:p w14:paraId="7F2F9193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土地使用权</w:t>
            </w:r>
          </w:p>
        </w:tc>
        <w:tc>
          <w:tcPr>
            <w:tcW w:w="7058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AF1FB"/>
          </w:tcPr>
          <w:p w14:paraId="7402111F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22,244,600元（21,125㎡×1,053元/㎡）</w:t>
            </w:r>
          </w:p>
        </w:tc>
      </w:tr>
      <w:tr w14:paraId="733A6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2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</w:tcPr>
          <w:p w14:paraId="38BC3E98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红线内建构筑物</w:t>
            </w:r>
          </w:p>
        </w:tc>
        <w:tc>
          <w:tcPr>
            <w:tcW w:w="7058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</w:tcPr>
          <w:p w14:paraId="6D04F24F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15,597,300元（17,902.42㎡，各幢单价293~938元/㎡）</w:t>
            </w:r>
          </w:p>
        </w:tc>
      </w:tr>
      <w:tr w14:paraId="432A1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2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AF1FB"/>
          </w:tcPr>
          <w:p w14:paraId="067F049F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设备（变压器/龙门吊/污水池）</w:t>
            </w:r>
          </w:p>
        </w:tc>
        <w:tc>
          <w:tcPr>
            <w:tcW w:w="7058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AF1FB"/>
          </w:tcPr>
          <w:p w14:paraId="7EE634B9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1,085,000元（变压器105,000 + 补充评估980,400）</w:t>
            </w:r>
          </w:p>
        </w:tc>
      </w:tr>
      <w:tr w14:paraId="77C5A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2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</w:tcPr>
          <w:p w14:paraId="76DFF294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评估假设</w:t>
            </w:r>
          </w:p>
        </w:tc>
        <w:tc>
          <w:tcPr>
            <w:tcW w:w="7058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</w:tcPr>
          <w:p w14:paraId="2F7F588D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成本法；价值时点2025-12-04(主)/2026-01-23(补充)；未考虑快速变现折价（四拍净价已体现）</w:t>
            </w:r>
          </w:p>
        </w:tc>
      </w:tr>
    </w:tbl>
    <w:p w14:paraId="5507FDBC">
      <w:pPr>
        <w:spacing w:before="0" w:after="40" w:line="312" w:lineRule="auto"/>
      </w:pPr>
    </w:p>
    <w:p w14:paraId="791065AA">
      <w:pPr>
        <w:pBdr>
          <w:left w:val="single" w:color="2E75B6" w:sz="24" w:space="4"/>
        </w:pBdr>
        <w:spacing w:before="200" w:after="120" w:line="312" w:lineRule="auto"/>
      </w:pPr>
      <w:r>
        <w:rPr>
          <w:rFonts w:ascii="微软雅黑" w:hAnsi="微软雅黑" w:eastAsia="微软雅黑" w:cs="微软雅黑"/>
          <w:b/>
          <w:color w:val="2E75B6"/>
          <w:sz w:val="26"/>
        </w:rPr>
        <w:t>主评估价值时点2025-12-04：估价总价37,946,900元 = 土地22,244,600（21,125㎡×1,053） + 建筑物15,597,300（17,902.42㎡，各幢单价293~938元/㎡） + 变压器105,000。补充评估（基准日2026-01-23）：龙门吊240,000 + 污水池设备740,400 = 980,400。公告载评估总价37,262,200元，与报告合计差684,700元，口径待管理人核实。</w:t>
      </w:r>
    </w:p>
    <w:p w14:paraId="17353AF9">
      <w:pPr>
        <w:spacing w:before="0" w:after="120" w:line="312" w:lineRule="auto"/>
        <w:jc w:val="both"/>
      </w:pPr>
      <w:r>
        <w:rPr>
          <w:rFonts w:ascii="微软雅黑" w:hAnsi="微软雅黑" w:eastAsia="微软雅黑" w:cs="微软雅黑"/>
          <w:b w:val="0"/>
          <w:sz w:val="22"/>
        </w:rPr>
        <w:t>2.4 现场状况</w:t>
      </w:r>
    </w:p>
    <w:p w14:paraId="4532C6A6">
      <w:pPr>
        <w:pBdr>
          <w:bottom w:val="single" w:color="2E75B6" w:sz="8" w:space="4"/>
        </w:pBdr>
        <w:spacing w:before="320" w:after="160" w:line="312" w:lineRule="auto"/>
      </w:pPr>
      <w:r>
        <w:rPr>
          <w:rFonts w:ascii="微软雅黑" w:hAnsi="微软雅黑" w:eastAsia="微软雅黑" w:cs="微软雅黑"/>
          <w:b/>
          <w:color w:val="1F3864"/>
          <w:sz w:val="32"/>
        </w:rPr>
        <w:t>① 标的现由案外人占有使用，管理人负责腾空，但6个月内无法腾空可无条件不成交、全额退款（不计息）。② 厂区含变压器、龙门吊、污水池设备（计入拍卖范围）。③ 建成年份无证载，评估按现场查勘成新率测算。④ 部分建筑超用地红线，红线外土地不列入可确权范围，权属纠纷由买受人自行解决。</w:t>
      </w:r>
    </w:p>
    <w:p w14:paraId="0E72FCD1">
      <w:pPr>
        <w:pBdr>
          <w:left w:val="single" w:color="2E75B6" w:sz="24" w:space="4"/>
        </w:pBdr>
        <w:spacing w:before="200" w:after="120" w:line="312" w:lineRule="auto"/>
      </w:pPr>
      <w:r>
        <w:rPr>
          <w:rFonts w:ascii="微软雅黑" w:hAnsi="微软雅黑" w:eastAsia="微软雅黑" w:cs="微软雅黑"/>
          <w:b/>
          <w:color w:val="2E75B6"/>
          <w:sz w:val="26"/>
        </w:rPr>
        <w:t>3.1 权利负担与抵押（以不动产登记簿为准）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5341D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268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1F3864"/>
          </w:tcPr>
          <w:p w14:paraId="370550AC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顺位</w:t>
            </w:r>
          </w:p>
        </w:tc>
        <w:tc>
          <w:tcPr>
            <w:tcW w:w="2268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1F3864"/>
          </w:tcPr>
          <w:p w14:paraId="495A6E49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抵押权人</w:t>
            </w:r>
          </w:p>
        </w:tc>
        <w:tc>
          <w:tcPr>
            <w:tcW w:w="2268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1F3864"/>
          </w:tcPr>
          <w:p w14:paraId="4F6387F0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债权本息（万）</w:t>
            </w:r>
          </w:p>
        </w:tc>
        <w:tc>
          <w:tcPr>
            <w:tcW w:w="2268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1F3864"/>
          </w:tcPr>
          <w:p w14:paraId="447F8C87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备注</w:t>
            </w:r>
          </w:p>
        </w:tc>
      </w:tr>
      <w:tr w14:paraId="6ADB7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</w:tcPr>
          <w:p w14:paraId="69BD4BBE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权利类型</w:t>
            </w:r>
          </w:p>
        </w:tc>
        <w:tc>
          <w:tcPr>
            <w:tcW w:w="2268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</w:tcPr>
          <w:p w14:paraId="0B2CF413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权利人</w:t>
            </w:r>
          </w:p>
        </w:tc>
        <w:tc>
          <w:tcPr>
            <w:tcW w:w="2268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</w:tcPr>
          <w:p w14:paraId="64AE5A67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情况</w:t>
            </w:r>
          </w:p>
        </w:tc>
        <w:tc>
          <w:tcPr>
            <w:tcW w:w="2268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</w:tcPr>
          <w:p w14:paraId="24E33EA2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对买受人影响</w:t>
            </w:r>
          </w:p>
        </w:tc>
      </w:tr>
      <w:tr w14:paraId="6F50F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AF1FB"/>
          </w:tcPr>
          <w:p w14:paraId="33A41586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抵押权（一押）</w:t>
            </w:r>
          </w:p>
        </w:tc>
        <w:tc>
          <w:tcPr>
            <w:tcW w:w="2268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AF1FB"/>
          </w:tcPr>
          <w:p w14:paraId="3D56ED27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中国民生银行泉州分行</w:t>
            </w:r>
          </w:p>
        </w:tc>
        <w:tc>
          <w:tcPr>
            <w:tcW w:w="2268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AF1FB"/>
          </w:tcPr>
          <w:p w14:paraId="2E0C0B0B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登记于标的资产；债权额以登记簿为准</w:t>
            </w:r>
          </w:p>
        </w:tc>
        <w:tc>
          <w:tcPr>
            <w:tcW w:w="2268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AF1FB"/>
          </w:tcPr>
          <w:p w14:paraId="07762C83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过户前需涤除；包税由买方承担，涤除后过户</w:t>
            </w:r>
          </w:p>
        </w:tc>
      </w:tr>
      <w:tr w14:paraId="47949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</w:tcPr>
          <w:p w14:paraId="44ADCF02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破产清算/占用</w:t>
            </w:r>
          </w:p>
        </w:tc>
        <w:tc>
          <w:tcPr>
            <w:tcW w:w="2268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</w:tcPr>
          <w:p w14:paraId="264BA43E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鼎诚石材管理人；案外人占用</w:t>
            </w:r>
          </w:p>
        </w:tc>
        <w:tc>
          <w:tcPr>
            <w:tcW w:w="2268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</w:tcPr>
          <w:p w14:paraId="43E2280B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资产为破产财产四拍处置；部分由案外人占用，管理人负责腾空</w:t>
            </w:r>
          </w:p>
        </w:tc>
        <w:tc>
          <w:tcPr>
            <w:tcW w:w="2268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</w:tcPr>
          <w:p w14:paraId="061EFA39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买受人自管理人处受让权属清晰；6个月未腾空可退款（保护条款）</w:t>
            </w:r>
          </w:p>
        </w:tc>
      </w:tr>
    </w:tbl>
    <w:p w14:paraId="06F90D72">
      <w:pPr>
        <w:spacing w:before="0" w:after="40" w:line="312" w:lineRule="auto"/>
      </w:pPr>
    </w:p>
    <w:p w14:paraId="2935F260">
      <w:pPr>
        <w:pBdr>
          <w:left w:val="single" w:color="2E75B6" w:sz="24" w:space="4"/>
        </w:pBdr>
        <w:spacing w:before="200" w:after="120" w:line="312" w:lineRule="auto"/>
      </w:pPr>
      <w:r>
        <w:rPr>
          <w:rFonts w:ascii="微软雅黑" w:hAnsi="微软雅黑" w:eastAsia="微软雅黑" w:cs="微软雅黑"/>
          <w:b/>
          <w:color w:val="2E75B6"/>
          <w:sz w:val="26"/>
        </w:rPr>
        <w:t>3.2 抵押背景（一押 民生银行泉州分行）</w:t>
      </w:r>
    </w:p>
    <w:p w14:paraId="7B2D5BC1">
      <w:pPr>
        <w:spacing w:before="0" w:after="120" w:line="312" w:lineRule="auto"/>
        <w:jc w:val="both"/>
      </w:pPr>
      <w:r>
        <w:rPr>
          <w:rFonts w:ascii="微软雅黑" w:hAnsi="微软雅黑" w:eastAsia="微软雅黑" w:cs="微软雅黑"/>
          <w:b w:val="0"/>
          <w:sz w:val="22"/>
        </w:rPr>
        <w:t>标的资产设有一押抵押权，权利人为中国民生银行泉州分行，债权本息以不动产登记簿及破产债权申报为准。该抵押为破产企业既有担保物权，买受人受让后须待抵押涤除方可办理过户；包税条款下相关税费由买受人承担，不实质影响权属取得（管理人为破产财产处置主体，权属清晰）。</w:t>
      </w:r>
    </w:p>
    <w:p w14:paraId="5016781D">
      <w:pPr>
        <w:pBdr>
          <w:left w:val="single" w:color="2E75B6" w:sz="24" w:space="4"/>
        </w:pBdr>
        <w:spacing w:before="200" w:after="120" w:line="312" w:lineRule="auto"/>
      </w:pPr>
      <w:r>
        <w:rPr>
          <w:rFonts w:ascii="微软雅黑" w:hAnsi="微软雅黑" w:eastAsia="微软雅黑" w:cs="微软雅黑"/>
          <w:b/>
          <w:color w:val="2E75B6"/>
          <w:sz w:val="26"/>
        </w:rPr>
        <w:t>3.3 抵押对买受人的影响（简述）</w:t>
      </w:r>
    </w:p>
    <w:p w14:paraId="6059A2B0">
      <w:pPr>
        <w:spacing w:before="0" w:after="120" w:line="312" w:lineRule="auto"/>
        <w:jc w:val="both"/>
      </w:pPr>
      <w:r>
        <w:rPr>
          <w:rFonts w:ascii="微软雅黑" w:hAnsi="微软雅黑" w:eastAsia="微软雅黑" w:cs="微软雅黑"/>
          <w:b w:val="0"/>
          <w:sz w:val="22"/>
        </w:rPr>
        <w:t>清偿顺序为破产费用/税费 → 担保债权（民生银行） → 普通债权。本案为物权受让，买受人支付全部成本后自管理人处取得资产；既有抵押在过户前由管理人/法院涤除，买受人无需承担原企业债务。该信息仅用于理解交易确定性，具体以登记簿和破产程序文件为准。</w:t>
      </w:r>
    </w:p>
    <w:p w14:paraId="1657B714">
      <w:pPr>
        <w:pBdr>
          <w:bottom w:val="single" w:color="2E75B6" w:sz="8" w:space="4"/>
        </w:pBdr>
        <w:spacing w:before="320" w:after="160" w:line="312" w:lineRule="auto"/>
      </w:pPr>
      <w:r>
        <w:rPr>
          <w:rFonts w:ascii="微软雅黑" w:hAnsi="微软雅黑" w:eastAsia="微软雅黑" w:cs="微软雅黑"/>
          <w:b/>
          <w:color w:val="1F3864"/>
          <w:sz w:val="32"/>
        </w:rPr>
        <w:t>四、处置规则与买方成本构成</w:t>
      </w:r>
    </w:p>
    <w:p w14:paraId="23CD22A0">
      <w:pPr>
        <w:pBdr>
          <w:left w:val="single" w:color="2E75B6" w:sz="24" w:space="4"/>
        </w:pBdr>
        <w:spacing w:before="200" w:after="120" w:line="312" w:lineRule="auto"/>
      </w:pPr>
      <w:r>
        <w:rPr>
          <w:rFonts w:ascii="微软雅黑" w:hAnsi="微软雅黑" w:eastAsia="微软雅黑" w:cs="微软雅黑"/>
          <w:b/>
          <w:color w:val="2E75B6"/>
          <w:sz w:val="26"/>
        </w:rPr>
        <w:t>4.1 处置规则与过户要点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6"/>
        <w:gridCol w:w="7794"/>
      </w:tblGrid>
      <w:tr w14:paraId="6AD1B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6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1F3864"/>
          </w:tcPr>
          <w:p w14:paraId="24E9F38C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事项</w:t>
            </w:r>
          </w:p>
        </w:tc>
        <w:tc>
          <w:tcPr>
            <w:tcW w:w="779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1F3864"/>
          </w:tcPr>
          <w:p w14:paraId="6567D6F6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规则/说明</w:t>
            </w:r>
          </w:p>
        </w:tc>
      </w:tr>
      <w:tr w14:paraId="78D2E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6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</w:tcPr>
          <w:p w14:paraId="4397E060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税费</w:t>
            </w:r>
          </w:p>
        </w:tc>
        <w:tc>
          <w:tcPr>
            <w:tcW w:w="779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</w:tcPr>
          <w:p w14:paraId="5E5B1AF8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交易税费买卖双方一切税、费均由买受人承担（包税，不退）；计税价按成交价</w:t>
            </w:r>
          </w:p>
        </w:tc>
      </w:tr>
      <w:tr w14:paraId="7A5161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6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AF1FB"/>
          </w:tcPr>
          <w:p w14:paraId="1B22DD5E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余款</w:t>
            </w:r>
          </w:p>
        </w:tc>
        <w:tc>
          <w:tcPr>
            <w:tcW w:w="779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AF1FB"/>
          </w:tcPr>
          <w:p w14:paraId="4AEBD239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成交后5日内缴入管理人账户（中行泉州分行 415689286364）；逾期按悔拍处理</w:t>
            </w:r>
          </w:p>
        </w:tc>
      </w:tr>
      <w:tr w14:paraId="62059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6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</w:tcPr>
          <w:p w14:paraId="2F8F341D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交付/腾空</w:t>
            </w:r>
          </w:p>
        </w:tc>
        <w:tc>
          <w:tcPr>
            <w:tcW w:w="779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</w:tcPr>
          <w:p w14:paraId="13A6BECB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现状交付（含设备）；管理人腾空；6个月内无法完成可无条件不成交，只退本金、不计息</w:t>
            </w:r>
          </w:p>
        </w:tc>
      </w:tr>
      <w:tr w14:paraId="3901A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6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AF1FB"/>
          </w:tcPr>
          <w:p w14:paraId="20DBF832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过户</w:t>
            </w:r>
          </w:p>
        </w:tc>
        <w:tc>
          <w:tcPr>
            <w:tcW w:w="779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AF1FB"/>
          </w:tcPr>
          <w:p w14:paraId="78B93C3F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凭成交确认及管理人协助办理过户；未办证建筑以登记核定意见为准</w:t>
            </w:r>
          </w:p>
        </w:tc>
      </w:tr>
      <w:tr w14:paraId="0583A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6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</w:tcPr>
          <w:p w14:paraId="769FABF1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资格</w:t>
            </w:r>
          </w:p>
        </w:tc>
        <w:tc>
          <w:tcPr>
            <w:tcW w:w="779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</w:tcPr>
          <w:p w14:paraId="016164CD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仅限企业法人竞买（个人无法过户）</w:t>
            </w:r>
          </w:p>
        </w:tc>
      </w:tr>
      <w:tr w14:paraId="43744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6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AF1FB"/>
          </w:tcPr>
          <w:p w14:paraId="2FDF606D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买方成本构成</w:t>
            </w:r>
          </w:p>
        </w:tc>
        <w:tc>
          <w:tcPr>
            <w:tcW w:w="779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AF1FB"/>
          </w:tcPr>
          <w:p w14:paraId="67799403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成交价 + 买方税费(约40.73万) + 垫付卖方税费(约167.60万) + 软件费0.5%(6.68万) + 欠费；合计约1,550万</w:t>
            </w:r>
          </w:p>
        </w:tc>
      </w:tr>
    </w:tbl>
    <w:p w14:paraId="52852EC2">
      <w:pPr>
        <w:spacing w:before="200" w:after="120" w:line="312" w:lineRule="auto"/>
        <w:rPr>
          <w:rFonts w:ascii="微软雅黑" w:hAnsi="微软雅黑" w:eastAsia="微软雅黑"/>
          <w:b/>
          <w:color w:val="2E75B6"/>
          <w:sz w:val="26"/>
        </w:rPr>
      </w:pPr>
    </w:p>
    <w:p w14:paraId="7763F613">
      <w:pPr>
        <w:pBdr>
          <w:left w:val="single" w:color="2E75B6" w:sz="24" w:space="4"/>
        </w:pBdr>
        <w:spacing w:before="200" w:after="120" w:line="312" w:lineRule="auto"/>
      </w:pPr>
      <w:r>
        <w:rPr>
          <w:rFonts w:ascii="微软雅黑" w:hAnsi="微软雅黑" w:eastAsia="微软雅黑" w:cs="微软雅黑"/>
          <w:b/>
          <w:color w:val="2E75B6"/>
          <w:sz w:val="26"/>
        </w:rPr>
        <w:t>4.2 买家拍下后税费测算（全部由买受人承担 · 包税不退）</w:t>
      </w:r>
    </w:p>
    <w:p w14:paraId="7860BF84">
      <w:pPr>
        <w:spacing w:before="0" w:after="120" w:line="312" w:lineRule="auto"/>
      </w:pPr>
      <w:r>
        <w:rPr>
          <w:rFonts w:ascii="微软雅黑" w:hAnsi="微软雅黑" w:eastAsia="微软雅黑" w:cs="微软雅黑"/>
          <w:b w:val="0"/>
          <w:sz w:val="22"/>
        </w:rPr>
        <w:t>测算前提：成交价 1,335.48 万元（四拍起拍价，已扣除卖方税费的净价）；标的于2016年4月30日前取得（土地证2013年）；破产清算包税，买卖双方一切税、费均由买受人承担，不退还。增值税按简易5%、附加按水头镇镇级合计10%、土地增值税按泉州核定7%、契税3%、印花税0.05%（双方，包税下买方付双份）。最终以税务局过户时实际核算为准。</w:t>
      </w:r>
    </w:p>
    <w:p w14:paraId="0F884AA2">
      <w:pPr>
        <w:spacing w:before="80" w:after="80" w:line="312" w:lineRule="auto"/>
      </w:pPr>
      <w:r>
        <w:rPr>
          <w:rFonts w:ascii="微软雅黑" w:hAnsi="微软雅黑" w:eastAsia="微软雅黑" w:cs="微软雅黑"/>
          <w:b/>
          <w:color w:val="2E75B6"/>
          <w:sz w:val="22"/>
        </w:rPr>
        <w:t>（一）买方应缴税费（自付）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2976C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1F3864"/>
          </w:tcPr>
          <w:p w14:paraId="04593852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税种</w:t>
            </w:r>
          </w:p>
        </w:tc>
        <w:tc>
          <w:tcPr>
            <w:tcW w:w="2268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1F3864"/>
          </w:tcPr>
          <w:p w14:paraId="216B2B92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计税依据</w:t>
            </w:r>
          </w:p>
        </w:tc>
        <w:tc>
          <w:tcPr>
            <w:tcW w:w="2268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1F3864"/>
          </w:tcPr>
          <w:p w14:paraId="6CDA0D50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税率</w:t>
            </w:r>
          </w:p>
        </w:tc>
        <w:tc>
          <w:tcPr>
            <w:tcW w:w="2268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1F3864"/>
          </w:tcPr>
          <w:p w14:paraId="674367ED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测算金额（万元）</w:t>
            </w:r>
          </w:p>
        </w:tc>
      </w:tr>
      <w:tr w14:paraId="2547A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</w:tcPr>
          <w:p w14:paraId="2260A4C2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契税</w:t>
            </w:r>
          </w:p>
        </w:tc>
        <w:tc>
          <w:tcPr>
            <w:tcW w:w="2268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</w:tcPr>
          <w:p w14:paraId="06184406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成交价13,354,773</w:t>
            </w:r>
          </w:p>
        </w:tc>
        <w:tc>
          <w:tcPr>
            <w:tcW w:w="2268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</w:tcPr>
          <w:p w14:paraId="33A08593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3%</w:t>
            </w:r>
          </w:p>
        </w:tc>
        <w:tc>
          <w:tcPr>
            <w:tcW w:w="2268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</w:tcPr>
          <w:p w14:paraId="41322574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40.06</w:t>
            </w:r>
          </w:p>
        </w:tc>
      </w:tr>
      <w:tr w14:paraId="7A9FB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AF1FB"/>
          </w:tcPr>
          <w:p w14:paraId="1B04A5D9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印花税（买方）</w:t>
            </w:r>
          </w:p>
        </w:tc>
        <w:tc>
          <w:tcPr>
            <w:tcW w:w="2268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AF1FB"/>
          </w:tcPr>
          <w:p w14:paraId="5B310A5C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产权转移书据金额</w:t>
            </w:r>
          </w:p>
        </w:tc>
        <w:tc>
          <w:tcPr>
            <w:tcW w:w="2268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AF1FB"/>
          </w:tcPr>
          <w:p w14:paraId="353036C1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0.05%</w:t>
            </w:r>
          </w:p>
        </w:tc>
        <w:tc>
          <w:tcPr>
            <w:tcW w:w="2268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AF1FB"/>
          </w:tcPr>
          <w:p w14:paraId="43D37D9E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0.67</w:t>
            </w:r>
          </w:p>
        </w:tc>
      </w:tr>
      <w:tr w14:paraId="00C41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</w:tcPr>
          <w:p w14:paraId="6A251A22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合计</w:t>
            </w:r>
          </w:p>
        </w:tc>
        <w:tc>
          <w:tcPr>
            <w:tcW w:w="2268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</w:tcPr>
          <w:p w14:paraId="7E2E1D06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—</w:t>
            </w:r>
          </w:p>
        </w:tc>
        <w:tc>
          <w:tcPr>
            <w:tcW w:w="2268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</w:tcPr>
          <w:p w14:paraId="3DB151A7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—</w:t>
            </w:r>
          </w:p>
        </w:tc>
        <w:tc>
          <w:tcPr>
            <w:tcW w:w="2268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</w:tcPr>
          <w:p w14:paraId="7992B368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40.73</w:t>
            </w:r>
          </w:p>
        </w:tc>
      </w:tr>
    </w:tbl>
    <w:p w14:paraId="002E520D">
      <w:pPr>
        <w:spacing w:before="0" w:after="40" w:line="312" w:lineRule="auto"/>
      </w:pPr>
    </w:p>
    <w:p w14:paraId="526435C7">
      <w:pPr>
        <w:spacing w:before="0" w:after="120" w:line="312" w:lineRule="auto"/>
      </w:pPr>
      <w:r>
        <w:rPr>
          <w:rFonts w:ascii="微软雅黑" w:hAnsi="微软雅黑" w:eastAsia="微软雅黑" w:cs="微软雅黑"/>
          <w:b w:val="0"/>
          <w:color w:val="808080"/>
          <w:sz w:val="18"/>
        </w:rPr>
        <w:t>政策依据：《契税法》、闽财税〔2021〕15号（契税3%）；《印花税法》（产权转移书据0.05%）。</w:t>
      </w:r>
    </w:p>
    <w:p w14:paraId="0DA4B97E">
      <w:pPr>
        <w:spacing w:before="120" w:after="80" w:line="312" w:lineRule="auto"/>
      </w:pPr>
      <w:r>
        <w:rPr>
          <w:rFonts w:ascii="微软雅黑" w:hAnsi="微软雅黑" w:eastAsia="微软雅黑" w:cs="微软雅黑"/>
          <w:b/>
          <w:color w:val="2E75B6"/>
          <w:sz w:val="22"/>
        </w:rPr>
        <w:t>（二）卖方税费（买方垫付 · 包税不退）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0BC96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1F3864"/>
          </w:tcPr>
          <w:p w14:paraId="6DE9461A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税种</w:t>
            </w:r>
          </w:p>
        </w:tc>
        <w:tc>
          <w:tcPr>
            <w:tcW w:w="302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1F3864"/>
          </w:tcPr>
          <w:p w14:paraId="0EA9A95E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计税口径</w:t>
            </w:r>
          </w:p>
        </w:tc>
        <w:tc>
          <w:tcPr>
            <w:tcW w:w="302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1F3864"/>
          </w:tcPr>
          <w:p w14:paraId="25C78FA6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测算金额（万元）</w:t>
            </w:r>
          </w:p>
        </w:tc>
      </w:tr>
      <w:tr w14:paraId="6E4EA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</w:tcPr>
          <w:p w14:paraId="1732236A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增值税</w:t>
            </w:r>
          </w:p>
        </w:tc>
        <w:tc>
          <w:tcPr>
            <w:tcW w:w="302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</w:tcPr>
          <w:p w14:paraId="60774D50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简易5%：13,354,773×5%</w:t>
            </w:r>
          </w:p>
        </w:tc>
        <w:tc>
          <w:tcPr>
            <w:tcW w:w="302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</w:tcPr>
          <w:p w14:paraId="5730D899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66.77</w:t>
            </w:r>
          </w:p>
        </w:tc>
      </w:tr>
      <w:tr w14:paraId="0406A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AF1FB"/>
          </w:tcPr>
          <w:p w14:paraId="50DCE4CF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附加税费</w:t>
            </w:r>
          </w:p>
        </w:tc>
        <w:tc>
          <w:tcPr>
            <w:tcW w:w="302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AF1FB"/>
          </w:tcPr>
          <w:p w14:paraId="374F362D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增值税×10%（镇城建5%+教附3%+地教2%）</w:t>
            </w:r>
          </w:p>
        </w:tc>
        <w:tc>
          <w:tcPr>
            <w:tcW w:w="302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AF1FB"/>
          </w:tcPr>
          <w:p w14:paraId="1CF21CC4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6.68</w:t>
            </w:r>
          </w:p>
        </w:tc>
      </w:tr>
      <w:tr w14:paraId="1B999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</w:tcPr>
          <w:p w14:paraId="31022C8E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土地增值税</w:t>
            </w:r>
          </w:p>
        </w:tc>
        <w:tc>
          <w:tcPr>
            <w:tcW w:w="302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</w:tcPr>
          <w:p w14:paraId="4BFF1798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核定征收：13,354,773×7%（泉州核定政策）</w:t>
            </w:r>
          </w:p>
        </w:tc>
        <w:tc>
          <w:tcPr>
            <w:tcW w:w="302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</w:tcPr>
          <w:p w14:paraId="29D09EAB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93.48</w:t>
            </w:r>
          </w:p>
        </w:tc>
      </w:tr>
      <w:tr w14:paraId="65765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AF1FB"/>
          </w:tcPr>
          <w:p w14:paraId="470387B7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印花税（卖方）</w:t>
            </w:r>
          </w:p>
        </w:tc>
        <w:tc>
          <w:tcPr>
            <w:tcW w:w="302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AF1FB"/>
          </w:tcPr>
          <w:p w14:paraId="243046B8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13,354,773×0.05%</w:t>
            </w:r>
          </w:p>
        </w:tc>
        <w:tc>
          <w:tcPr>
            <w:tcW w:w="302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AF1FB"/>
          </w:tcPr>
          <w:p w14:paraId="339036BE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0.67</w:t>
            </w:r>
          </w:p>
        </w:tc>
      </w:tr>
      <w:tr w14:paraId="0D548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</w:tcPr>
          <w:p w14:paraId="6224F1B4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小计（不含企业所得税）</w:t>
            </w:r>
          </w:p>
        </w:tc>
        <w:tc>
          <w:tcPr>
            <w:tcW w:w="302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</w:tcPr>
          <w:p w14:paraId="577FE79D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—</w:t>
            </w:r>
          </w:p>
        </w:tc>
        <w:tc>
          <w:tcPr>
            <w:tcW w:w="302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</w:tcPr>
          <w:p w14:paraId="729F9972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167.60</w:t>
            </w:r>
          </w:p>
        </w:tc>
      </w:tr>
      <w:tr w14:paraId="02D5B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AF1FB"/>
          </w:tcPr>
          <w:p w14:paraId="450C5017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企业所得税</w:t>
            </w:r>
          </w:p>
        </w:tc>
        <w:tc>
          <w:tcPr>
            <w:tcW w:w="302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AF1FB"/>
          </w:tcPr>
          <w:p w14:paraId="45A9BE83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待确认（清算所得，本案预计为负，不计入）</w:t>
            </w:r>
          </w:p>
        </w:tc>
        <w:tc>
          <w:tcPr>
            <w:tcW w:w="302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AF1FB"/>
          </w:tcPr>
          <w:p w14:paraId="3AEFF80A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—</w:t>
            </w:r>
          </w:p>
        </w:tc>
      </w:tr>
    </w:tbl>
    <w:p w14:paraId="75DC588B">
      <w:pPr>
        <w:spacing w:before="0" w:after="40" w:line="312" w:lineRule="auto"/>
      </w:pPr>
    </w:p>
    <w:p w14:paraId="045DA6F6">
      <w:pPr>
        <w:spacing w:before="0" w:after="120" w:line="312" w:lineRule="auto"/>
      </w:pPr>
      <w:r>
        <w:rPr>
          <w:rFonts w:ascii="微软雅黑" w:hAnsi="微软雅黑" w:eastAsia="微软雅黑" w:cs="微软雅黑"/>
          <w:b w:val="0"/>
          <w:color w:val="808080"/>
          <w:sz w:val="18"/>
        </w:rPr>
        <w:t>政策依据：国家税务总局公告2016年第14号（增值税简易5%）；泉州市税务局公告2021年第1号（土增核定7%）。企业所得税依清算所得，本案预计为负，待清算组/税务局确认，未计入合计。</w:t>
      </w:r>
    </w:p>
    <w:p w14:paraId="52BB4B79">
      <w:pPr>
        <w:spacing w:before="120" w:after="80" w:line="312" w:lineRule="auto"/>
      </w:pPr>
      <w:r>
        <w:rPr>
          <w:rFonts w:ascii="微软雅黑" w:hAnsi="微软雅黑" w:eastAsia="微软雅黑" w:cs="微软雅黑"/>
          <w:b/>
          <w:color w:val="2E75B6"/>
          <w:sz w:val="22"/>
        </w:rPr>
        <w:t>（三）买受人资金安排汇总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31C55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1F3864"/>
          </w:tcPr>
          <w:p w14:paraId="4D9E28D9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项目</w:t>
            </w:r>
          </w:p>
        </w:tc>
        <w:tc>
          <w:tcPr>
            <w:tcW w:w="302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1F3864"/>
          </w:tcPr>
          <w:p w14:paraId="2BF31E6F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金额（万元）</w:t>
            </w:r>
          </w:p>
        </w:tc>
        <w:tc>
          <w:tcPr>
            <w:tcW w:w="302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1F3864"/>
          </w:tcPr>
          <w:p w14:paraId="55064FEA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说明</w:t>
            </w:r>
          </w:p>
        </w:tc>
      </w:tr>
      <w:tr w14:paraId="48327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</w:tcPr>
          <w:p w14:paraId="37E61F3F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拍卖成交价</w:t>
            </w:r>
          </w:p>
        </w:tc>
        <w:tc>
          <w:tcPr>
            <w:tcW w:w="302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</w:tcPr>
          <w:p w14:paraId="4DE306DC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1,335.48</w:t>
            </w:r>
          </w:p>
        </w:tc>
        <w:tc>
          <w:tcPr>
            <w:tcW w:w="302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</w:tcPr>
          <w:p w14:paraId="1CFE90B1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给管理人（净价，已扣卖方税）</w:t>
            </w:r>
          </w:p>
        </w:tc>
      </w:tr>
      <w:tr w14:paraId="08D56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AF1FB"/>
          </w:tcPr>
          <w:p w14:paraId="386E2A54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买方税费</w:t>
            </w:r>
          </w:p>
        </w:tc>
        <w:tc>
          <w:tcPr>
            <w:tcW w:w="302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AF1FB"/>
          </w:tcPr>
          <w:p w14:paraId="2F13448D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40.73</w:t>
            </w:r>
          </w:p>
        </w:tc>
        <w:tc>
          <w:tcPr>
            <w:tcW w:w="302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AF1FB"/>
          </w:tcPr>
          <w:p w14:paraId="7E583FB1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买方自付</w:t>
            </w:r>
          </w:p>
        </w:tc>
      </w:tr>
      <w:tr w14:paraId="7BBB7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</w:tcPr>
          <w:p w14:paraId="0749FF31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垫付卖方税费</w:t>
            </w:r>
          </w:p>
        </w:tc>
        <w:tc>
          <w:tcPr>
            <w:tcW w:w="302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</w:tcPr>
          <w:p w14:paraId="39FF56BB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167.60</w:t>
            </w:r>
          </w:p>
        </w:tc>
        <w:tc>
          <w:tcPr>
            <w:tcW w:w="302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</w:tcPr>
          <w:p w14:paraId="340C7DFD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包税，不退</w:t>
            </w:r>
          </w:p>
        </w:tc>
      </w:tr>
      <w:tr w14:paraId="3D901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AF1FB"/>
          </w:tcPr>
          <w:p w14:paraId="3612923C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软件服务费（0.5%）</w:t>
            </w:r>
          </w:p>
        </w:tc>
        <w:tc>
          <w:tcPr>
            <w:tcW w:w="302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AF1FB"/>
          </w:tcPr>
          <w:p w14:paraId="60E01907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6.68</w:t>
            </w:r>
          </w:p>
        </w:tc>
        <w:tc>
          <w:tcPr>
            <w:tcW w:w="302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AF1FB"/>
          </w:tcPr>
          <w:p w14:paraId="000BF0E1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平台收取</w:t>
            </w:r>
          </w:p>
        </w:tc>
      </w:tr>
      <w:tr w14:paraId="43119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</w:tcPr>
          <w:p w14:paraId="6E912D99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买受人实际总成本</w:t>
            </w:r>
          </w:p>
        </w:tc>
        <w:tc>
          <w:tcPr>
            <w:tcW w:w="302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</w:tcPr>
          <w:p w14:paraId="6AF5BB43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1,550.49（≈1,550）</w:t>
            </w:r>
          </w:p>
        </w:tc>
        <w:tc>
          <w:tcPr>
            <w:tcW w:w="302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</w:tcPr>
          <w:p w14:paraId="21782D04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成交价1,335.48＋买方税费40.73＋垫付167.60＋软件费6.68；税费合计208.33（不含所得税）</w:t>
            </w:r>
          </w:p>
        </w:tc>
      </w:tr>
    </w:tbl>
    <w:p w14:paraId="354775B7">
      <w:pPr>
        <w:spacing w:before="0" w:after="40" w:line="312" w:lineRule="auto"/>
      </w:pPr>
    </w:p>
    <w:p w14:paraId="30217F8A">
      <w:pPr>
        <w:spacing w:before="120" w:after="80" w:line="312" w:lineRule="auto"/>
      </w:pPr>
      <w:r>
        <w:rPr>
          <w:rFonts w:ascii="微软雅黑" w:hAnsi="微软雅黑" w:eastAsia="微软雅黑" w:cs="微软雅黑"/>
          <w:b/>
          <w:color w:val="2E75B6"/>
          <w:sz w:val="22"/>
        </w:rPr>
        <w:t>（四）重要提示</w:t>
      </w:r>
    </w:p>
    <w:p w14:paraId="4F3C9BF7">
      <w:pPr>
        <w:spacing w:before="0" w:after="80" w:line="312" w:lineRule="auto"/>
      </w:pPr>
      <w:r>
        <w:rPr>
          <w:rFonts w:ascii="微软雅黑" w:hAnsi="微软雅黑" w:eastAsia="微软雅黑" w:cs="微软雅黑"/>
          <w:b w:val="0"/>
          <w:sz w:val="20"/>
        </w:rPr>
        <w:t>① 破产包税：买卖双方一切税、费均由买受人承担，卖方税费由买方另行垫付、不退还（起拍价已是扣税净价，管理人收款不含卖方税，无从扣除）。需提前安排约 167.60 万元垫税资金（不含所得税）。</w:t>
      </w:r>
    </w:p>
    <w:p w14:paraId="3343719F">
      <w:pPr>
        <w:spacing w:before="0" w:after="80" w:line="312" w:lineRule="auto"/>
      </w:pPr>
      <w:r>
        <w:rPr>
          <w:rFonts w:ascii="微软雅黑" w:hAnsi="微软雅黑" w:eastAsia="微软雅黑" w:cs="微软雅黑"/>
          <w:b w:val="0"/>
          <w:sz w:val="20"/>
        </w:rPr>
        <w:t>② 本测算基于「核定简易」口径（无原值发票、按核定率）；若税务机关改为查账征收，土地增值税可能大幅上升。</w:t>
      </w:r>
    </w:p>
    <w:p w14:paraId="4E76CC54">
      <w:pPr>
        <w:spacing w:before="0" w:after="80" w:line="312" w:lineRule="auto"/>
      </w:pPr>
      <w:r>
        <w:rPr>
          <w:rFonts w:ascii="微软雅黑" w:hAnsi="微软雅黑" w:eastAsia="微软雅黑" w:cs="微软雅黑"/>
          <w:b w:val="0"/>
          <w:sz w:val="20"/>
        </w:rPr>
        <w:t>③ 附加税费按水头镇镇级口径（城建5%+教附3%+地教2%=10%）列示；所有测算仅供参考，最终以税务机关核定为准，建议竞拍前拨打福建税务 12366 预核算。</w:t>
      </w:r>
    </w:p>
    <w:p w14:paraId="44468893">
      <w:pPr>
        <w:spacing w:before="0" w:after="80" w:line="312" w:lineRule="auto"/>
      </w:pPr>
      <w:r>
        <w:rPr>
          <w:rFonts w:ascii="微软雅黑" w:hAnsi="微软雅黑" w:eastAsia="微软雅黑" w:cs="微软雅黑"/>
          <w:b w:val="0"/>
          <w:sz w:val="20"/>
        </w:rPr>
        <w:t>④ 竞拍前务必仔细阅读《拍卖公告》和《竞买须知》，确认包税条款与腾空/退款约定。</w:t>
      </w:r>
    </w:p>
    <w:p w14:paraId="2F717730">
      <w:pPr>
        <w:pBdr>
          <w:bottom w:val="single" w:color="2E75B6" w:sz="8" w:space="4"/>
        </w:pBdr>
        <w:spacing w:before="320" w:after="160" w:line="312" w:lineRule="auto"/>
      </w:pPr>
      <w:r>
        <w:rPr>
          <w:rFonts w:ascii="微软雅黑" w:hAnsi="微软雅黑" w:eastAsia="微软雅黑" w:cs="微软雅黑"/>
          <w:b/>
          <w:color w:val="1F3864"/>
          <w:sz w:val="32"/>
        </w:rPr>
        <w:t>五、法律风险清单与应对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74333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1F3864"/>
          </w:tcPr>
          <w:p w14:paraId="0666994D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风险类别</w:t>
            </w:r>
          </w:p>
        </w:tc>
        <w:tc>
          <w:tcPr>
            <w:tcW w:w="2268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1F3864"/>
          </w:tcPr>
          <w:p w14:paraId="547AB87F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风险描述</w:t>
            </w:r>
          </w:p>
        </w:tc>
        <w:tc>
          <w:tcPr>
            <w:tcW w:w="2268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1F3864"/>
          </w:tcPr>
          <w:p w14:paraId="046EBD0C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应对建议</w:t>
            </w:r>
          </w:p>
        </w:tc>
        <w:tc>
          <w:tcPr>
            <w:tcW w:w="2268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1F3864"/>
          </w:tcPr>
          <w:p w14:paraId="37A4E5B2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紧急度</w:t>
            </w:r>
          </w:p>
        </w:tc>
      </w:tr>
      <w:tr w14:paraId="5EED2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</w:tcPr>
          <w:p w14:paraId="091C4B1E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未办证建筑</w:t>
            </w:r>
          </w:p>
        </w:tc>
        <w:tc>
          <w:tcPr>
            <w:tcW w:w="2268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</w:tcPr>
          <w:p w14:paraId="65295CD1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12幢均未办证，部分超红线，可能无法办证或被拆除</w:t>
            </w:r>
          </w:p>
        </w:tc>
        <w:tc>
          <w:tcPr>
            <w:tcW w:w="2268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</w:tcPr>
          <w:p w14:paraId="23C85C39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住建/自然资源核实；竞价按需扣减</w:t>
            </w:r>
          </w:p>
        </w:tc>
        <w:tc>
          <w:tcPr>
            <w:tcW w:w="2268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</w:tcPr>
          <w:p w14:paraId="5525BDDA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C00000"/>
                <w:sz w:val="21"/>
              </w:rPr>
              <w:t>高</w:t>
            </w:r>
          </w:p>
        </w:tc>
      </w:tr>
      <w:tr w14:paraId="23A2A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AF1FB"/>
          </w:tcPr>
          <w:p w14:paraId="20A450A9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占用与腾空</w:t>
            </w:r>
          </w:p>
        </w:tc>
        <w:tc>
          <w:tcPr>
            <w:tcW w:w="2268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AF1FB"/>
          </w:tcPr>
          <w:p w14:paraId="77669991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案外人占用、未腾空；6个月未完成可无条件不成交（只退本金）</w:t>
            </w:r>
          </w:p>
        </w:tc>
        <w:tc>
          <w:tcPr>
            <w:tcW w:w="2268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AF1FB"/>
          </w:tcPr>
          <w:p w14:paraId="793F2E41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现场核实占用人/租约；预留时间成本</w:t>
            </w:r>
          </w:p>
        </w:tc>
        <w:tc>
          <w:tcPr>
            <w:tcW w:w="2268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AF1FB"/>
          </w:tcPr>
          <w:p w14:paraId="6B28932D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C00000"/>
                <w:sz w:val="21"/>
              </w:rPr>
              <w:t>高</w:t>
            </w:r>
          </w:p>
        </w:tc>
      </w:tr>
      <w:tr w14:paraId="10D1D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</w:tcPr>
          <w:p w14:paraId="1F60471D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超红线/案外人厂区</w:t>
            </w:r>
          </w:p>
        </w:tc>
        <w:tc>
          <w:tcPr>
            <w:tcW w:w="2268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</w:tcPr>
          <w:p w14:paraId="4CE145A7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1#红线外1,565㎡在案外人厂区、红线内519.94㎡在案外人厂区</w:t>
            </w:r>
          </w:p>
        </w:tc>
        <w:tc>
          <w:tcPr>
            <w:tcW w:w="2268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</w:tcPr>
          <w:p w14:paraId="2E032E40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权属自解；核实红线位置</w:t>
            </w:r>
          </w:p>
        </w:tc>
        <w:tc>
          <w:tcPr>
            <w:tcW w:w="2268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</w:tcPr>
          <w:p w14:paraId="3AE36635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BF8F00"/>
                <w:sz w:val="21"/>
              </w:rPr>
              <w:t>高</w:t>
            </w:r>
          </w:p>
        </w:tc>
      </w:tr>
      <w:tr w14:paraId="714F6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AF1FB"/>
          </w:tcPr>
          <w:p w14:paraId="5CCEBB28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抵押涤除</w:t>
            </w:r>
          </w:p>
        </w:tc>
        <w:tc>
          <w:tcPr>
            <w:tcW w:w="2268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AF1FB"/>
          </w:tcPr>
          <w:p w14:paraId="74F0C372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民生银行一押，过户前需解除</w:t>
            </w:r>
          </w:p>
        </w:tc>
        <w:tc>
          <w:tcPr>
            <w:tcW w:w="2268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AF1FB"/>
          </w:tcPr>
          <w:p w14:paraId="005B4ABC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与管理人确认涤除流程</w:t>
            </w:r>
          </w:p>
        </w:tc>
        <w:tc>
          <w:tcPr>
            <w:tcW w:w="2268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AF1FB"/>
          </w:tcPr>
          <w:p w14:paraId="1F0A5F68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BF8F00"/>
                <w:sz w:val="21"/>
              </w:rPr>
              <w:t>中</w:t>
            </w:r>
          </w:p>
        </w:tc>
      </w:tr>
      <w:tr w14:paraId="3CE1F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</w:tcPr>
          <w:p w14:paraId="10C93D6D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税费包税兜底</w:t>
            </w:r>
          </w:p>
        </w:tc>
        <w:tc>
          <w:tcPr>
            <w:tcW w:w="2268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</w:tcPr>
          <w:p w14:paraId="26CEFC60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出让金/应补地价/滞纳金等依核定，可能追加</w:t>
            </w:r>
          </w:p>
        </w:tc>
        <w:tc>
          <w:tcPr>
            <w:tcW w:w="2268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</w:tcPr>
          <w:p w14:paraId="4CAD271B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预留10%–20%缓冲资金</w:t>
            </w:r>
          </w:p>
        </w:tc>
        <w:tc>
          <w:tcPr>
            <w:tcW w:w="2268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</w:tcPr>
          <w:p w14:paraId="716A297C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BF8F00"/>
                <w:sz w:val="21"/>
              </w:rPr>
              <w:t>中</w:t>
            </w:r>
          </w:p>
        </w:tc>
      </w:tr>
      <w:tr w14:paraId="57D36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AF1FB"/>
          </w:tcPr>
          <w:p w14:paraId="665B0C74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历史欠费</w:t>
            </w:r>
          </w:p>
        </w:tc>
        <w:tc>
          <w:tcPr>
            <w:tcW w:w="2268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AF1FB"/>
          </w:tcPr>
          <w:p w14:paraId="61CC24A4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原业主欠缴土地税/房产税/水电费等，公告约定由买受人承担</w:t>
            </w:r>
          </w:p>
        </w:tc>
        <w:tc>
          <w:tcPr>
            <w:tcW w:w="2268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AF1FB"/>
          </w:tcPr>
          <w:p w14:paraId="2EEF3C94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预算安排；税务/不动产核实</w:t>
            </w:r>
          </w:p>
        </w:tc>
        <w:tc>
          <w:tcPr>
            <w:tcW w:w="2268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AF1FB"/>
          </w:tcPr>
          <w:p w14:paraId="690432A9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BF8F00"/>
                <w:sz w:val="21"/>
              </w:rPr>
              <w:t>中</w:t>
            </w:r>
          </w:p>
        </w:tc>
      </w:tr>
      <w:tr w14:paraId="2618F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</w:tcPr>
          <w:p w14:paraId="64476497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评估总价差异</w:t>
            </w:r>
          </w:p>
        </w:tc>
        <w:tc>
          <w:tcPr>
            <w:tcW w:w="2268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</w:tcPr>
          <w:p w14:paraId="393C4D3D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公告37,262,200 vs 报告37,946,900（差684,700）</w:t>
            </w:r>
          </w:p>
        </w:tc>
        <w:tc>
          <w:tcPr>
            <w:tcW w:w="2268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</w:tcPr>
          <w:p w14:paraId="1EE162E6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向管理人书面核实口径</w:t>
            </w:r>
          </w:p>
        </w:tc>
        <w:tc>
          <w:tcPr>
            <w:tcW w:w="2268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</w:tcPr>
          <w:p w14:paraId="5BE36AF0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548235"/>
                <w:sz w:val="21"/>
              </w:rPr>
              <w:t>中</w:t>
            </w:r>
          </w:p>
        </w:tc>
      </w:tr>
      <w:tr w14:paraId="7C444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AF1FB"/>
          </w:tcPr>
          <w:p w14:paraId="710340F8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企业所得税/发票</w:t>
            </w:r>
          </w:p>
        </w:tc>
        <w:tc>
          <w:tcPr>
            <w:tcW w:w="2268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AF1FB"/>
          </w:tcPr>
          <w:p w14:paraId="4BC2E999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清算所得若为正需缴（约16.69万），总税费升至约225万；破产程序由管理人开具发票，无需担心原企业注销</w:t>
            </w:r>
          </w:p>
        </w:tc>
        <w:tc>
          <w:tcPr>
            <w:tcW w:w="2268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AF1FB"/>
          </w:tcPr>
          <w:p w14:paraId="2CD1452B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待清算组/税务局确认</w:t>
            </w:r>
          </w:p>
        </w:tc>
        <w:tc>
          <w:tcPr>
            <w:tcW w:w="2268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AF1FB"/>
          </w:tcPr>
          <w:p w14:paraId="1FDC6383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548235"/>
                <w:sz w:val="21"/>
              </w:rPr>
              <w:t>低</w:t>
            </w:r>
          </w:p>
        </w:tc>
      </w:tr>
    </w:tbl>
    <w:p w14:paraId="681A9844">
      <w:pPr>
        <w:spacing w:before="0" w:after="40" w:line="312" w:lineRule="auto"/>
      </w:pPr>
    </w:p>
    <w:p w14:paraId="0F3BD9B5">
      <w:pPr>
        <w:pBdr>
          <w:bottom w:val="single" w:color="2E75B6" w:sz="8" w:space="4"/>
        </w:pBdr>
        <w:spacing w:before="320" w:after="160" w:line="312" w:lineRule="auto"/>
      </w:pPr>
      <w:r>
        <w:rPr>
          <w:rFonts w:ascii="微软雅黑" w:hAnsi="微软雅黑" w:eastAsia="微软雅黑" w:cs="微软雅黑"/>
          <w:b/>
          <w:color w:val="1F3864"/>
          <w:sz w:val="32"/>
        </w:rPr>
        <w:t>六、现场与档案核查清单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5"/>
        <w:gridCol w:w="4535"/>
      </w:tblGrid>
      <w:tr w14:paraId="72FC0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1F3864"/>
          </w:tcPr>
          <w:p w14:paraId="1066FBC0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渠道</w:t>
            </w:r>
          </w:p>
        </w:tc>
        <w:tc>
          <w:tcPr>
            <w:tcW w:w="4535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1F3864"/>
          </w:tcPr>
          <w:p w14:paraId="373CAC54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核查事项</w:t>
            </w:r>
          </w:p>
        </w:tc>
      </w:tr>
      <w:tr w14:paraId="79AC4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</w:tcPr>
          <w:p w14:paraId="7B3788D3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南安市不动产登记中心</w:t>
            </w:r>
          </w:p>
        </w:tc>
        <w:tc>
          <w:tcPr>
            <w:tcW w:w="4535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</w:tcPr>
          <w:p w14:paraId="166DA9A5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民生银行抵押登记日期、债权额、涤除状态；查封机关/案号；未办证建筑确权可能</w:t>
            </w:r>
          </w:p>
        </w:tc>
      </w:tr>
      <w:tr w14:paraId="35F76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AF1FB"/>
          </w:tcPr>
          <w:p w14:paraId="34E9CDFE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管理人 / 南安法院</w:t>
            </w:r>
          </w:p>
        </w:tc>
        <w:tc>
          <w:tcPr>
            <w:tcW w:w="4535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AF1FB"/>
          </w:tcPr>
          <w:p w14:paraId="4F635F05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评估总价口径差异确认；腾空计划；税费承担与发票开具</w:t>
            </w:r>
          </w:p>
        </w:tc>
      </w:tr>
      <w:tr w14:paraId="40709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</w:tcPr>
          <w:p w14:paraId="42D941BC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税务 / 不动产</w:t>
            </w:r>
          </w:p>
        </w:tc>
        <w:tc>
          <w:tcPr>
            <w:tcW w:w="4535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</w:tcPr>
          <w:p w14:paraId="21CB79FA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历年土地税、房产税欠缴；增值税/土增核定率确认；企业所得税清算所得</w:t>
            </w:r>
          </w:p>
        </w:tc>
      </w:tr>
      <w:tr w14:paraId="1C164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AF1FB"/>
          </w:tcPr>
          <w:p w14:paraId="00D4BCB6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现场</w:t>
            </w:r>
          </w:p>
        </w:tc>
        <w:tc>
          <w:tcPr>
            <w:tcW w:w="4535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AF1FB"/>
          </w:tcPr>
          <w:p w14:paraId="7B98F6BE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占用人与租约、建筑质量与成新、红线位置、设备状况</w:t>
            </w:r>
          </w:p>
        </w:tc>
      </w:tr>
      <w:tr w14:paraId="7F87A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</w:tcPr>
          <w:p w14:paraId="40B2DF9C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住建 / 自然资源</w:t>
            </w:r>
          </w:p>
        </w:tc>
        <w:tc>
          <w:tcPr>
            <w:tcW w:w="4535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</w:tcPr>
          <w:p w14:paraId="6B2A4BFA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未办证建筑办证可能性、违建认定与拆除风险</w:t>
            </w:r>
          </w:p>
        </w:tc>
      </w:tr>
    </w:tbl>
    <w:p w14:paraId="51B787DA">
      <w:pPr>
        <w:spacing w:before="0" w:after="40" w:line="312" w:lineRule="auto"/>
      </w:pPr>
    </w:p>
    <w:p w14:paraId="07EE7650">
      <w:pPr>
        <w:pBdr>
          <w:bottom w:val="single" w:color="2E75B6" w:sz="8" w:space="4"/>
        </w:pBdr>
        <w:spacing w:before="320" w:after="160" w:line="312" w:lineRule="auto"/>
      </w:pPr>
      <w:r>
        <w:rPr>
          <w:rFonts w:ascii="微软雅黑" w:hAnsi="微软雅黑" w:eastAsia="微软雅黑" w:cs="微软雅黑"/>
          <w:b/>
          <w:color w:val="1F3864"/>
          <w:sz w:val="32"/>
        </w:rPr>
        <w:t>七、综合研判与投资建议</w:t>
      </w:r>
    </w:p>
    <w:p w14:paraId="7D9F32E1">
      <w:pPr>
        <w:pBdr>
          <w:left w:val="single" w:color="2E75B6" w:sz="24" w:space="4"/>
        </w:pBdr>
        <w:spacing w:before="200" w:after="120" w:line="312" w:lineRule="auto"/>
      </w:pPr>
      <w:r>
        <w:rPr>
          <w:rFonts w:ascii="微软雅黑" w:hAnsi="微软雅黑" w:eastAsia="微软雅黑" w:cs="微软雅黑"/>
          <w:b/>
          <w:color w:val="2E75B6"/>
          <w:sz w:val="26"/>
        </w:rPr>
        <w:t>7.1 核心判断</w:t>
      </w:r>
    </w:p>
    <w:p w14:paraId="2AD1B172">
      <w:pPr>
        <w:spacing w:before="0" w:after="120" w:line="312" w:lineRule="auto"/>
        <w:jc w:val="both"/>
      </w:pPr>
      <w:r>
        <w:rPr>
          <w:rFonts w:ascii="微软雅黑" w:hAnsi="微软雅黑" w:eastAsia="微软雅黑" w:cs="微软雅黑"/>
          <w:b w:val="0"/>
          <w:sz w:val="22"/>
        </w:rPr>
        <w:t>起拍价1,335.48万元为公告评估价（3,726.22万元）的35.83%，属破产清算四拍净价。本单能否参与，关键看四个变量：①未办证/超红线建筑的确权与拆除风险；②案外人占用与腾空时间（6个月未成可退款，属保护条款）；③包税全税费与潜在欠费/兜底税费；④评估总价公告与报告口径差异。物权受让、无受偿顺位不确定性，核心风险在资产瑕疵而非权属。</w:t>
      </w:r>
    </w:p>
    <w:p w14:paraId="55F5D7D1">
      <w:pPr>
        <w:pBdr>
          <w:left w:val="single" w:color="2E75B6" w:sz="24" w:space="4"/>
        </w:pBdr>
        <w:spacing w:before="200" w:after="120" w:line="312" w:lineRule="auto"/>
      </w:pPr>
      <w:r>
        <w:rPr>
          <w:rFonts w:ascii="微软雅黑" w:hAnsi="微软雅黑" w:eastAsia="微软雅黑" w:cs="微软雅黑"/>
          <w:b/>
          <w:color w:val="2E75B6"/>
          <w:sz w:val="26"/>
        </w:rPr>
        <w:t>7.2 决策建议（条件→建议）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5"/>
        <w:gridCol w:w="4535"/>
      </w:tblGrid>
      <w:tr w14:paraId="54D1E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1F3864"/>
          </w:tcPr>
          <w:p w14:paraId="310585CE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条件</w:t>
            </w:r>
          </w:p>
        </w:tc>
        <w:tc>
          <w:tcPr>
            <w:tcW w:w="4535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1F3864"/>
          </w:tcPr>
          <w:p w14:paraId="6846032C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建议</w:t>
            </w:r>
          </w:p>
        </w:tc>
      </w:tr>
      <w:tr w14:paraId="1E028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</w:tcPr>
          <w:p w14:paraId="0B276357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净价+包税总成本可控（≈1,550万）+ 瑕疵可核</w:t>
            </w:r>
          </w:p>
        </w:tc>
        <w:tc>
          <w:tcPr>
            <w:tcW w:w="4535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</w:tcPr>
          <w:p w14:paraId="3638F8AB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548235"/>
                <w:sz w:val="21"/>
              </w:rPr>
              <w:t>✅ 可评估参与；按起拍价拿下，预留税费缓冲</w:t>
            </w:r>
          </w:p>
        </w:tc>
      </w:tr>
      <w:tr w14:paraId="28EC0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AF1FB"/>
          </w:tcPr>
          <w:p w14:paraId="2F540162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未办证/超红线重大确权风险</w:t>
            </w:r>
          </w:p>
        </w:tc>
        <w:tc>
          <w:tcPr>
            <w:tcW w:w="4535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AF1FB"/>
          </w:tcPr>
          <w:p w14:paraId="3998A0A6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C00000"/>
                <w:sz w:val="21"/>
              </w:rPr>
              <w:t>❌ 重新核成本上限，降低报价或放弃</w:t>
            </w:r>
          </w:p>
        </w:tc>
      </w:tr>
      <w:tr w14:paraId="518FD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</w:tcPr>
          <w:p w14:paraId="332C90C4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大额欠税/长占用未解决</w:t>
            </w:r>
          </w:p>
        </w:tc>
        <w:tc>
          <w:tcPr>
            <w:tcW w:w="4535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</w:tcPr>
          <w:p w14:paraId="684C99E0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C00000"/>
                <w:sz w:val="21"/>
              </w:rPr>
              <w:t>⚠️ 要求管理人先解决或降低报价</w:t>
            </w:r>
          </w:p>
        </w:tc>
      </w:tr>
      <w:tr w14:paraId="7774D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AF1FB"/>
          </w:tcPr>
          <w:p w14:paraId="5AD16A4A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评估总价差异未澄清</w:t>
            </w:r>
          </w:p>
        </w:tc>
        <w:tc>
          <w:tcPr>
            <w:tcW w:w="4535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AF1FB"/>
          </w:tcPr>
          <w:p w14:paraId="1139135D">
            <w:pPr>
              <w:spacing w:before="40" w:after="40" w:line="24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2E75B6"/>
                <w:sz w:val="21"/>
              </w:rPr>
              <w:t>⚠️ 向管理人书面确认后再定</w:t>
            </w:r>
            <w:bookmarkStart w:id="0" w:name="_GoBack"/>
            <w:bookmarkEnd w:id="0"/>
          </w:p>
        </w:tc>
      </w:tr>
    </w:tbl>
    <w:p w14:paraId="3E10B724">
      <w:pPr>
        <w:spacing w:before="0" w:after="40" w:line="312" w:lineRule="auto"/>
      </w:pPr>
    </w:p>
    <w:p w14:paraId="01F04725">
      <w:pPr>
        <w:spacing w:before="0" w:after="40" w:line="312" w:lineRule="auto"/>
      </w:pPr>
    </w:p>
    <w:p w14:paraId="143E3CEA">
      <w:pPr>
        <w:spacing w:before="0" w:after="40" w:line="312" w:lineRule="auto"/>
      </w:pPr>
    </w:p>
    <w:p w14:paraId="093238E5">
      <w:pPr>
        <w:spacing w:before="0" w:after="40" w:line="312" w:lineRule="auto"/>
      </w:pPr>
    </w:p>
    <w:p w14:paraId="005949E7">
      <w:pPr>
        <w:spacing w:before="0" w:after="40" w:line="312" w:lineRule="auto"/>
      </w:pPr>
    </w:p>
    <w:p w14:paraId="79B736D0">
      <w:pPr>
        <w:pBdr>
          <w:left w:val="single" w:color="2E75B6" w:sz="24" w:space="4"/>
        </w:pBdr>
        <w:spacing w:before="200" w:after="120" w:line="312" w:lineRule="auto"/>
      </w:pPr>
      <w:r>
        <w:rPr>
          <w:rFonts w:ascii="微软雅黑" w:hAnsi="微软雅黑" w:eastAsia="微软雅黑" w:cs="微软雅黑"/>
          <w:b/>
          <w:color w:val="2E75B6"/>
          <w:sz w:val="26"/>
        </w:rPr>
        <w:t>7.3 下一步行动项</w:t>
      </w:r>
    </w:p>
    <w:p w14:paraId="64DDB70F">
      <w:pPr>
        <w:spacing w:before="0" w:after="120" w:line="312" w:lineRule="auto"/>
        <w:jc w:val="both"/>
      </w:pPr>
      <w:r>
        <w:rPr>
          <w:rFonts w:ascii="微软雅黑" w:hAnsi="微软雅黑" w:eastAsia="微软雅黑" w:cs="微软雅黑"/>
          <w:b w:val="0"/>
          <w:sz w:val="22"/>
        </w:rPr>
        <w:t>① 不动产登记簿核实民生银行抵押登记日期、债权额与涤除流程；② 管理人书面确认评估总价口径（37,262,200 vs 37,946,900）；③ 现场核实占用、租赁、红线与建筑状况；④ 税务/不动产核实欠税欠费及土增核定率、企业所得税清算所得；⑤ 核实后更新成本测算，确定竞价上限。</w:t>
      </w:r>
    </w:p>
    <w:p w14:paraId="74EF495F">
      <w:pPr>
        <w:pBdr>
          <w:bottom w:val="single" w:color="2E75B6" w:sz="8" w:space="4"/>
        </w:pBdr>
        <w:spacing w:before="320" w:after="160" w:line="312" w:lineRule="auto"/>
      </w:pPr>
      <w:r>
        <w:rPr>
          <w:rFonts w:ascii="微软雅黑" w:hAnsi="微软雅黑" w:eastAsia="微软雅黑" w:cs="微软雅黑"/>
          <w:b/>
          <w:color w:val="1F3864"/>
          <w:sz w:val="32"/>
        </w:rPr>
        <w:t>八、免责声明</w:t>
      </w:r>
    </w:p>
    <w:p w14:paraId="1E9025FD">
      <w:pPr>
        <w:spacing w:before="0" w:after="120" w:line="312" w:lineRule="auto"/>
        <w:jc w:val="both"/>
      </w:pPr>
      <w:r>
        <w:rPr>
          <w:rFonts w:ascii="微软雅黑" w:hAnsi="微软雅黑" w:eastAsia="微软雅黑" w:cs="微软雅黑"/>
          <w:b w:val="0"/>
          <w:sz w:val="22"/>
        </w:rPr>
        <w:t>本报告基于公开信息（淘宝破产拍卖公告、竞买须知、评估报告、测绘报告、补充评估说明函及网络检索）与委托方提供资料编制。未办证/超红线建筑、抵押登记金额、欠税欠费、评估总价口径等关键信息尚待线下核实，报告中涉及测算均为参数化假设（核定简易口径），不构成对成交价格、税费金额或投资回报的保证。本报告仅供内部投资决策参考，不构成投资建议。</w:t>
      </w:r>
    </w:p>
    <w:p w14:paraId="31513C07">
      <w:pPr>
        <w:spacing w:before="360" w:after="120" w:line="312" w:lineRule="auto"/>
        <w:jc w:val="center"/>
      </w:pPr>
      <w:r>
        <w:rPr>
          <w:rFonts w:ascii="微软雅黑" w:hAnsi="微软雅黑" w:eastAsia="微软雅黑" w:cs="微软雅黑"/>
          <w:b w:val="0"/>
          <w:sz w:val="24"/>
        </w:rPr>
        <w:t>— 报告完 —</w:t>
      </w:r>
    </w:p>
    <w:sectPr>
      <w:footerReference r:id="rId5" w:type="default"/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CDDFBA">
    <w:pPr>
      <w:pStyle w:val="24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E226562"/>
    <w:rsid w:val="775D5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220</Words>
  <Characters>284</Characters>
  <Lines>0</Lines>
  <Paragraphs>0</Paragraphs>
  <TotalTime>8</TotalTime>
  <ScaleCrop>false</ScaleCrop>
  <LinksUpToDate>false</LinksUpToDate>
  <CharactersWithSpaces>307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绿谷.</cp:lastModifiedBy>
  <dcterms:modified xsi:type="dcterms:W3CDTF">2026-08-11T13:01:42Z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eyJoZGlkIjoiYTA2ODAzMTkwZmU3ZTQxYTUwNjA2NTgyZjJlNzZkZWMiLCJ1c2VySWQiOiI2ODIyMzcyODkifQ==</vt:lpwstr>
  </property>
  <property fmtid="{D5CDD505-2E9C-101B-9397-08002B2CF9AE}" pid="3" name="KSOProductBuildVer">
    <vt:lpwstr>2052-12.1.0.28043</vt:lpwstr>
  </property>
  <property fmtid="{D5CDD505-2E9C-101B-9397-08002B2CF9AE}" pid="4" name="ICV">
    <vt:lpwstr>F746E5D0D67B4CD2A45DE819BEB764AA_12</vt:lpwstr>
  </property>
</Properties>
</file>