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Georgia" w:hAnsi="Georgia" w:cs="Georgia" w:eastAsia="Georgia"/>
          <w:color w:val="FFFFFF"/>
          <w:spacing w:val="0"/>
          <w:position w:val="0"/>
          <w:sz w:val="52"/>
          <w:u w:val="single"/>
          <w:shd w:fill="auto" w:val="clear"/>
        </w:rPr>
      </w:pPr>
      <w:r>
        <w:object w:dxaOrig="5199" w:dyaOrig="3569">
          <v:rect xmlns:o="urn:schemas-microsoft-com:office:office" xmlns:v="urn:schemas-microsoft-com:vml" id="rectole0000000000" style="width:259.950000pt;height:17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Georgia" w:hAnsi="Georgia" w:cs="Georgia" w:eastAsia="Georgia"/>
          <w:color w:val="FFFFFF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Georgia" w:hAnsi="Georgia" w:cs="Georgia" w:eastAsia="Georgia"/>
          <w:color w:val="FFFFFF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Georgia" w:hAnsi="Georgia" w:cs="Georgia" w:eastAsia="Georgia"/>
          <w:color w:val="FFFFFF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Georgia" w:hAnsi="Georgia" w:cs="Georgia" w:eastAsia="Georgia"/>
          <w:color w:val="5B9BD5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8"/>
          <w:shd w:fill="auto" w:val="clear"/>
        </w:rPr>
        <w:t xml:space="preserve">A sua estratégia: A estratégia empresarial lida com o comportamento humano, com o objetivo de motivar e conscientizar as pessoas que compõem a organização à prática da inovação como meio de obter vantagem competitiva nos negócios.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8"/>
          <w:shd w:fill="auto" w:val="clear"/>
        </w:rPr>
        <w:t xml:space="preserve">Com a entrada da informática no mundo da gestão,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