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shd w:val="clear" w:color="auto" w:fill="00418A"/>
      </w:pPr>
      <w:r>
        <w:rPr>
          <w:rFonts w:ascii="Calibri" w:hAnsi="Calibri"/>
          <w:b/>
          <w:color w:val="FFFFFF"/>
          <w:sz w:val="52"/>
        </w:rPr>
        <w:t xml:space="preserve">  BARÇA BANC  </w:t>
      </w:r>
    </w:p>
    <w:p>
      <w:pPr>
        <w:spacing w:before="0" w:after="40"/>
        <w:jc w:val="center"/>
        <w:shd w:val="clear" w:color="auto" w:fill="00418A"/>
      </w:pPr>
      <w:r>
        <w:rPr>
          <w:rFonts w:ascii="Calibri" w:hAnsi="Calibri"/>
          <w:color w:val="FFFFFF"/>
          <w:sz w:val="24"/>
        </w:rPr>
        <w:t xml:space="preserve">  PRESS KIT — PHASE 1 LAUNCH  </w:t>
      </w:r>
    </w:p>
    <w:p>
      <w:pPr>
        <w:spacing w:before="0" w:after="40"/>
        <w:jc w:val="center"/>
        <w:shd w:val="clear" w:color="auto" w:fill="A50044"/>
      </w:pPr>
      <w:r>
        <w:rPr>
          <w:rFonts w:ascii="Calibri" w:hAnsi="Calibri"/>
          <w:i/>
          <w:color w:val="FFFFFF"/>
          <w:sz w:val="22"/>
        </w:rPr>
        <w:t xml:space="preserve">  "Your culer life, rewarded."  </w:t>
      </w:r>
    </w:p>
    <w:p>
      <w:pPr>
        <w:spacing w:before="120" w:after="280"/>
        <w:jc w:val="center"/>
      </w:pPr>
      <w:r>
        <w:rPr>
          <w:rFonts w:ascii="Calibri" w:hAnsi="Calibri"/>
          <w:color w:val="555555"/>
          <w:sz w:val="18"/>
        </w:rPr>
        <w:t>Confidential  ·  Embargo until 06:00, May 24, 2026  ·  Spokesperson: Walter Ponce, CMO</w:t>
      </w:r>
    </w:p>
    <w:p>
      <w:pPr>
        <w:spacing w:before="40" w:after="40"/>
        <w:pBdr>
          <w:bottom w:val="single" w:sz="12" w:space="1" w:color="A50044"/>
        </w:pBdr>
      </w:pPr>
    </w:p>
    <w:p>
      <w:pPr>
        <w:spacing w:before="320" w:after="80"/>
      </w:pPr>
      <w:r>
        <w:rPr>
          <w:rFonts w:ascii="Calibri" w:hAnsi="Calibri"/>
          <w:b/>
          <w:color w:val="00418A"/>
          <w:sz w:val="28"/>
        </w:rPr>
        <w:t>1.  EMBARGO NOTICE</w:t>
      </w:r>
    </w:p>
    <w:p>
      <w:pPr>
        <w:spacing w:before="0" w:after="120"/>
      </w:pPr>
      <w:r>
        <w:rPr>
          <w:rFonts w:ascii="Calibri" w:hAnsi="Calibri"/>
          <w:b/>
          <w:i w:val="0"/>
          <w:color w:val="A50044"/>
          <w:sz w:val="20"/>
        </w:rPr>
        <w:t>All information in this document is strictly confidential and embargoed until 06:00 local time, May 24, 2026. Publication, broadcast, or distribution of any content prior to this date and time is a breach of the embargo agreement. Please confirm receipt and acceptance of embargo terms before briefings proceed.</w:t>
      </w:r>
    </w:p>
    <w:p>
      <w:pPr>
        <w:spacing w:before="40" w:after="40"/>
        <w:pBdr>
          <w:bottom w:val="single" w:sz="12" w:space="1" w:color="A50044"/>
        </w:pBdr>
      </w:pPr>
    </w:p>
    <w:p>
      <w:pPr>
        <w:spacing w:before="320" w:after="80"/>
      </w:pPr>
      <w:r>
        <w:rPr>
          <w:rFonts w:ascii="Calibri" w:hAnsi="Calibri"/>
          <w:b/>
          <w:color w:val="00418A"/>
          <w:sz w:val="28"/>
        </w:rPr>
        <w:t>2.  THE STORY IN ONE PARAGRAPH</w:t>
      </w:r>
    </w:p>
    <w:p>
      <w:pPr>
        <w:spacing w:before="0" w:after="120"/>
      </w:pPr>
      <w:r>
        <w:rPr>
          <w:rFonts w:ascii="Calibri" w:hAnsi="Calibri"/>
          <w:b w:val="0"/>
          <w:i w:val="0"/>
          <w:color w:val="222222"/>
          <w:sz w:val="20"/>
        </w:rPr>
        <w:t>FC Barcelona is launching Barça Banc — the club's official Visa card and rewards programme — in Latin America ahead of the 2026 FIFA World Cup. The card gives the club's 428 million fans what decades of supporting FC Barcelona never did: a financial product that pays them back for every match, every purchase, every moment of loyalty. Barça Banc goes live in Mexico during the World Cup opening match on June 11, followed by Brazil and Argentina on June 12–13, and Colombia on June 18–22. It is not a crypto product. It is a Visa card, backed by one of the most recognised brands on earth, timed to the most-watched sporting event in history.</w:t>
      </w:r>
    </w:p>
    <w:p>
      <w:pPr>
        <w:spacing w:before="40" w:after="40"/>
        <w:pBdr>
          <w:bottom w:val="single" w:sz="12" w:space="1" w:color="A50044"/>
        </w:pBdr>
      </w:pPr>
    </w:p>
    <w:p>
      <w:pPr>
        <w:spacing w:before="320" w:after="80"/>
      </w:pPr>
      <w:r>
        <w:rPr>
          <w:rFonts w:ascii="Calibri" w:hAnsi="Calibri"/>
          <w:b/>
          <w:color w:val="00418A"/>
          <w:sz w:val="28"/>
        </w:rPr>
        <w:t>3.  BACKGROUND</w:t>
      </w:r>
    </w:p>
    <w:p>
      <w:pPr>
        <w:spacing w:before="200" w:after="80"/>
      </w:pPr>
      <w:r>
        <w:rPr>
          <w:rFonts w:ascii="Calibri" w:hAnsi="Calibri"/>
          <w:b/>
          <w:color w:val="A50044"/>
          <w:sz w:val="22"/>
        </w:rPr>
        <w:t>What Barça Banc Is</w:t>
      </w:r>
    </w:p>
    <w:p>
      <w:pPr>
        <w:spacing w:before="0" w:after="120"/>
      </w:pPr>
      <w:r>
        <w:rPr>
          <w:rFonts w:ascii="Calibri" w:hAnsi="Calibri"/>
          <w:b w:val="0"/>
          <w:i w:val="0"/>
          <w:color w:val="222222"/>
          <w:sz w:val="20"/>
        </w:rPr>
        <w:t>Barça Banc is FC Barcelona's official financial product: a Visa card with an FCB Rewards Points programme built specifically for the club's fan base. Cardholders earn FCB Points on every purchase, with multipliers during matches, win bonuses when their country or FCB wins, and Player-of-the-Match cashback when a selected Barça player earns the award.</w:t>
      </w:r>
    </w:p>
    <w:p>
      <w:pPr>
        <w:spacing w:before="0" w:after="120"/>
      </w:pPr>
      <w:r>
        <w:rPr>
          <w:rFonts w:ascii="Calibri" w:hAnsi="Calibri"/>
          <w:b w:val="0"/>
          <w:i w:val="0"/>
          <w:color w:val="222222"/>
          <w:sz w:val="20"/>
        </w:rPr>
        <w:t>Points redeem against real FCB experiences — Camp Nou seats, hospitality, signed merchandise, and exclusive access. The rewards are the club.</w:t>
      </w:r>
    </w:p>
    <w:p>
      <w:pPr>
        <w:spacing w:before="200" w:after="80"/>
      </w:pPr>
      <w:r>
        <w:rPr>
          <w:rFonts w:ascii="Calibri" w:hAnsi="Calibri"/>
          <w:b/>
          <w:color w:val="A50044"/>
          <w:sz w:val="22"/>
        </w:rPr>
        <w:t>The Partnership</w:t>
      </w:r>
    </w:p>
    <w:p>
      <w:pPr>
        <w:spacing w:before="0" w:after="120"/>
      </w:pPr>
      <w:r>
        <w:rPr>
          <w:rFonts w:ascii="Calibri" w:hAnsi="Calibri"/>
          <w:b w:val="0"/>
          <w:i w:val="0"/>
          <w:color w:val="222222"/>
          <w:sz w:val="20"/>
        </w:rPr>
        <w:t>Barça Banc is the result of a partnership between FC Barcelona and LFG Holdings, a fintech investment group. LFG provides the financial infrastructure; FC Barcelona provides the brand, the player relationships, and the distribution reach.</w:t>
      </w:r>
    </w:p>
    <w:p>
      <w:pPr>
        <w:spacing w:before="200" w:after="80"/>
      </w:pPr>
      <w:r>
        <w:rPr>
          <w:rFonts w:ascii="Calibri" w:hAnsi="Calibri"/>
          <w:b/>
          <w:color w:val="A50044"/>
          <w:sz w:val="22"/>
        </w:rPr>
        <w:t>Why LatAm, Why the World Cup, Why Now</w:t>
      </w:r>
    </w:p>
    <w:p>
      <w:pPr>
        <w:spacing w:before="0" w:after="120"/>
      </w:pPr>
      <w:r>
        <w:rPr>
          <w:rFonts w:ascii="Calibri" w:hAnsi="Calibri"/>
          <w:b w:val="0"/>
          <w:i w:val="0"/>
          <w:color w:val="222222"/>
          <w:sz w:val="20"/>
        </w:rPr>
        <w:t>Three things converge in June 2026:</w:t>
      </w:r>
    </w:p>
    <w:p>
      <w:pPr>
        <w:pStyle w:val="ListBullet"/>
        <w:spacing w:before="20" w:after="40"/>
        <w:ind w:left="283"/>
      </w:pPr>
      <w:r>
        <w:rPr>
          <w:rFonts w:ascii="Calibri" w:hAnsi="Calibri"/>
          <w:color w:val="222222"/>
          <w:sz w:val="20"/>
        </w:rPr>
      </w:r>
      <w:r>
        <w:rPr>
          <w:rFonts w:ascii="Calibri" w:hAnsi="Calibri"/>
          <w:b/>
          <w:color w:val="222222"/>
          <w:sz w:val="20"/>
        </w:rPr>
        <w:t>The World Cup is in North America</w:t>
      </w:r>
      <w:r>
        <w:rPr>
          <w:rFonts w:ascii="Calibri" w:hAnsi="Calibri"/>
          <w:color w:val="222222"/>
          <w:sz w:val="20"/>
        </w:rPr>
        <w:t xml:space="preserve"> — Mexico, the USA, and Canada host. Brazil, Mexico, and Argentina are all in the tournament, and all three are Phase 1 Barça Banc markets.</w:t>
      </w:r>
    </w:p>
    <w:p>
      <w:pPr>
        <w:pStyle w:val="ListBullet"/>
        <w:spacing w:before="20" w:after="40"/>
        <w:ind w:left="283"/>
      </w:pPr>
      <w:r>
        <w:rPr>
          <w:rFonts w:ascii="Calibri" w:hAnsi="Calibri"/>
          <w:color w:val="222222"/>
          <w:sz w:val="20"/>
        </w:rPr>
      </w:r>
      <w:r>
        <w:rPr>
          <w:rFonts w:ascii="Calibri" w:hAnsi="Calibri"/>
          <w:b/>
          <w:color w:val="222222"/>
          <w:sz w:val="20"/>
        </w:rPr>
        <w:t>FCB's player roster spans the entire LatAm fanbase</w:t>
      </w:r>
      <w:r>
        <w:rPr>
          <w:rFonts w:ascii="Calibri" w:hAnsi="Calibri"/>
          <w:color w:val="222222"/>
          <w:sz w:val="20"/>
        </w:rPr>
        <w:t xml:space="preserve"> — Raphinha anchors Brazil; the full Spanish squad (Pedri, Lamine Yamal, Gavi, Fermín) anchors Spanish-language LatAm; FCB alumni provide cultural reach in Argentina and Mexico.</w:t>
      </w:r>
    </w:p>
    <w:p>
      <w:pPr>
        <w:pStyle w:val="ListBullet"/>
        <w:spacing w:before="20" w:after="40"/>
        <w:ind w:left="283"/>
      </w:pPr>
      <w:r>
        <w:rPr>
          <w:rFonts w:ascii="Calibri" w:hAnsi="Calibri"/>
          <w:color w:val="222222"/>
          <w:sz w:val="20"/>
        </w:rPr>
      </w:r>
      <w:r>
        <w:rPr>
          <w:rFonts w:ascii="Calibri" w:hAnsi="Calibri"/>
          <w:b/>
          <w:color w:val="222222"/>
          <w:sz w:val="20"/>
        </w:rPr>
        <w:t>LatAm neobank adoption is accelerating</w:t>
      </w:r>
      <w:r>
        <w:rPr>
          <w:rFonts w:ascii="Calibri" w:hAnsi="Calibri"/>
          <w:color w:val="222222"/>
          <w:sz w:val="20"/>
        </w:rPr>
        <w:t xml:space="preserve"> — Brazil's Nubank serves 100M+ users. Mexico and Colombia have the fastest-growing mobile banking penetration in the region. The market is ready; the timing is right.</w:t>
      </w:r>
    </w:p>
    <w:p>
      <w:pPr>
        <w:spacing w:before="0" w:after="200"/>
      </w:pPr>
      <w:r>
        <w:rPr>
          <w:rFonts w:ascii="Calibri" w:hAnsi="Calibri"/>
          <w:b w:val="0"/>
          <w:i w:val="0"/>
          <w:color w:val="222222"/>
          <w:sz w:val="20"/>
        </w:rPr>
        <w:t>The World Cup window (June 11 – July 19) is the single highest-engagement moment a football brand can occupy. Barça Banc is designed to be live during every Phase 1 market's opening match.</w:t>
      </w:r>
    </w:p>
    <w:p>
      <w:pPr>
        <w:spacing w:before="40" w:after="40"/>
        <w:pBdr>
          <w:bottom w:val="single" w:sz="12" w:space="1" w:color="A50044"/>
        </w:pBdr>
      </w:pPr>
    </w:p>
    <w:p>
      <w:pPr>
        <w:spacing w:before="320" w:after="80"/>
      </w:pPr>
      <w:r>
        <w:rPr>
          <w:rFonts w:ascii="Calibri" w:hAnsi="Calibri"/>
          <w:b/>
          <w:color w:val="00418A"/>
          <w:sz w:val="28"/>
        </w:rPr>
        <w:t>4.  KEY FACTS</w:t>
      </w:r>
    </w:p>
    <w:tbl>
      <w:tblPr>
        <w:tblStyle w:val="TableGrid"/>
        <w:tblW w:type="auto" w:w="0"/>
        <w:tblLook w:firstColumn="1" w:firstRow="1" w:lastColumn="0" w:lastRow="0" w:noHBand="0" w:noVBand="1" w:val="04A0"/>
      </w:tblPr>
      <w:tblGrid>
        <w:gridCol w:w="4533"/>
        <w:gridCol w:w="4533"/>
      </w:tblGrid>
      <w:tr>
        <w:tc>
          <w:tcPr>
            <w:tcW w:type="dxa" w:w="4032"/>
            <w:shd w:val="clear" w:color="auto" w:fill="00418A"/>
          </w:tcPr>
          <w:p>
            <w:pPr>
              <w:jc w:val="left"/>
            </w:pPr>
            <w:r>
              <w:rPr>
                <w:rFonts w:ascii="Calibri" w:hAnsi="Calibri"/>
                <w:b/>
                <w:color w:val="FFFFFF"/>
                <w:sz w:val="18"/>
              </w:rPr>
              <w:t>Item</w:t>
            </w:r>
          </w:p>
        </w:tc>
        <w:tc>
          <w:tcPr>
            <w:tcW w:type="dxa" w:w="5472"/>
            <w:shd w:val="clear" w:color="auto" w:fill="00418A"/>
          </w:tcPr>
          <w:p>
            <w:pPr>
              <w:jc w:val="left"/>
            </w:pPr>
            <w:r>
              <w:rPr>
                <w:rFonts w:ascii="Calibri" w:hAnsi="Calibri"/>
                <w:b/>
                <w:color w:val="FFFFFF"/>
                <w:sz w:val="18"/>
              </w:rPr>
              <w:t>Detail</w:t>
            </w:r>
          </w:p>
        </w:tc>
      </w:tr>
      <w:tr>
        <w:tc>
          <w:tcPr>
            <w:tcW w:type="dxa" w:w="4032"/>
            <w:shd w:val="clear" w:color="auto" w:fill="F2F4F7"/>
          </w:tcPr>
          <w:p>
            <w:r>
              <w:rPr>
                <w:rFonts w:ascii="Calibri" w:hAnsi="Calibri"/>
                <w:color w:val="222222"/>
                <w:sz w:val="18"/>
              </w:rPr>
              <w:t>Product name</w:t>
            </w:r>
          </w:p>
        </w:tc>
        <w:tc>
          <w:tcPr>
            <w:tcW w:type="dxa" w:w="5472"/>
            <w:shd w:val="clear" w:color="auto" w:fill="F2F4F7"/>
          </w:tcPr>
          <w:p>
            <w:r>
              <w:rPr>
                <w:rFonts w:ascii="Calibri" w:hAnsi="Calibri"/>
                <w:color w:val="222222"/>
                <w:sz w:val="18"/>
              </w:rPr>
              <w:t>Barça Banc</w:t>
            </w:r>
          </w:p>
        </w:tc>
      </w:tr>
      <w:tr>
        <w:tc>
          <w:tcPr>
            <w:tcW w:type="dxa" w:w="4032"/>
            <w:shd w:val="clear" w:color="auto" w:fill="FFFFFF"/>
          </w:tcPr>
          <w:p>
            <w:r>
              <w:rPr>
                <w:rFonts w:ascii="Calibri" w:hAnsi="Calibri"/>
                <w:color w:val="222222"/>
                <w:sz w:val="18"/>
              </w:rPr>
              <w:t>Card type</w:t>
            </w:r>
          </w:p>
        </w:tc>
        <w:tc>
          <w:tcPr>
            <w:tcW w:type="dxa" w:w="5472"/>
            <w:shd w:val="clear" w:color="auto" w:fill="FFFFFF"/>
          </w:tcPr>
          <w:p>
            <w:r>
              <w:rPr>
                <w:rFonts w:ascii="Calibri" w:hAnsi="Calibri"/>
                <w:color w:val="222222"/>
                <w:sz w:val="18"/>
              </w:rPr>
              <w:t>Visa (fiat; standard bank card)</w:t>
            </w:r>
          </w:p>
        </w:tc>
      </w:tr>
      <w:tr>
        <w:tc>
          <w:tcPr>
            <w:tcW w:type="dxa" w:w="4032"/>
            <w:shd w:val="clear" w:color="auto" w:fill="F2F4F7"/>
          </w:tcPr>
          <w:p>
            <w:r>
              <w:rPr>
                <w:rFonts w:ascii="Calibri" w:hAnsi="Calibri"/>
                <w:color w:val="222222"/>
                <w:sz w:val="18"/>
              </w:rPr>
              <w:t>Rewards currency</w:t>
            </w:r>
          </w:p>
        </w:tc>
        <w:tc>
          <w:tcPr>
            <w:tcW w:type="dxa" w:w="5472"/>
            <w:shd w:val="clear" w:color="auto" w:fill="F2F4F7"/>
          </w:tcPr>
          <w:p>
            <w:r>
              <w:rPr>
                <w:rFonts w:ascii="Calibri" w:hAnsi="Calibri"/>
                <w:color w:val="222222"/>
                <w:sz w:val="18"/>
              </w:rPr>
              <w:t>FCB Points</w:t>
            </w:r>
          </w:p>
        </w:tc>
      </w:tr>
      <w:tr>
        <w:tc>
          <w:tcPr>
            <w:tcW w:type="dxa" w:w="4032"/>
            <w:shd w:val="clear" w:color="auto" w:fill="FFFFFF"/>
          </w:tcPr>
          <w:p>
            <w:r>
              <w:rPr>
                <w:rFonts w:ascii="Calibri" w:hAnsi="Calibri"/>
                <w:color w:val="222222"/>
                <w:sz w:val="18"/>
              </w:rPr>
              <w:t>Phase 1 markets</w:t>
            </w:r>
          </w:p>
        </w:tc>
        <w:tc>
          <w:tcPr>
            <w:tcW w:type="dxa" w:w="5472"/>
            <w:shd w:val="clear" w:color="auto" w:fill="FFFFFF"/>
          </w:tcPr>
          <w:p>
            <w:r>
              <w:rPr>
                <w:rFonts w:ascii="Calibri" w:hAnsi="Calibri"/>
                <w:color w:val="222222"/>
                <w:sz w:val="18"/>
              </w:rPr>
              <w:t>Mexico, Brazil, Argentina, Colombia</w:t>
            </w:r>
          </w:p>
        </w:tc>
      </w:tr>
      <w:tr>
        <w:tc>
          <w:tcPr>
            <w:tcW w:type="dxa" w:w="4032"/>
            <w:shd w:val="clear" w:color="auto" w:fill="F2F4F7"/>
          </w:tcPr>
          <w:p>
            <w:r>
              <w:rPr>
                <w:rFonts w:ascii="Calibri" w:hAnsi="Calibri"/>
                <w:color w:val="222222"/>
                <w:sz w:val="18"/>
              </w:rPr>
              <w:t>Announcement date</w:t>
            </w:r>
          </w:p>
        </w:tc>
        <w:tc>
          <w:tcPr>
            <w:tcW w:type="dxa" w:w="5472"/>
            <w:shd w:val="clear" w:color="auto" w:fill="F2F4F7"/>
          </w:tcPr>
          <w:p>
            <w:r>
              <w:rPr>
                <w:rFonts w:ascii="Calibri" w:hAnsi="Calibri"/>
                <w:color w:val="222222"/>
                <w:sz w:val="18"/>
              </w:rPr>
              <w:t>May 24, 2026</w:t>
            </w:r>
          </w:p>
        </w:tc>
      </w:tr>
      <w:tr>
        <w:tc>
          <w:tcPr>
            <w:tcW w:type="dxa" w:w="4032"/>
            <w:shd w:val="clear" w:color="auto" w:fill="FFFFFF"/>
          </w:tcPr>
          <w:p>
            <w:r>
              <w:rPr>
                <w:rFonts w:ascii="Calibri" w:hAnsi="Calibri"/>
                <w:color w:val="222222"/>
                <w:sz w:val="18"/>
              </w:rPr>
              <w:t>Card goes live — Mexico</w:t>
            </w:r>
          </w:p>
        </w:tc>
        <w:tc>
          <w:tcPr>
            <w:tcW w:type="dxa" w:w="5472"/>
            <w:shd w:val="clear" w:color="auto" w:fill="FFFFFF"/>
          </w:tcPr>
          <w:p>
            <w:r>
              <w:rPr>
                <w:rFonts w:ascii="Calibri" w:hAnsi="Calibri"/>
                <w:color w:val="222222"/>
                <w:sz w:val="18"/>
              </w:rPr>
              <w:t>June 11, 2026 (World Cup opening match, Estadio Azteca)</w:t>
            </w:r>
          </w:p>
        </w:tc>
      </w:tr>
      <w:tr>
        <w:tc>
          <w:tcPr>
            <w:tcW w:type="dxa" w:w="4032"/>
            <w:shd w:val="clear" w:color="auto" w:fill="F2F4F7"/>
          </w:tcPr>
          <w:p>
            <w:r>
              <w:rPr>
                <w:rFonts w:ascii="Calibri" w:hAnsi="Calibri"/>
                <w:color w:val="222222"/>
                <w:sz w:val="18"/>
              </w:rPr>
              <w:t>Card goes live — Brazil &amp; Argentina</w:t>
            </w:r>
          </w:p>
        </w:tc>
        <w:tc>
          <w:tcPr>
            <w:tcW w:type="dxa" w:w="5472"/>
            <w:shd w:val="clear" w:color="auto" w:fill="F2F4F7"/>
          </w:tcPr>
          <w:p>
            <w:r>
              <w:rPr>
                <w:rFonts w:ascii="Calibri" w:hAnsi="Calibri"/>
                <w:color w:val="222222"/>
                <w:sz w:val="18"/>
              </w:rPr>
              <w:t>June 12–13, 2026</w:t>
            </w:r>
          </w:p>
        </w:tc>
      </w:tr>
      <w:tr>
        <w:tc>
          <w:tcPr>
            <w:tcW w:type="dxa" w:w="4032"/>
            <w:shd w:val="clear" w:color="auto" w:fill="FFFFFF"/>
          </w:tcPr>
          <w:p>
            <w:r>
              <w:rPr>
                <w:rFonts w:ascii="Calibri" w:hAnsi="Calibri"/>
                <w:color w:val="222222"/>
                <w:sz w:val="18"/>
              </w:rPr>
              <w:t>Card goes live — Colombia</w:t>
            </w:r>
          </w:p>
        </w:tc>
        <w:tc>
          <w:tcPr>
            <w:tcW w:type="dxa" w:w="5472"/>
            <w:shd w:val="clear" w:color="auto" w:fill="FFFFFF"/>
          </w:tcPr>
          <w:p>
            <w:r>
              <w:rPr>
                <w:rFonts w:ascii="Calibri" w:hAnsi="Calibri"/>
                <w:color w:val="222222"/>
                <w:sz w:val="18"/>
              </w:rPr>
              <w:t>June 18–22, 2026</w:t>
            </w:r>
          </w:p>
        </w:tc>
      </w:tr>
      <w:tr>
        <w:tc>
          <w:tcPr>
            <w:tcW w:type="dxa" w:w="4032"/>
            <w:shd w:val="clear" w:color="auto" w:fill="F2F4F7"/>
          </w:tcPr>
          <w:p>
            <w:r>
              <w:rPr>
                <w:rFonts w:ascii="Calibri" w:hAnsi="Calibri"/>
                <w:color w:val="222222"/>
                <w:sz w:val="18"/>
              </w:rPr>
              <w:t>Pre-launch waitlist target</w:t>
            </w:r>
          </w:p>
        </w:tc>
        <w:tc>
          <w:tcPr>
            <w:tcW w:type="dxa" w:w="5472"/>
            <w:shd w:val="clear" w:color="auto" w:fill="F2F4F7"/>
          </w:tcPr>
          <w:p>
            <w:r>
              <w:rPr>
                <w:rFonts w:ascii="Calibri" w:hAnsi="Calibri"/>
                <w:color w:val="222222"/>
                <w:sz w:val="18"/>
              </w:rPr>
              <w:t>750,000 signups by June 10</w:t>
            </w:r>
          </w:p>
        </w:tc>
      </w:tr>
      <w:tr>
        <w:tc>
          <w:tcPr>
            <w:tcW w:type="dxa" w:w="4032"/>
            <w:shd w:val="clear" w:color="auto" w:fill="FFFFFF"/>
          </w:tcPr>
          <w:p>
            <w:r>
              <w:rPr>
                <w:rFonts w:ascii="Calibri" w:hAnsi="Calibri"/>
                <w:color w:val="222222"/>
                <w:sz w:val="18"/>
              </w:rPr>
              <w:t>End-of-World Cup target</w:t>
            </w:r>
          </w:p>
        </w:tc>
        <w:tc>
          <w:tcPr>
            <w:tcW w:type="dxa" w:w="5472"/>
            <w:shd w:val="clear" w:color="auto" w:fill="FFFFFF"/>
          </w:tcPr>
          <w:p>
            <w:r>
              <w:rPr>
                <w:rFonts w:ascii="Calibri" w:hAnsi="Calibri"/>
                <w:color w:val="222222"/>
                <w:sz w:val="18"/>
              </w:rPr>
              <w:t>115,000 activated cards (base case)</w:t>
            </w:r>
          </w:p>
        </w:tc>
      </w:tr>
      <w:tr>
        <w:tc>
          <w:tcPr>
            <w:tcW w:type="dxa" w:w="4032"/>
            <w:shd w:val="clear" w:color="auto" w:fill="F2F4F7"/>
          </w:tcPr>
          <w:p>
            <w:r>
              <w:rPr>
                <w:rFonts w:ascii="Calibri" w:hAnsi="Calibri"/>
                <w:color w:val="222222"/>
                <w:sz w:val="18"/>
              </w:rPr>
              <w:t>FCB global fanbase</w:t>
            </w:r>
          </w:p>
        </w:tc>
        <w:tc>
          <w:tcPr>
            <w:tcW w:type="dxa" w:w="5472"/>
            <w:shd w:val="clear" w:color="auto" w:fill="F2F4F7"/>
          </w:tcPr>
          <w:p>
            <w:r>
              <w:rPr>
                <w:rFonts w:ascii="Calibri" w:hAnsi="Calibri"/>
                <w:color w:val="222222"/>
                <w:sz w:val="18"/>
              </w:rPr>
              <w:t>428 million</w:t>
            </w:r>
          </w:p>
        </w:tc>
      </w:tr>
      <w:tr>
        <w:tc>
          <w:tcPr>
            <w:tcW w:type="dxa" w:w="4032"/>
            <w:shd w:val="clear" w:color="auto" w:fill="FFFFFF"/>
          </w:tcPr>
          <w:p>
            <w:r>
              <w:rPr>
                <w:rFonts w:ascii="Calibri" w:hAnsi="Calibri"/>
                <w:color w:val="222222"/>
                <w:sz w:val="18"/>
              </w:rPr>
              <w:t>FCB owned social reach</w:t>
            </w:r>
          </w:p>
        </w:tc>
        <w:tc>
          <w:tcPr>
            <w:tcW w:type="dxa" w:w="5472"/>
            <w:shd w:val="clear" w:color="auto" w:fill="FFFFFF"/>
          </w:tcPr>
          <w:p>
            <w:r>
              <w:rPr>
                <w:rFonts w:ascii="Calibri" w:hAnsi="Calibri"/>
                <w:color w:val="222222"/>
                <w:sz w:val="18"/>
              </w:rPr>
              <w:t>167M+ (Instagram: 147M, TikTok: 65.9M, X: 46.8M)</w:t>
            </w:r>
          </w:p>
        </w:tc>
      </w:tr>
      <w:tr>
        <w:tc>
          <w:tcPr>
            <w:tcW w:type="dxa" w:w="4032"/>
            <w:shd w:val="clear" w:color="auto" w:fill="F2F4F7"/>
          </w:tcPr>
          <w:p>
            <w:r>
              <w:rPr>
                <w:rFonts w:ascii="Calibri" w:hAnsi="Calibri"/>
                <w:color w:val="222222"/>
                <w:sz w:val="18"/>
              </w:rPr>
              <w:t>FCB WhatsApp</w:t>
            </w:r>
          </w:p>
        </w:tc>
        <w:tc>
          <w:tcPr>
            <w:tcW w:type="dxa" w:w="5472"/>
            <w:shd w:val="clear" w:color="auto" w:fill="F2F4F7"/>
          </w:tcPr>
          <w:p>
            <w:r>
              <w:rPr>
                <w:rFonts w:ascii="Calibri" w:hAnsi="Calibri"/>
                <w:color w:val="222222"/>
                <w:sz w:val="18"/>
              </w:rPr>
              <w:t>55M broadcast members</w:t>
            </w:r>
          </w:p>
        </w:tc>
      </w:tr>
      <w:tr>
        <w:tc>
          <w:tcPr>
            <w:tcW w:type="dxa" w:w="4032"/>
            <w:shd w:val="clear" w:color="auto" w:fill="FFFFFF"/>
          </w:tcPr>
          <w:p>
            <w:r>
              <w:rPr>
                <w:rFonts w:ascii="Calibri" w:hAnsi="Calibri"/>
                <w:color w:val="222222"/>
                <w:sz w:val="18"/>
              </w:rPr>
              <w:t>Domain</w:t>
            </w:r>
          </w:p>
        </w:tc>
        <w:tc>
          <w:tcPr>
            <w:tcW w:type="dxa" w:w="5472"/>
            <w:shd w:val="clear" w:color="auto" w:fill="FFFFFF"/>
          </w:tcPr>
          <w:p>
            <w:r>
              <w:rPr>
                <w:rFonts w:ascii="Calibri" w:hAnsi="Calibri"/>
                <w:color w:val="222222"/>
                <w:sz w:val="18"/>
              </w:rPr>
              <w:t>banc.fcbarcelona.com</w:t>
            </w:r>
          </w:p>
        </w:tc>
      </w:tr>
      <w:tr>
        <w:tc>
          <w:tcPr>
            <w:tcW w:type="dxa" w:w="4032"/>
            <w:shd w:val="clear" w:color="auto" w:fill="F2F4F7"/>
          </w:tcPr>
          <w:p>
            <w:r>
              <w:rPr>
                <w:rFonts w:ascii="Calibri" w:hAnsi="Calibri"/>
                <w:color w:val="222222"/>
                <w:sz w:val="18"/>
              </w:rPr>
              <w:t>Supported funding rails</w:t>
            </w:r>
          </w:p>
        </w:tc>
        <w:tc>
          <w:tcPr>
            <w:tcW w:type="dxa" w:w="5472"/>
            <w:shd w:val="clear" w:color="auto" w:fill="F2F4F7"/>
          </w:tcPr>
          <w:p>
            <w:r>
              <w:rPr>
                <w:rFonts w:ascii="Calibri" w:hAnsi="Calibri"/>
                <w:color w:val="222222"/>
                <w:sz w:val="18"/>
              </w:rPr>
              <w:t>PIX (Brazil), SPEI (Mexico), CBU/CVU (Argentina), Bre-B (Colombia)</w:t>
            </w:r>
          </w:p>
        </w:tc>
      </w:tr>
      <w:tr>
        <w:tc>
          <w:tcPr>
            <w:tcW w:type="dxa" w:w="4032"/>
            <w:shd w:val="clear" w:color="auto" w:fill="FFFFFF"/>
          </w:tcPr>
          <w:p>
            <w:r>
              <w:rPr>
                <w:rFonts w:ascii="Calibri" w:hAnsi="Calibri"/>
                <w:color w:val="222222"/>
                <w:sz w:val="18"/>
              </w:rPr>
              <w:t>Camp Nou seat redemptions</w:t>
            </w:r>
          </w:p>
        </w:tc>
        <w:tc>
          <w:tcPr>
            <w:tcW w:type="dxa" w:w="5472"/>
            <w:shd w:val="clear" w:color="auto" w:fill="FFFFFF"/>
          </w:tcPr>
          <w:p>
            <w:r>
              <w:rPr>
                <w:rFonts w:ascii="Calibri" w:hAnsi="Calibri"/>
                <w:color w:val="222222"/>
                <w:sz w:val="18"/>
              </w:rPr>
              <w:t>Available to FCB Points holders from Phase 1</w:t>
            </w:r>
          </w:p>
        </w:tc>
      </w:tr>
    </w:tbl>
    <w:p>
      <w:pPr>
        <w:spacing w:after="80"/>
      </w:pPr>
    </w:p>
    <w:p>
      <w:pPr>
        <w:spacing w:before="40" w:after="40"/>
        <w:pBdr>
          <w:bottom w:val="single" w:sz="12" w:space="1" w:color="A50044"/>
        </w:pBdr>
      </w:pPr>
    </w:p>
    <w:p>
      <w:pPr>
        <w:spacing w:before="320" w:after="80"/>
      </w:pPr>
      <w:r>
        <w:rPr>
          <w:rFonts w:ascii="Calibri" w:hAnsi="Calibri"/>
          <w:b/>
          <w:color w:val="00418A"/>
          <w:sz w:val="28"/>
        </w:rPr>
        <w:t>5.  THE LOYALTY DIVIDEND</w:t>
      </w:r>
    </w:p>
    <w:p>
      <w:pPr>
        <w:spacing w:before="0" w:after="120"/>
      </w:pPr>
      <w:r>
        <w:rPr>
          <w:rFonts w:ascii="Calibri" w:hAnsi="Calibri"/>
          <w:b w:val="0"/>
          <w:i w:val="0"/>
          <w:color w:val="222222"/>
          <w:sz w:val="20"/>
        </w:rPr>
        <w:t>The launch's headline mechanic is the Loyalty Dividend — a personalized card generated for every fan showing the FCB Points they would have earned if Barça Banc had existed when they became a culer.</w:t>
      </w:r>
    </w:p>
    <w:p>
      <w:pPr>
        <w:spacing w:before="80" w:after="80"/>
        <w:ind w:left="567"/>
      </w:pPr>
      <w:r>
        <w:rPr>
          <w:rFonts w:ascii="Calibri" w:hAnsi="Calibri"/>
          <w:i/>
          <w:color w:val="00418A"/>
          <w:sz w:val="20"/>
        </w:rPr>
        <w:t>"12 years a culer. €4,200 of love. Earn it back, every match."</w:t>
      </w:r>
    </w:p>
    <w:p>
      <w:pPr>
        <w:spacing w:before="0" w:after="120"/>
      </w:pPr>
      <w:r>
        <w:rPr>
          <w:rFonts w:ascii="Calibri" w:hAnsi="Calibri"/>
          <w:b w:val="0"/>
          <w:i w:val="0"/>
          <w:color w:val="222222"/>
          <w:sz w:val="20"/>
        </w:rPr>
        <w:t>Every fan who signs up for the waitlist receives their personalized Loyalty Dividend card, calculated against their FCB account history. The card is built to share — one tap to WhatsApp or Instagram Stories — with a pre-written caption embedding their personal number.</w:t>
      </w:r>
    </w:p>
    <w:p>
      <w:pPr>
        <w:spacing w:before="200" w:after="80"/>
      </w:pPr>
      <w:r>
        <w:rPr>
          <w:rFonts w:ascii="Calibri" w:hAnsi="Calibri"/>
          <w:b/>
          <w:color w:val="A50044"/>
          <w:sz w:val="22"/>
        </w:rPr>
        <w:t>Why This Is News</w:t>
      </w:r>
    </w:p>
    <w:p>
      <w:pPr>
        <w:spacing w:before="0" w:after="120"/>
      </w:pPr>
      <w:r>
        <w:rPr>
          <w:rFonts w:ascii="Calibri" w:hAnsi="Calibri"/>
          <w:b w:val="0"/>
          <w:i w:val="0"/>
          <w:color w:val="222222"/>
          <w:sz w:val="20"/>
        </w:rPr>
        <w:t>It converts 428 million people's football fandom into a specific, personalized financial figure for the first time. Journalists can generate their own card. Their readers can generate their own card.</w:t>
      </w:r>
    </w:p>
    <w:p>
      <w:pPr>
        <w:spacing w:before="200" w:after="80"/>
      </w:pPr>
      <w:r>
        <w:rPr>
          <w:rFonts w:ascii="Calibri" w:hAnsi="Calibri"/>
          <w:b/>
          <w:color w:val="A50044"/>
          <w:sz w:val="22"/>
        </w:rPr>
        <w:t>Precedent Share Rates</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00418A"/>
          </w:tcPr>
          <w:p>
            <w:pPr>
              <w:jc w:val="left"/>
            </w:pPr>
            <w:r>
              <w:rPr>
                <w:rFonts w:ascii="Calibri" w:hAnsi="Calibri"/>
                <w:b/>
                <w:color w:val="FFFFFF"/>
                <w:sz w:val="18"/>
              </w:rPr>
              <w:t>Reference</w:t>
            </w:r>
          </w:p>
        </w:tc>
        <w:tc>
          <w:tcPr>
            <w:tcW w:type="dxa" w:w="4608"/>
            <w:shd w:val="clear" w:color="auto" w:fill="00418A"/>
          </w:tcPr>
          <w:p>
            <w:pPr>
              <w:jc w:val="left"/>
            </w:pPr>
            <w:r>
              <w:rPr>
                <w:rFonts w:ascii="Calibri" w:hAnsi="Calibri"/>
                <w:b/>
                <w:color w:val="FFFFFF"/>
                <w:sz w:val="18"/>
              </w:rPr>
              <w:t>Mechanic</w:t>
            </w:r>
          </w:p>
        </w:tc>
        <w:tc>
          <w:tcPr>
            <w:tcW w:type="dxa" w:w="2304"/>
            <w:shd w:val="clear" w:color="auto" w:fill="00418A"/>
          </w:tcPr>
          <w:p>
            <w:pPr>
              <w:jc w:val="left"/>
            </w:pPr>
            <w:r>
              <w:rPr>
                <w:rFonts w:ascii="Calibri" w:hAnsi="Calibri"/>
                <w:b/>
                <w:color w:val="FFFFFF"/>
                <w:sz w:val="18"/>
              </w:rPr>
              <w:t>Result</w:t>
            </w:r>
          </w:p>
        </w:tc>
      </w:tr>
      <w:tr>
        <w:tc>
          <w:tcPr>
            <w:tcW w:type="dxa" w:w="2592"/>
            <w:shd w:val="clear" w:color="auto" w:fill="F2F4F7"/>
          </w:tcPr>
          <w:p>
            <w:r>
              <w:rPr>
                <w:rFonts w:ascii="Calibri" w:hAnsi="Calibri"/>
                <w:color w:val="222222"/>
                <w:sz w:val="18"/>
              </w:rPr>
              <w:t>ETHGas Gas Report</w:t>
            </w:r>
          </w:p>
        </w:tc>
        <w:tc>
          <w:tcPr>
            <w:tcW w:type="dxa" w:w="4608"/>
            <w:shd w:val="clear" w:color="auto" w:fill="F2F4F7"/>
          </w:tcPr>
          <w:p>
            <w:r>
              <w:rPr>
                <w:rFonts w:ascii="Calibri" w:hAnsi="Calibri"/>
                <w:color w:val="222222"/>
                <w:sz w:val="18"/>
              </w:rPr>
              <w:t>Per-user gas-spend report on Ethereum</w:t>
            </w:r>
          </w:p>
        </w:tc>
        <w:tc>
          <w:tcPr>
            <w:tcW w:type="dxa" w:w="2304"/>
            <w:shd w:val="clear" w:color="auto" w:fill="F2F4F7"/>
          </w:tcPr>
          <w:p>
            <w:r>
              <w:rPr>
                <w:rFonts w:ascii="Calibri" w:hAnsi="Calibri"/>
                <w:color w:val="222222"/>
                <w:sz w:val="18"/>
              </w:rPr>
              <w:t>590,000 users shared</w:t>
            </w:r>
          </w:p>
        </w:tc>
      </w:tr>
      <w:tr>
        <w:tc>
          <w:tcPr>
            <w:tcW w:type="dxa" w:w="2592"/>
            <w:shd w:val="clear" w:color="auto" w:fill="FFFFFF"/>
          </w:tcPr>
          <w:p>
            <w:r>
              <w:rPr>
                <w:rFonts w:ascii="Calibri" w:hAnsi="Calibri"/>
                <w:color w:val="222222"/>
                <w:sz w:val="18"/>
              </w:rPr>
              <w:t>ORBT DeFi Score</w:t>
            </w:r>
          </w:p>
        </w:tc>
        <w:tc>
          <w:tcPr>
            <w:tcW w:type="dxa" w:w="4608"/>
            <w:shd w:val="clear" w:color="auto" w:fill="FFFFFF"/>
          </w:tcPr>
          <w:p>
            <w:r>
              <w:rPr>
                <w:rFonts w:ascii="Calibri" w:hAnsi="Calibri"/>
                <w:color w:val="222222"/>
                <w:sz w:val="18"/>
              </w:rPr>
              <w:t>Per-user personalised financial score</w:t>
            </w:r>
          </w:p>
        </w:tc>
        <w:tc>
          <w:tcPr>
            <w:tcW w:type="dxa" w:w="2304"/>
            <w:shd w:val="clear" w:color="auto" w:fill="FFFFFF"/>
          </w:tcPr>
          <w:p>
            <w:r>
              <w:rPr>
                <w:rFonts w:ascii="Calibri" w:hAnsi="Calibri"/>
                <w:color w:val="222222"/>
                <w:sz w:val="18"/>
              </w:rPr>
              <w:t>70,000 users shared</w:t>
            </w:r>
          </w:p>
        </w:tc>
      </w:tr>
    </w:tbl>
    <w:p>
      <w:pPr>
        <w:spacing w:after="80"/>
      </w:pPr>
    </w:p>
    <w:p>
      <w:pPr>
        <w:spacing w:before="40" w:after="40"/>
        <w:pBdr>
          <w:bottom w:val="single" w:sz="12" w:space="1" w:color="A50044"/>
        </w:pBdr>
      </w:pPr>
    </w:p>
    <w:p>
      <w:pPr>
        <w:spacing w:before="320" w:after="80"/>
      </w:pPr>
      <w:r>
        <w:rPr>
          <w:rFonts w:ascii="Calibri" w:hAnsi="Calibri"/>
          <w:b/>
          <w:color w:val="00418A"/>
          <w:sz w:val="28"/>
        </w:rPr>
        <w:t>6.  WORLD CUP MECHANICS</w:t>
      </w:r>
    </w:p>
    <w:p>
      <w:pPr>
        <w:spacing w:before="0" w:after="120"/>
      </w:pPr>
      <w:r>
        <w:rPr>
          <w:rFonts w:ascii="Calibri" w:hAnsi="Calibri"/>
          <w:b w:val="0"/>
          <w:i w:val="0"/>
          <w:color w:val="222222"/>
          <w:sz w:val="20"/>
        </w:rPr>
        <w:t>Six match-day mechanics activate across all Phase 1 markets once the card is live:</w:t>
      </w:r>
    </w:p>
    <w:tbl>
      <w:tblPr>
        <w:tblStyle w:val="TableGrid"/>
        <w:tblW w:type="auto" w:w="0"/>
        <w:tblLook w:firstColumn="1" w:firstRow="1" w:lastColumn="0" w:lastRow="0" w:noHBand="0" w:noVBand="1" w:val="04A0"/>
      </w:tblPr>
      <w:tblGrid>
        <w:gridCol w:w="4533"/>
        <w:gridCol w:w="4533"/>
      </w:tblGrid>
      <w:tr>
        <w:tc>
          <w:tcPr>
            <w:tcW w:type="dxa" w:w="3456"/>
            <w:shd w:val="clear" w:color="auto" w:fill="00418A"/>
          </w:tcPr>
          <w:p>
            <w:pPr>
              <w:jc w:val="left"/>
            </w:pPr>
            <w:r>
              <w:rPr>
                <w:rFonts w:ascii="Calibri" w:hAnsi="Calibri"/>
                <w:b/>
                <w:color w:val="FFFFFF"/>
                <w:sz w:val="18"/>
              </w:rPr>
              <w:t>Mechanic</w:t>
            </w:r>
          </w:p>
        </w:tc>
        <w:tc>
          <w:tcPr>
            <w:tcW w:type="dxa" w:w="6048"/>
            <w:shd w:val="clear" w:color="auto" w:fill="00418A"/>
          </w:tcPr>
          <w:p>
            <w:pPr>
              <w:jc w:val="left"/>
            </w:pPr>
            <w:r>
              <w:rPr>
                <w:rFonts w:ascii="Calibri" w:hAnsi="Calibri"/>
                <w:b/>
                <w:color w:val="FFFFFF"/>
                <w:sz w:val="18"/>
              </w:rPr>
              <w:t>What It Does</w:t>
            </w:r>
          </w:p>
        </w:tc>
      </w:tr>
      <w:tr>
        <w:tc>
          <w:tcPr>
            <w:tcW w:type="dxa" w:w="3456"/>
            <w:shd w:val="clear" w:color="auto" w:fill="F2F4F7"/>
          </w:tcPr>
          <w:p>
            <w:r>
              <w:rPr>
                <w:rFonts w:ascii="Calibri" w:hAnsi="Calibri"/>
                <w:color w:val="222222"/>
                <w:sz w:val="18"/>
              </w:rPr>
              <w:t>Country Boost Days</w:t>
            </w:r>
          </w:p>
        </w:tc>
        <w:tc>
          <w:tcPr>
            <w:tcW w:type="dxa" w:w="6048"/>
            <w:shd w:val="clear" w:color="auto" w:fill="F2F4F7"/>
          </w:tcPr>
          <w:p>
            <w:r>
              <w:rPr>
                <w:rFonts w:ascii="Calibri" w:hAnsi="Calibri"/>
                <w:color w:val="222222"/>
                <w:sz w:val="18"/>
              </w:rPr>
              <w:t>3–5× FCB Points during your country's match window</w:t>
            </w:r>
          </w:p>
        </w:tc>
      </w:tr>
      <w:tr>
        <w:tc>
          <w:tcPr>
            <w:tcW w:type="dxa" w:w="3456"/>
            <w:shd w:val="clear" w:color="auto" w:fill="FFFFFF"/>
          </w:tcPr>
          <w:p>
            <w:r>
              <w:rPr>
                <w:rFonts w:ascii="Calibri" w:hAnsi="Calibri"/>
                <w:color w:val="222222"/>
                <w:sz w:val="18"/>
              </w:rPr>
              <w:t>Win Bonus</w:t>
            </w:r>
          </w:p>
        </w:tc>
        <w:tc>
          <w:tcPr>
            <w:tcW w:type="dxa" w:w="6048"/>
            <w:shd w:val="clear" w:color="auto" w:fill="FFFFFF"/>
          </w:tcPr>
          <w:p>
            <w:r>
              <w:rPr>
                <w:rFonts w:ascii="Calibri" w:hAnsi="Calibri"/>
                <w:color w:val="222222"/>
                <w:sz w:val="18"/>
              </w:rPr>
              <w:t>+5% points retroactively credited when your country wins</w:t>
            </w:r>
          </w:p>
        </w:tc>
      </w:tr>
      <w:tr>
        <w:tc>
          <w:tcPr>
            <w:tcW w:type="dxa" w:w="3456"/>
            <w:shd w:val="clear" w:color="auto" w:fill="F2F4F7"/>
          </w:tcPr>
          <w:p>
            <w:r>
              <w:rPr>
                <w:rFonts w:ascii="Calibri" w:hAnsi="Calibri"/>
                <w:color w:val="222222"/>
                <w:sz w:val="18"/>
              </w:rPr>
              <w:t>Player-of-the-Match Cashback</w:t>
            </w:r>
          </w:p>
        </w:tc>
        <w:tc>
          <w:tcPr>
            <w:tcW w:type="dxa" w:w="6048"/>
            <w:shd w:val="clear" w:color="auto" w:fill="F2F4F7"/>
          </w:tcPr>
          <w:p>
            <w:r>
              <w:rPr>
                <w:rFonts w:ascii="Calibri" w:hAnsi="Calibri"/>
                <w:color w:val="222222"/>
                <w:sz w:val="18"/>
              </w:rPr>
              <w:t>+10% FCB Points when your selected Barça player is named MOTM</w:t>
            </w:r>
          </w:p>
        </w:tc>
      </w:tr>
      <w:tr>
        <w:tc>
          <w:tcPr>
            <w:tcW w:type="dxa" w:w="3456"/>
            <w:shd w:val="clear" w:color="auto" w:fill="FFFFFF"/>
          </w:tcPr>
          <w:p>
            <w:r>
              <w:rPr>
                <w:rFonts w:ascii="Calibri" w:hAnsi="Calibri"/>
                <w:color w:val="222222"/>
                <w:sz w:val="18"/>
              </w:rPr>
              <w:t>Country-Edition Cards</w:t>
            </w:r>
          </w:p>
        </w:tc>
        <w:tc>
          <w:tcPr>
            <w:tcW w:type="dxa" w:w="6048"/>
            <w:shd w:val="clear" w:color="auto" w:fill="FFFFFF"/>
          </w:tcPr>
          <w:p>
            <w:r>
              <w:rPr>
                <w:rFonts w:ascii="Calibri" w:hAnsi="Calibri"/>
                <w:color w:val="222222"/>
                <w:sz w:val="18"/>
              </w:rPr>
              <w:t>5,000 limited-run cards per country in national colors — pre-order opens May 24</w:t>
            </w:r>
          </w:p>
        </w:tc>
      </w:tr>
      <w:tr>
        <w:tc>
          <w:tcPr>
            <w:tcW w:type="dxa" w:w="3456"/>
            <w:shd w:val="clear" w:color="auto" w:fill="F2F4F7"/>
          </w:tcPr>
          <w:p>
            <w:r>
              <w:rPr>
                <w:rFonts w:ascii="Calibri" w:hAnsi="Calibri"/>
                <w:color w:val="222222"/>
                <w:sz w:val="18"/>
              </w:rPr>
              <w:t>Bracket Prediction Game</w:t>
            </w:r>
          </w:p>
        </w:tc>
        <w:tc>
          <w:tcPr>
            <w:tcW w:type="dxa" w:w="6048"/>
            <w:shd w:val="clear" w:color="auto" w:fill="F2F4F7"/>
          </w:tcPr>
          <w:p>
            <w:r>
              <w:rPr>
                <w:rFonts w:ascii="Calibri" w:hAnsi="Calibri"/>
                <w:color w:val="222222"/>
                <w:sz w:val="18"/>
              </w:rPr>
              <w:t>In-app bracket, free entry, daily engagement driver for the full 39-day tournament</w:t>
            </w:r>
          </w:p>
        </w:tc>
      </w:tr>
      <w:tr>
        <w:tc>
          <w:tcPr>
            <w:tcW w:type="dxa" w:w="3456"/>
            <w:shd w:val="clear" w:color="auto" w:fill="FFFFFF"/>
          </w:tcPr>
          <w:p>
            <w:r>
              <w:rPr>
                <w:rFonts w:ascii="Calibri" w:hAnsi="Calibri"/>
                <w:color w:val="222222"/>
                <w:sz w:val="18"/>
              </w:rPr>
              <w:t>Final Ticket VIP Draw</w:t>
            </w:r>
          </w:p>
        </w:tc>
        <w:tc>
          <w:tcPr>
            <w:tcW w:type="dxa" w:w="6048"/>
            <w:shd w:val="clear" w:color="auto" w:fill="FFFFFF"/>
          </w:tcPr>
          <w:p>
            <w:r>
              <w:rPr>
                <w:rFonts w:ascii="Calibri" w:hAnsi="Calibri"/>
                <w:color w:val="222222"/>
                <w:sz w:val="18"/>
              </w:rPr>
              <w:t>50 seats to the World Cup Final (MetLife Stadium, July 19), flights and hotel included</w:t>
            </w:r>
          </w:p>
        </w:tc>
      </w:tr>
    </w:tbl>
    <w:p>
      <w:pPr>
        <w:spacing w:after="80"/>
      </w:pPr>
    </w:p>
    <w:p>
      <w:pPr>
        <w:spacing w:before="0" w:after="120"/>
      </w:pPr>
      <w:r>
        <w:rPr>
          <w:rFonts w:ascii="Calibri" w:hAnsi="Calibri"/>
          <w:b w:val="0"/>
          <w:i w:val="0"/>
          <w:color w:val="222222"/>
          <w:sz w:val="20"/>
        </w:rPr>
        <w:t>The compound effect: a Brazilian fan supporting both Barça and Brazil earns multiplied points every time Raphinha plays — whether for FCB or for the Seleção.</w:t>
      </w:r>
    </w:p>
    <w:p>
      <w:pPr>
        <w:spacing w:before="40" w:after="40"/>
        <w:pBdr>
          <w:bottom w:val="single" w:sz="12" w:space="1" w:color="A50044"/>
        </w:pBdr>
      </w:pPr>
    </w:p>
    <w:p>
      <w:pPr>
        <w:spacing w:before="320" w:after="80"/>
      </w:pPr>
      <w:r>
        <w:rPr>
          <w:rFonts w:ascii="Calibri" w:hAnsi="Calibri"/>
          <w:b/>
          <w:color w:val="00418A"/>
          <w:sz w:val="28"/>
        </w:rPr>
        <w:t>7.  SUGGESTED STORY ANGLES</w:t>
      </w:r>
    </w:p>
    <w:p>
      <w:pPr>
        <w:spacing w:before="200" w:after="80"/>
      </w:pPr>
      <w:r>
        <w:rPr>
          <w:rFonts w:ascii="Calibri" w:hAnsi="Calibri"/>
          <w:b/>
          <w:color w:val="A50044"/>
          <w:sz w:val="22"/>
        </w:rPr>
        <w:t>Angle 1 — The Biggest Brand in Football Just Became Your Bank</w:t>
      </w:r>
    </w:p>
    <w:p>
      <w:pPr>
        <w:spacing w:before="0" w:after="120"/>
      </w:pPr>
      <w:r>
        <w:rPr>
          <w:rFonts w:ascii="Calibri" w:hAnsi="Calibri"/>
          <w:b w:val="0"/>
          <w:i/>
          <w:color w:val="555555"/>
          <w:sz w:val="18"/>
        </w:rPr>
        <w:t>Target: Financial and general news (FT, Bloomberg, Reuters, Forbes)</w:t>
      </w:r>
    </w:p>
    <w:p>
      <w:pPr>
        <w:spacing w:before="0" w:after="200"/>
      </w:pPr>
      <w:r>
        <w:rPr>
          <w:rFonts w:ascii="Calibri" w:hAnsi="Calibri"/>
          <w:b w:val="0"/>
          <w:i w:val="0"/>
          <w:color w:val="222222"/>
          <w:sz w:val="20"/>
        </w:rPr>
        <w:t>FC Barcelona — 428 million fans, 167 million Instagram followers, the most-followed sports club on earth — is entering financial services. Not via an app partnership or co-branded card with an anonymous fintech. Via its own product, its own brand, its own rewards. The question is: what happens when sport becomes a bank?</w:t>
      </w:r>
    </w:p>
    <w:p>
      <w:pPr>
        <w:spacing w:before="200" w:after="80"/>
      </w:pPr>
      <w:r>
        <w:rPr>
          <w:rFonts w:ascii="Calibri" w:hAnsi="Calibri"/>
          <w:b/>
          <w:color w:val="A50044"/>
          <w:sz w:val="22"/>
        </w:rPr>
        <w:t>Angle 2 — The World Cup Is the Launch Event</w:t>
      </w:r>
    </w:p>
    <w:p>
      <w:pPr>
        <w:spacing w:before="0" w:after="120"/>
      </w:pPr>
      <w:r>
        <w:rPr>
          <w:rFonts w:ascii="Calibri" w:hAnsi="Calibri"/>
          <w:b w:val="0"/>
          <w:i/>
          <w:color w:val="555555"/>
          <w:sz w:val="18"/>
        </w:rPr>
        <w:t>Target: Sports business media (The Athletic, ESPN, Sports Illustrated, Marca, Globo Esporte)</w:t>
      </w:r>
    </w:p>
    <w:p>
      <w:pPr>
        <w:spacing w:before="0" w:after="200"/>
      </w:pPr>
      <w:r>
        <w:rPr>
          <w:rFonts w:ascii="Calibri" w:hAnsi="Calibri"/>
          <w:b w:val="0"/>
          <w:i w:val="0"/>
          <w:color w:val="222222"/>
          <w:sz w:val="20"/>
        </w:rPr>
        <w:t>Every Barça Banc launch moment is anchored to a World Cup match. Mexico goes live during Mexico's opening match. Brazil during Brazil's opening match. The card earns more when your country scores. It is not a coincidence — the entire go-to-market is designed around 39 days of the highest-attention sports content on the planet.</w:t>
      </w:r>
    </w:p>
    <w:p>
      <w:pPr>
        <w:spacing w:before="200" w:after="80"/>
      </w:pPr>
      <w:r>
        <w:rPr>
          <w:rFonts w:ascii="Calibri" w:hAnsi="Calibri"/>
          <w:b/>
          <w:color w:val="A50044"/>
          <w:sz w:val="22"/>
        </w:rPr>
        <w:t>Angle 3 — The Neobank Battle for LatAm's Football Fans</w:t>
      </w:r>
    </w:p>
    <w:p>
      <w:pPr>
        <w:spacing w:before="0" w:after="120"/>
      </w:pPr>
      <w:r>
        <w:rPr>
          <w:rFonts w:ascii="Calibri" w:hAnsi="Calibri"/>
          <w:b w:val="0"/>
          <w:i/>
          <w:color w:val="555555"/>
          <w:sz w:val="18"/>
        </w:rPr>
        <w:t>Target: Fintech / LatAm business media (Rest of World, Contxto, Bloomberg Línea, Folha, Infobae)</w:t>
      </w:r>
    </w:p>
    <w:p>
      <w:pPr>
        <w:spacing w:before="0" w:after="200"/>
      </w:pPr>
      <w:r>
        <w:rPr>
          <w:rFonts w:ascii="Calibri" w:hAnsi="Calibri"/>
          <w:b w:val="0"/>
          <w:i w:val="0"/>
          <w:color w:val="222222"/>
          <w:sz w:val="20"/>
        </w:rPr>
        <w:t>Nubank built the most valuable neobank in the world on Brazilian football culture. Barça Banc is arriving in the same market, backed by the club that Brazilians watch La Liga for, at the moment of peak football emotion. How do you compete with Nubank in Brazil? You sign Raphinha and go live during the opening match.</w:t>
      </w:r>
    </w:p>
    <w:p>
      <w:pPr>
        <w:spacing w:before="200" w:after="80"/>
      </w:pPr>
      <w:r>
        <w:rPr>
          <w:rFonts w:ascii="Calibri" w:hAnsi="Calibri"/>
          <w:b/>
          <w:color w:val="A50044"/>
          <w:sz w:val="22"/>
        </w:rPr>
        <w:t>Angle 4 — What 12 Years of Supporting FC Barcelona Is Actually Worth</w:t>
      </w:r>
    </w:p>
    <w:p>
      <w:pPr>
        <w:spacing w:before="0" w:after="120"/>
      </w:pPr>
      <w:r>
        <w:rPr>
          <w:rFonts w:ascii="Calibri" w:hAnsi="Calibri"/>
          <w:b w:val="0"/>
          <w:i/>
          <w:color w:val="555555"/>
          <w:sz w:val="18"/>
        </w:rPr>
        <w:t>Target: Feature / culture media (GQ, ESPN Magazine, The Athletic long-form)</w:t>
      </w:r>
    </w:p>
    <w:p>
      <w:pPr>
        <w:spacing w:before="0" w:after="200"/>
      </w:pPr>
      <w:r>
        <w:rPr>
          <w:rFonts w:ascii="Calibri" w:hAnsi="Calibri"/>
          <w:b w:val="0"/>
          <w:i w:val="0"/>
          <w:color w:val="222222"/>
          <w:sz w:val="20"/>
        </w:rPr>
        <w:t>Generate your own Loyalty Dividend card. Run the number. Every sports writer who has ever bought a kit, a ticket, or a streaming subscription has a personal angle into this. The mechanic makes the scale of fandom legible, in euros, for the first time.</w:t>
      </w:r>
    </w:p>
    <w:p>
      <w:pPr>
        <w:spacing w:before="200" w:after="80"/>
      </w:pPr>
      <w:r>
        <w:rPr>
          <w:rFonts w:ascii="Calibri" w:hAnsi="Calibri"/>
          <w:b/>
          <w:color w:val="A50044"/>
          <w:sz w:val="22"/>
        </w:rPr>
        <w:t>Angle 5 — The Country-Edition Cards: Limited, National, Gone</w:t>
      </w:r>
    </w:p>
    <w:p>
      <w:pPr>
        <w:spacing w:before="0" w:after="120"/>
      </w:pPr>
      <w:r>
        <w:rPr>
          <w:rFonts w:ascii="Calibri" w:hAnsi="Calibri"/>
          <w:b w:val="0"/>
          <w:i/>
          <w:color w:val="555555"/>
          <w:sz w:val="18"/>
        </w:rPr>
        <w:t>Target: Design and culture media (Hypebeast, Highsnobiety, Copa90)</w:t>
      </w:r>
    </w:p>
    <w:p>
      <w:pPr>
        <w:spacing w:before="0" w:after="200"/>
      </w:pPr>
      <w:r>
        <w:rPr>
          <w:rFonts w:ascii="Calibri" w:hAnsi="Calibri"/>
          <w:b w:val="0"/>
          <w:i w:val="0"/>
          <w:color w:val="222222"/>
          <w:sz w:val="20"/>
        </w:rPr>
        <w:t>5,000 cards per country, in national colors, only for verified residents of that country. When Brazil wins, a Champion Card ships. The design language: FCB visual codes blended with the specific cultural palette of each nation's fanbase — not generic flag colors.</w:t>
      </w:r>
    </w:p>
    <w:p>
      <w:pPr>
        <w:spacing w:before="40" w:after="40"/>
        <w:pBdr>
          <w:bottom w:val="single" w:sz="12" w:space="1" w:color="A50044"/>
        </w:pBdr>
      </w:pPr>
    </w:p>
    <w:p>
      <w:pPr>
        <w:spacing w:before="320" w:after="80"/>
      </w:pPr>
      <w:r>
        <w:rPr>
          <w:rFonts w:ascii="Calibri" w:hAnsi="Calibri"/>
          <w:b/>
          <w:color w:val="00418A"/>
          <w:sz w:val="28"/>
        </w:rPr>
        <w:t>8.  TARGET MEDIA — TIER 1 (EMBARGO BRIEFINGS)</w:t>
      </w:r>
    </w:p>
    <w:tbl>
      <w:tblPr>
        <w:tblStyle w:val="TableGrid"/>
        <w:tblW w:type="auto" w:w="0"/>
        <w:tblLook w:firstColumn="1" w:firstRow="1" w:lastColumn="0" w:lastRow="0" w:noHBand="0" w:noVBand="1" w:val="04A0"/>
      </w:tblPr>
      <w:tblGrid>
        <w:gridCol w:w="3022"/>
        <w:gridCol w:w="3022"/>
        <w:gridCol w:w="3022"/>
      </w:tblGrid>
      <w:tr>
        <w:tc>
          <w:tcPr>
            <w:tcW w:type="dxa" w:w="2592"/>
            <w:shd w:val="clear" w:color="auto" w:fill="00418A"/>
          </w:tcPr>
          <w:p>
            <w:pPr>
              <w:jc w:val="left"/>
            </w:pPr>
            <w:r>
              <w:rPr>
                <w:rFonts w:ascii="Calibri" w:hAnsi="Calibri"/>
                <w:b/>
                <w:color w:val="FFFFFF"/>
                <w:sz w:val="18"/>
              </w:rPr>
              <w:t>Outlet</w:t>
            </w:r>
          </w:p>
        </w:tc>
        <w:tc>
          <w:tcPr>
            <w:tcW w:type="dxa" w:w="2304"/>
            <w:shd w:val="clear" w:color="auto" w:fill="00418A"/>
          </w:tcPr>
          <w:p>
            <w:pPr>
              <w:jc w:val="left"/>
            </w:pPr>
            <w:r>
              <w:rPr>
                <w:rFonts w:ascii="Calibri" w:hAnsi="Calibri"/>
                <w:b/>
                <w:color w:val="FFFFFF"/>
                <w:sz w:val="18"/>
              </w:rPr>
              <w:t>Region</w:t>
            </w:r>
          </w:p>
        </w:tc>
        <w:tc>
          <w:tcPr>
            <w:tcW w:type="dxa" w:w="4608"/>
            <w:shd w:val="clear" w:color="auto" w:fill="00418A"/>
          </w:tcPr>
          <w:p>
            <w:pPr>
              <w:jc w:val="left"/>
            </w:pPr>
            <w:r>
              <w:rPr>
                <w:rFonts w:ascii="Calibri" w:hAnsi="Calibri"/>
                <w:b/>
                <w:color w:val="FFFFFF"/>
                <w:sz w:val="18"/>
              </w:rPr>
              <w:t>Angle</w:t>
            </w:r>
          </w:p>
        </w:tc>
      </w:tr>
      <w:tr>
        <w:tc>
          <w:tcPr>
            <w:tcW w:type="dxa" w:w="2592"/>
            <w:shd w:val="clear" w:color="auto" w:fill="F2F4F7"/>
          </w:tcPr>
          <w:p>
            <w:r>
              <w:rPr>
                <w:rFonts w:ascii="Calibri" w:hAnsi="Calibri"/>
                <w:color w:val="222222"/>
                <w:sz w:val="18"/>
              </w:rPr>
              <w:t>Financial Times</w:t>
            </w:r>
          </w:p>
        </w:tc>
        <w:tc>
          <w:tcPr>
            <w:tcW w:type="dxa" w:w="2304"/>
            <w:shd w:val="clear" w:color="auto" w:fill="F2F4F7"/>
          </w:tcPr>
          <w:p>
            <w:r>
              <w:rPr>
                <w:rFonts w:ascii="Calibri" w:hAnsi="Calibri"/>
                <w:color w:val="222222"/>
                <w:sz w:val="18"/>
              </w:rPr>
              <w:t>Global</w:t>
            </w:r>
          </w:p>
        </w:tc>
        <w:tc>
          <w:tcPr>
            <w:tcW w:type="dxa" w:w="4608"/>
            <w:shd w:val="clear" w:color="auto" w:fill="F2F4F7"/>
          </w:tcPr>
          <w:p>
            <w:r>
              <w:rPr>
                <w:rFonts w:ascii="Calibri" w:hAnsi="Calibri"/>
                <w:color w:val="222222"/>
                <w:sz w:val="18"/>
              </w:rPr>
              <w:t>Financial services / FCB as a bank</w:t>
            </w:r>
          </w:p>
        </w:tc>
      </w:tr>
      <w:tr>
        <w:tc>
          <w:tcPr>
            <w:tcW w:type="dxa" w:w="2592"/>
            <w:shd w:val="clear" w:color="auto" w:fill="FFFFFF"/>
          </w:tcPr>
          <w:p>
            <w:r>
              <w:rPr>
                <w:rFonts w:ascii="Calibri" w:hAnsi="Calibri"/>
                <w:color w:val="222222"/>
                <w:sz w:val="18"/>
              </w:rPr>
              <w:t>Bloomberg</w:t>
            </w:r>
          </w:p>
        </w:tc>
        <w:tc>
          <w:tcPr>
            <w:tcW w:type="dxa" w:w="2304"/>
            <w:shd w:val="clear" w:color="auto" w:fill="FFFFFF"/>
          </w:tcPr>
          <w:p>
            <w:r>
              <w:rPr>
                <w:rFonts w:ascii="Calibri" w:hAnsi="Calibri"/>
                <w:color w:val="222222"/>
                <w:sz w:val="18"/>
              </w:rPr>
              <w:t>Global</w:t>
            </w:r>
          </w:p>
        </w:tc>
        <w:tc>
          <w:tcPr>
            <w:tcW w:type="dxa" w:w="4608"/>
            <w:shd w:val="clear" w:color="auto" w:fill="FFFFFF"/>
          </w:tcPr>
          <w:p>
            <w:r>
              <w:rPr>
                <w:rFonts w:ascii="Calibri" w:hAnsi="Calibri"/>
                <w:color w:val="222222"/>
                <w:sz w:val="18"/>
              </w:rPr>
              <w:t>Fintech / neobank market entry</w:t>
            </w:r>
          </w:p>
        </w:tc>
      </w:tr>
      <w:tr>
        <w:tc>
          <w:tcPr>
            <w:tcW w:type="dxa" w:w="2592"/>
            <w:shd w:val="clear" w:color="auto" w:fill="F2F4F7"/>
          </w:tcPr>
          <w:p>
            <w:r>
              <w:rPr>
                <w:rFonts w:ascii="Calibri" w:hAnsi="Calibri"/>
                <w:color w:val="222222"/>
                <w:sz w:val="18"/>
              </w:rPr>
              <w:t>The Athletic</w:t>
            </w:r>
          </w:p>
        </w:tc>
        <w:tc>
          <w:tcPr>
            <w:tcW w:type="dxa" w:w="2304"/>
            <w:shd w:val="clear" w:color="auto" w:fill="F2F4F7"/>
          </w:tcPr>
          <w:p>
            <w:r>
              <w:rPr>
                <w:rFonts w:ascii="Calibri" w:hAnsi="Calibri"/>
                <w:color w:val="222222"/>
                <w:sz w:val="18"/>
              </w:rPr>
              <w:t>Global (sports)</w:t>
            </w:r>
          </w:p>
        </w:tc>
        <w:tc>
          <w:tcPr>
            <w:tcW w:type="dxa" w:w="4608"/>
            <w:shd w:val="clear" w:color="auto" w:fill="F2F4F7"/>
          </w:tcPr>
          <w:p>
            <w:r>
              <w:rPr>
                <w:rFonts w:ascii="Calibri" w:hAnsi="Calibri"/>
                <w:color w:val="222222"/>
                <w:sz w:val="18"/>
              </w:rPr>
              <w:t>Sports business / player mechanic</w:t>
            </w:r>
          </w:p>
        </w:tc>
      </w:tr>
      <w:tr>
        <w:tc>
          <w:tcPr>
            <w:tcW w:type="dxa" w:w="2592"/>
            <w:shd w:val="clear" w:color="auto" w:fill="FFFFFF"/>
          </w:tcPr>
          <w:p>
            <w:r>
              <w:rPr>
                <w:rFonts w:ascii="Calibri" w:hAnsi="Calibri"/>
                <w:color w:val="222222"/>
                <w:sz w:val="18"/>
              </w:rPr>
              <w:t>Reuters</w:t>
            </w:r>
          </w:p>
        </w:tc>
        <w:tc>
          <w:tcPr>
            <w:tcW w:type="dxa" w:w="2304"/>
            <w:shd w:val="clear" w:color="auto" w:fill="FFFFFF"/>
          </w:tcPr>
          <w:p>
            <w:r>
              <w:rPr>
                <w:rFonts w:ascii="Calibri" w:hAnsi="Calibri"/>
                <w:color w:val="222222"/>
                <w:sz w:val="18"/>
              </w:rPr>
              <w:t>Global</w:t>
            </w:r>
          </w:p>
        </w:tc>
        <w:tc>
          <w:tcPr>
            <w:tcW w:type="dxa" w:w="4608"/>
            <w:shd w:val="clear" w:color="auto" w:fill="FFFFFF"/>
          </w:tcPr>
          <w:p>
            <w:r>
              <w:rPr>
                <w:rFonts w:ascii="Calibri" w:hAnsi="Calibri"/>
                <w:color w:val="222222"/>
                <w:sz w:val="18"/>
              </w:rPr>
              <w:t>Announcement wire</w:t>
            </w:r>
          </w:p>
        </w:tc>
      </w:tr>
      <w:tr>
        <w:tc>
          <w:tcPr>
            <w:tcW w:type="dxa" w:w="2592"/>
            <w:shd w:val="clear" w:color="auto" w:fill="F2F4F7"/>
          </w:tcPr>
          <w:p>
            <w:r>
              <w:rPr>
                <w:rFonts w:ascii="Calibri" w:hAnsi="Calibri"/>
                <w:color w:val="222222"/>
                <w:sz w:val="18"/>
              </w:rPr>
              <w:t>Marca</w:t>
            </w:r>
          </w:p>
        </w:tc>
        <w:tc>
          <w:tcPr>
            <w:tcW w:type="dxa" w:w="2304"/>
            <w:shd w:val="clear" w:color="auto" w:fill="F2F4F7"/>
          </w:tcPr>
          <w:p>
            <w:r>
              <w:rPr>
                <w:rFonts w:ascii="Calibri" w:hAnsi="Calibri"/>
                <w:color w:val="222222"/>
                <w:sz w:val="18"/>
              </w:rPr>
              <w:t>Spain / LatAm</w:t>
            </w:r>
          </w:p>
        </w:tc>
        <w:tc>
          <w:tcPr>
            <w:tcW w:type="dxa" w:w="4608"/>
            <w:shd w:val="clear" w:color="auto" w:fill="F2F4F7"/>
          </w:tcPr>
          <w:p>
            <w:r>
              <w:rPr>
                <w:rFonts w:ascii="Calibri" w:hAnsi="Calibri"/>
                <w:color w:val="222222"/>
                <w:sz w:val="18"/>
              </w:rPr>
              <w:t>FCB brand story</w:t>
            </w:r>
          </w:p>
        </w:tc>
      </w:tr>
      <w:tr>
        <w:tc>
          <w:tcPr>
            <w:tcW w:type="dxa" w:w="2592"/>
            <w:shd w:val="clear" w:color="auto" w:fill="FFFFFF"/>
          </w:tcPr>
          <w:p>
            <w:r>
              <w:rPr>
                <w:rFonts w:ascii="Calibri" w:hAnsi="Calibri"/>
                <w:color w:val="222222"/>
                <w:sz w:val="18"/>
              </w:rPr>
              <w:t>Folha de S.Paulo</w:t>
            </w:r>
          </w:p>
        </w:tc>
        <w:tc>
          <w:tcPr>
            <w:tcW w:type="dxa" w:w="2304"/>
            <w:shd w:val="clear" w:color="auto" w:fill="FFFFFF"/>
          </w:tcPr>
          <w:p>
            <w:r>
              <w:rPr>
                <w:rFonts w:ascii="Calibri" w:hAnsi="Calibri"/>
                <w:color w:val="222222"/>
                <w:sz w:val="18"/>
              </w:rPr>
              <w:t>Brazil</w:t>
            </w:r>
          </w:p>
        </w:tc>
        <w:tc>
          <w:tcPr>
            <w:tcW w:type="dxa" w:w="4608"/>
            <w:shd w:val="clear" w:color="auto" w:fill="FFFFFF"/>
          </w:tcPr>
          <w:p>
            <w:r>
              <w:rPr>
                <w:rFonts w:ascii="Calibri" w:hAnsi="Calibri"/>
                <w:color w:val="222222"/>
                <w:sz w:val="18"/>
              </w:rPr>
              <w:t>LatAm neobank / Raphinha anchor</w:t>
            </w:r>
          </w:p>
        </w:tc>
      </w:tr>
      <w:tr>
        <w:tc>
          <w:tcPr>
            <w:tcW w:type="dxa" w:w="2592"/>
            <w:shd w:val="clear" w:color="auto" w:fill="F2F4F7"/>
          </w:tcPr>
          <w:p>
            <w:r>
              <w:rPr>
                <w:rFonts w:ascii="Calibri" w:hAnsi="Calibri"/>
                <w:color w:val="222222"/>
                <w:sz w:val="18"/>
              </w:rPr>
              <w:t>Infobae</w:t>
            </w:r>
          </w:p>
        </w:tc>
        <w:tc>
          <w:tcPr>
            <w:tcW w:type="dxa" w:w="2304"/>
            <w:shd w:val="clear" w:color="auto" w:fill="F2F4F7"/>
          </w:tcPr>
          <w:p>
            <w:r>
              <w:rPr>
                <w:rFonts w:ascii="Calibri" w:hAnsi="Calibri"/>
                <w:color w:val="222222"/>
                <w:sz w:val="18"/>
              </w:rPr>
              <w:t>Argentina / LatAm</w:t>
            </w:r>
          </w:p>
        </w:tc>
        <w:tc>
          <w:tcPr>
            <w:tcW w:type="dxa" w:w="4608"/>
            <w:shd w:val="clear" w:color="auto" w:fill="F2F4F7"/>
          </w:tcPr>
          <w:p>
            <w:r>
              <w:rPr>
                <w:rFonts w:ascii="Calibri" w:hAnsi="Calibri"/>
                <w:color w:val="222222"/>
                <w:sz w:val="18"/>
              </w:rPr>
              <w:t>LatAm launch / World Cup angle</w:t>
            </w:r>
          </w:p>
        </w:tc>
      </w:tr>
      <w:tr>
        <w:tc>
          <w:tcPr>
            <w:tcW w:type="dxa" w:w="2592"/>
            <w:shd w:val="clear" w:color="auto" w:fill="FFFFFF"/>
          </w:tcPr>
          <w:p>
            <w:r>
              <w:rPr>
                <w:rFonts w:ascii="Calibri" w:hAnsi="Calibri"/>
                <w:color w:val="222222"/>
                <w:sz w:val="18"/>
              </w:rPr>
              <w:t>ESPN (ES / PT)</w:t>
            </w:r>
          </w:p>
        </w:tc>
        <w:tc>
          <w:tcPr>
            <w:tcW w:type="dxa" w:w="2304"/>
            <w:shd w:val="clear" w:color="auto" w:fill="FFFFFF"/>
          </w:tcPr>
          <w:p>
            <w:r>
              <w:rPr>
                <w:rFonts w:ascii="Calibri" w:hAnsi="Calibri"/>
                <w:color w:val="222222"/>
                <w:sz w:val="18"/>
              </w:rPr>
              <w:t>LatAm</w:t>
            </w:r>
          </w:p>
        </w:tc>
        <w:tc>
          <w:tcPr>
            <w:tcW w:type="dxa" w:w="4608"/>
            <w:shd w:val="clear" w:color="auto" w:fill="FFFFFF"/>
          </w:tcPr>
          <w:p>
            <w:r>
              <w:rPr>
                <w:rFonts w:ascii="Calibri" w:hAnsi="Calibri"/>
                <w:color w:val="222222"/>
                <w:sz w:val="18"/>
              </w:rPr>
              <w:t>World Cup + card mechanics</w:t>
            </w:r>
          </w:p>
        </w:tc>
      </w:tr>
      <w:tr>
        <w:tc>
          <w:tcPr>
            <w:tcW w:type="dxa" w:w="2592"/>
            <w:shd w:val="clear" w:color="auto" w:fill="F2F4F7"/>
          </w:tcPr>
          <w:p>
            <w:r>
              <w:rPr>
                <w:rFonts w:ascii="Calibri" w:hAnsi="Calibri"/>
                <w:color w:val="222222"/>
                <w:sz w:val="18"/>
              </w:rPr>
              <w:t>Rest of World</w:t>
            </w:r>
          </w:p>
        </w:tc>
        <w:tc>
          <w:tcPr>
            <w:tcW w:type="dxa" w:w="2304"/>
            <w:shd w:val="clear" w:color="auto" w:fill="F2F4F7"/>
          </w:tcPr>
          <w:p>
            <w:r>
              <w:rPr>
                <w:rFonts w:ascii="Calibri" w:hAnsi="Calibri"/>
                <w:color w:val="222222"/>
                <w:sz w:val="18"/>
              </w:rPr>
              <w:t>Tech / Global South</w:t>
            </w:r>
          </w:p>
        </w:tc>
        <w:tc>
          <w:tcPr>
            <w:tcW w:type="dxa" w:w="4608"/>
            <w:shd w:val="clear" w:color="auto" w:fill="F2F4F7"/>
          </w:tcPr>
          <w:p>
            <w:r>
              <w:rPr>
                <w:rFonts w:ascii="Calibri" w:hAnsi="Calibri"/>
                <w:color w:val="222222"/>
                <w:sz w:val="18"/>
              </w:rPr>
              <w:t>LatAm fintech / neobank landscape</w:t>
            </w:r>
          </w:p>
        </w:tc>
      </w:tr>
      <w:tr>
        <w:tc>
          <w:tcPr>
            <w:tcW w:type="dxa" w:w="2592"/>
            <w:shd w:val="clear" w:color="auto" w:fill="FFFFFF"/>
          </w:tcPr>
          <w:p>
            <w:r>
              <w:rPr>
                <w:rFonts w:ascii="Calibri" w:hAnsi="Calibri"/>
                <w:color w:val="222222"/>
                <w:sz w:val="18"/>
              </w:rPr>
              <w:t>Bloomberg Línea</w:t>
            </w:r>
          </w:p>
        </w:tc>
        <w:tc>
          <w:tcPr>
            <w:tcW w:type="dxa" w:w="2304"/>
            <w:shd w:val="clear" w:color="auto" w:fill="FFFFFF"/>
          </w:tcPr>
          <w:p>
            <w:r>
              <w:rPr>
                <w:rFonts w:ascii="Calibri" w:hAnsi="Calibri"/>
                <w:color w:val="222222"/>
                <w:sz w:val="18"/>
              </w:rPr>
              <w:t>LatAm</w:t>
            </w:r>
          </w:p>
        </w:tc>
        <w:tc>
          <w:tcPr>
            <w:tcW w:type="dxa" w:w="4608"/>
            <w:shd w:val="clear" w:color="auto" w:fill="FFFFFF"/>
          </w:tcPr>
          <w:p>
            <w:r>
              <w:rPr>
                <w:rFonts w:ascii="Calibri" w:hAnsi="Calibri"/>
                <w:color w:val="222222"/>
                <w:sz w:val="18"/>
              </w:rPr>
              <w:t>Fintech / regional business</w:t>
            </w:r>
          </w:p>
        </w:tc>
      </w:tr>
    </w:tbl>
    <w:p>
      <w:pPr>
        <w:spacing w:after="80"/>
      </w:pPr>
    </w:p>
    <w:p>
      <w:pPr>
        <w:spacing w:before="0" w:after="120"/>
      </w:pPr>
      <w:r>
        <w:rPr>
          <w:rFonts w:ascii="Calibri" w:hAnsi="Calibri"/>
          <w:b w:val="0"/>
          <w:i/>
          <w:color w:val="555555"/>
          <w:sz w:val="18"/>
        </w:rPr>
        <w:t>Target: 5 tier-1 placements live by 10:00 on May 24. 10 briefings issued; expect 5 live on announcement day, remainder in the following 72 hours.</w:t>
      </w:r>
    </w:p>
    <w:p>
      <w:pPr>
        <w:spacing w:before="40" w:after="40"/>
        <w:pBdr>
          <w:bottom w:val="single" w:sz="12" w:space="1" w:color="A50044"/>
        </w:pBdr>
      </w:pPr>
    </w:p>
    <w:p>
      <w:pPr>
        <w:spacing w:before="320" w:after="80"/>
      </w:pPr>
      <w:r>
        <w:rPr>
          <w:rFonts w:ascii="Calibri" w:hAnsi="Calibri"/>
          <w:b/>
          <w:color w:val="00418A"/>
          <w:sz w:val="28"/>
        </w:rPr>
        <w:t>9.  SPOKESPERSON AND QUOTE GUIDANCE</w:t>
      </w:r>
    </w:p>
    <w:p>
      <w:pPr>
        <w:spacing w:before="200" w:after="80"/>
      </w:pPr>
      <w:r>
        <w:rPr>
          <w:rFonts w:ascii="Calibri" w:hAnsi="Calibri"/>
          <w:b/>
          <w:color w:val="A50044"/>
          <w:sz w:val="22"/>
        </w:rPr>
        <w:t>Cleared for Media</w:t>
      </w:r>
    </w:p>
    <w:p>
      <w:pPr>
        <w:spacing w:before="0" w:after="120"/>
      </w:pPr>
      <w:r>
        <w:rPr>
          <w:rFonts w:ascii="Calibri" w:hAnsi="Calibri"/>
          <w:b/>
          <w:color w:val="00418A"/>
          <w:sz w:val="20"/>
        </w:rPr>
        <w:t>Walter Ponce, CMO — Barça Banc</w:t>
        <w:br/>
      </w:r>
      <w:r>
        <w:rPr>
          <w:rFonts w:ascii="Calibri" w:hAnsi="Calibri"/>
          <w:color w:val="222222"/>
          <w:sz w:val="20"/>
        </w:rPr>
        <w:t>Available for on-record interviews, background briefings, and embargo calls.</w:t>
        <w:br/>
      </w:r>
      <w:r>
        <w:rPr>
          <w:rFonts w:ascii="Calibri" w:hAnsi="Calibri"/>
          <w:color w:val="555555"/>
          <w:sz w:val="20"/>
        </w:rPr>
        <w:t>ponce.wal@gmail.com  ·  Telegram: @waltermitas</w:t>
      </w:r>
    </w:p>
    <w:p>
      <w:pPr>
        <w:spacing w:before="200" w:after="80"/>
      </w:pPr>
      <w:r>
        <w:rPr>
          <w:rFonts w:ascii="Calibri" w:hAnsi="Calibri"/>
          <w:b/>
          <w:color w:val="A50044"/>
          <w:sz w:val="22"/>
        </w:rPr>
        <w:t>Approved Quote Themes</w:t>
      </w:r>
    </w:p>
    <w:p>
      <w:pPr>
        <w:spacing w:before="0" w:after="120"/>
      </w:pPr>
      <w:r>
        <w:rPr>
          <w:rFonts w:ascii="Calibri" w:hAnsi="Calibri"/>
          <w:b/>
          <w:i w:val="0"/>
          <w:color w:val="222222"/>
          <w:sz w:val="20"/>
        </w:rPr>
        <w:t>On the product:</w:t>
      </w:r>
    </w:p>
    <w:p>
      <w:pPr>
        <w:spacing w:before="80" w:after="80"/>
        <w:ind w:left="567"/>
      </w:pPr>
      <w:r>
        <w:rPr>
          <w:rFonts w:ascii="Calibri" w:hAnsi="Calibri"/>
          <w:i/>
          <w:color w:val="00418A"/>
          <w:sz w:val="20"/>
        </w:rPr>
        <w:t>""Barça Banc is the financial product that only FC Barcelona could build. Every time a culer spends with this card, they are earning something back for their loyalty — in real points, redeemable for real experiences at Camp Nou. That has never existed before.""</w:t>
      </w:r>
    </w:p>
    <w:p>
      <w:pPr>
        <w:spacing w:before="0" w:after="120"/>
      </w:pPr>
      <w:r>
        <w:rPr>
          <w:rFonts w:ascii="Calibri" w:hAnsi="Calibri"/>
          <w:b/>
          <w:i w:val="0"/>
          <w:color w:val="222222"/>
          <w:sz w:val="20"/>
        </w:rPr>
        <w:t>On the World Cup timing:</w:t>
      </w:r>
    </w:p>
    <w:p>
      <w:pPr>
        <w:spacing w:before="80" w:after="80"/>
        <w:ind w:left="567"/>
      </w:pPr>
      <w:r>
        <w:rPr>
          <w:rFonts w:ascii="Calibri" w:hAnsi="Calibri"/>
          <w:i/>
          <w:color w:val="00418A"/>
          <w:sz w:val="20"/>
        </w:rPr>
        <w:t>""We designed every Phase 1 launch to be a matchday moment. When Mexico kicks off the World Cup on June 11 at the Estadio Azteca, the Barça Banc card goes live in Mexico. When Brazil plays their opener, it goes live in Brazil. The World Cup is not our marketing backdrop — it is our go-live schedule.""</w:t>
      </w:r>
    </w:p>
    <w:p>
      <w:pPr>
        <w:spacing w:before="0" w:after="120"/>
      </w:pPr>
      <w:r>
        <w:rPr>
          <w:rFonts w:ascii="Calibri" w:hAnsi="Calibri"/>
          <w:b/>
          <w:i w:val="0"/>
          <w:color w:val="222222"/>
          <w:sz w:val="20"/>
        </w:rPr>
        <w:t>On the Loyalty Dividend:</w:t>
      </w:r>
    </w:p>
    <w:p>
      <w:pPr>
        <w:spacing w:before="80" w:after="80"/>
        <w:ind w:left="567"/>
      </w:pPr>
      <w:r>
        <w:rPr>
          <w:rFonts w:ascii="Calibri" w:hAnsi="Calibri"/>
          <w:i/>
          <w:color w:val="00418A"/>
          <w:sz w:val="20"/>
        </w:rPr>
        <w:t>""The Loyalty Dividend shows every culer, for the first time, what their years of supporting this club would have earned them back. It's a specific number. It's personal. And from May 24, they start earning it for real.""</w:t>
      </w:r>
    </w:p>
    <w:p>
      <w:pPr>
        <w:spacing w:before="200" w:after="80"/>
      </w:pPr>
      <w:r>
        <w:rPr>
          <w:rFonts w:ascii="Calibri" w:hAnsi="Calibri"/>
          <w:b/>
          <w:color w:val="A50044"/>
          <w:sz w:val="22"/>
        </w:rPr>
        <w:t>Phase 1 Vocabulary Lockout</w:t>
      </w:r>
    </w:p>
    <w:p>
      <w:pPr>
        <w:spacing w:before="0" w:after="120"/>
      </w:pPr>
      <w:r>
        <w:rPr>
          <w:rFonts w:ascii="Calibri" w:hAnsi="Calibri"/>
          <w:b/>
          <w:i w:val="0"/>
          <w:color w:val="A50044"/>
          <w:sz w:val="20"/>
        </w:rPr>
        <w:t>The following terms are prohibited in all press-facing content, spokesperson quotes, press releases, and media briefings. Any mention in media coverage should be corrected at source.</w:t>
      </w:r>
    </w:p>
    <w:tbl>
      <w:tblPr>
        <w:tblStyle w:val="TableGrid"/>
        <w:tblW w:type="auto" w:w="0"/>
        <w:tblLook w:firstColumn="1" w:firstRow="1" w:lastColumn="0" w:lastRow="0" w:noHBand="0" w:noVBand="1" w:val="04A0"/>
      </w:tblPr>
      <w:tblGrid>
        <w:gridCol w:w="4533"/>
        <w:gridCol w:w="4533"/>
      </w:tblGrid>
      <w:tr>
        <w:tc>
          <w:tcPr>
            <w:tcW w:type="dxa" w:w="3456"/>
            <w:shd w:val="clear" w:color="auto" w:fill="00418A"/>
          </w:tcPr>
          <w:p>
            <w:pPr>
              <w:jc w:val="left"/>
            </w:pPr>
            <w:r>
              <w:rPr>
                <w:rFonts w:ascii="Calibri" w:hAnsi="Calibri"/>
                <w:b/>
                <w:color w:val="FFFFFF"/>
                <w:sz w:val="18"/>
              </w:rPr>
              <w:t>Never Say</w:t>
            </w:r>
          </w:p>
        </w:tc>
        <w:tc>
          <w:tcPr>
            <w:tcW w:type="dxa" w:w="6048"/>
            <w:shd w:val="clear" w:color="auto" w:fill="00418A"/>
          </w:tcPr>
          <w:p>
            <w:pPr>
              <w:jc w:val="left"/>
            </w:pPr>
            <w:r>
              <w:rPr>
                <w:rFonts w:ascii="Calibri" w:hAnsi="Calibri"/>
                <w:b/>
                <w:color w:val="FFFFFF"/>
                <w:sz w:val="18"/>
              </w:rPr>
              <w:t>Reason</w:t>
            </w:r>
          </w:p>
        </w:tc>
      </w:tr>
      <w:tr>
        <w:tc>
          <w:tcPr>
            <w:tcW w:type="dxa" w:w="3456"/>
            <w:shd w:val="clear" w:color="auto" w:fill="F2F4F7"/>
          </w:tcPr>
          <w:p>
            <w:r>
              <w:rPr>
                <w:rFonts w:ascii="Calibri" w:hAnsi="Calibri"/>
                <w:color w:val="222222"/>
                <w:sz w:val="18"/>
              </w:rPr>
              <w:t>Crypto / cryptocurrency</w:t>
            </w:r>
          </w:p>
        </w:tc>
        <w:tc>
          <w:tcPr>
            <w:tcW w:type="dxa" w:w="6048"/>
            <w:shd w:val="clear" w:color="auto" w:fill="F2F4F7"/>
          </w:tcPr>
          <w:p>
            <w:r>
              <w:rPr>
                <w:rFonts w:ascii="Calibri" w:hAnsi="Calibri"/>
                <w:color w:val="222222"/>
                <w:sz w:val="18"/>
              </w:rPr>
              <w:t>Phase 1 is fiat-only</w:t>
            </w:r>
          </w:p>
        </w:tc>
      </w:tr>
      <w:tr>
        <w:tc>
          <w:tcPr>
            <w:tcW w:type="dxa" w:w="3456"/>
            <w:shd w:val="clear" w:color="auto" w:fill="FFFFFF"/>
          </w:tcPr>
          <w:p>
            <w:r>
              <w:rPr>
                <w:rFonts w:ascii="Calibri" w:hAnsi="Calibri"/>
                <w:color w:val="222222"/>
                <w:sz w:val="18"/>
              </w:rPr>
              <w:t>Token / $FCB</w:t>
            </w:r>
          </w:p>
        </w:tc>
        <w:tc>
          <w:tcPr>
            <w:tcW w:type="dxa" w:w="6048"/>
            <w:shd w:val="clear" w:color="auto" w:fill="FFFFFF"/>
          </w:tcPr>
          <w:p>
            <w:r>
              <w:rPr>
                <w:rFonts w:ascii="Calibri" w:hAnsi="Calibri"/>
                <w:color w:val="222222"/>
                <w:sz w:val="18"/>
              </w:rPr>
              <w:t>Phase 2 only</w:t>
            </w:r>
          </w:p>
        </w:tc>
      </w:tr>
      <w:tr>
        <w:tc>
          <w:tcPr>
            <w:tcW w:type="dxa" w:w="3456"/>
            <w:shd w:val="clear" w:color="auto" w:fill="F2F4F7"/>
          </w:tcPr>
          <w:p>
            <w:r>
              <w:rPr>
                <w:rFonts w:ascii="Calibri" w:hAnsi="Calibri"/>
                <w:color w:val="222222"/>
                <w:sz w:val="18"/>
              </w:rPr>
              <w:t>Stablecoin</w:t>
            </w:r>
          </w:p>
        </w:tc>
        <w:tc>
          <w:tcPr>
            <w:tcW w:type="dxa" w:w="6048"/>
            <w:shd w:val="clear" w:color="auto" w:fill="F2F4F7"/>
          </w:tcPr>
          <w:p>
            <w:r>
              <w:rPr>
                <w:rFonts w:ascii="Calibri" w:hAnsi="Calibri"/>
                <w:color w:val="222222"/>
                <w:sz w:val="18"/>
              </w:rPr>
              <w:t>Phase 2 only</w:t>
            </w:r>
          </w:p>
        </w:tc>
      </w:tr>
      <w:tr>
        <w:tc>
          <w:tcPr>
            <w:tcW w:type="dxa" w:w="3456"/>
            <w:shd w:val="clear" w:color="auto" w:fill="FFFFFF"/>
          </w:tcPr>
          <w:p>
            <w:r>
              <w:rPr>
                <w:rFonts w:ascii="Calibri" w:hAnsi="Calibri"/>
                <w:color w:val="222222"/>
                <w:sz w:val="18"/>
              </w:rPr>
              <w:t>USDC</w:t>
            </w:r>
          </w:p>
        </w:tc>
        <w:tc>
          <w:tcPr>
            <w:tcW w:type="dxa" w:w="6048"/>
            <w:shd w:val="clear" w:color="auto" w:fill="FFFFFF"/>
          </w:tcPr>
          <w:p>
            <w:r>
              <w:rPr>
                <w:rFonts w:ascii="Calibri" w:hAnsi="Calibri"/>
                <w:color w:val="222222"/>
                <w:sz w:val="18"/>
              </w:rPr>
              <w:t>Phase 2 only</w:t>
            </w:r>
          </w:p>
        </w:tc>
      </w:tr>
      <w:tr>
        <w:tc>
          <w:tcPr>
            <w:tcW w:type="dxa" w:w="3456"/>
            <w:shd w:val="clear" w:color="auto" w:fill="F2F4F7"/>
          </w:tcPr>
          <w:p>
            <w:r>
              <w:rPr>
                <w:rFonts w:ascii="Calibri" w:hAnsi="Calibri"/>
                <w:color w:val="222222"/>
                <w:sz w:val="18"/>
              </w:rPr>
              <w:t>Wallet (crypto context)</w:t>
            </w:r>
          </w:p>
        </w:tc>
        <w:tc>
          <w:tcPr>
            <w:tcW w:type="dxa" w:w="6048"/>
            <w:shd w:val="clear" w:color="auto" w:fill="F2F4F7"/>
          </w:tcPr>
          <w:p>
            <w:r>
              <w:rPr>
                <w:rFonts w:ascii="Calibri" w:hAnsi="Calibri"/>
                <w:color w:val="222222"/>
                <w:sz w:val="18"/>
              </w:rPr>
              <w:t>Phase 2 only</w:t>
            </w:r>
          </w:p>
        </w:tc>
      </w:tr>
      <w:tr>
        <w:tc>
          <w:tcPr>
            <w:tcW w:type="dxa" w:w="3456"/>
            <w:shd w:val="clear" w:color="auto" w:fill="FFFFFF"/>
          </w:tcPr>
          <w:p>
            <w:r>
              <w:rPr>
                <w:rFonts w:ascii="Calibri" w:hAnsi="Calibri"/>
                <w:color w:val="222222"/>
                <w:sz w:val="18"/>
              </w:rPr>
              <w:t>Web3 / on-chain / DeFi / blockchain</w:t>
            </w:r>
          </w:p>
        </w:tc>
        <w:tc>
          <w:tcPr>
            <w:tcW w:type="dxa" w:w="6048"/>
            <w:shd w:val="clear" w:color="auto" w:fill="FFFFFF"/>
          </w:tcPr>
          <w:p>
            <w:r>
              <w:rPr>
                <w:rFonts w:ascii="Calibri" w:hAnsi="Calibri"/>
                <w:color w:val="222222"/>
                <w:sz w:val="18"/>
              </w:rPr>
              <w:t>Phase 2 only</w:t>
            </w:r>
          </w:p>
        </w:tc>
      </w:tr>
      <w:tr>
        <w:tc>
          <w:tcPr>
            <w:tcW w:type="dxa" w:w="3456"/>
            <w:shd w:val="clear" w:color="auto" w:fill="F2F4F7"/>
          </w:tcPr>
          <w:p>
            <w:r>
              <w:rPr>
                <w:rFonts w:ascii="Calibri" w:hAnsi="Calibri"/>
                <w:color w:val="222222"/>
                <w:sz w:val="18"/>
              </w:rPr>
              <w:t>"Finally paying fans back"</w:t>
            </w:r>
          </w:p>
        </w:tc>
        <w:tc>
          <w:tcPr>
            <w:tcW w:type="dxa" w:w="6048"/>
            <w:shd w:val="clear" w:color="auto" w:fill="F2F4F7"/>
          </w:tcPr>
          <w:p>
            <w:r>
              <w:rPr>
                <w:rFonts w:ascii="Calibri" w:hAnsi="Calibri"/>
                <w:color w:val="222222"/>
                <w:sz w:val="18"/>
              </w:rPr>
              <w:t>Grievance framing — not approved</w:t>
            </w:r>
          </w:p>
        </w:tc>
      </w:tr>
      <w:tr>
        <w:tc>
          <w:tcPr>
            <w:tcW w:type="dxa" w:w="3456"/>
            <w:shd w:val="clear" w:color="auto" w:fill="FFFFFF"/>
          </w:tcPr>
          <w:p>
            <w:r>
              <w:rPr>
                <w:rFonts w:ascii="Calibri" w:hAnsi="Calibri"/>
                <w:color w:val="222222"/>
                <w:sz w:val="18"/>
              </w:rPr>
              <w:t>"Revolutionary" / "groundbreaking"</w:t>
            </w:r>
          </w:p>
        </w:tc>
        <w:tc>
          <w:tcPr>
            <w:tcW w:type="dxa" w:w="6048"/>
            <w:shd w:val="clear" w:color="auto" w:fill="FFFFFF"/>
          </w:tcPr>
          <w:p>
            <w:r>
              <w:rPr>
                <w:rFonts w:ascii="Calibri" w:hAnsi="Calibri"/>
                <w:color w:val="222222"/>
                <w:sz w:val="18"/>
              </w:rPr>
              <w:t>Hype language — not approved</w:t>
            </w:r>
          </w:p>
        </w:tc>
      </w:tr>
    </w:tbl>
    <w:p>
      <w:pPr>
        <w:spacing w:after="80"/>
      </w:pPr>
    </w:p>
    <w:p>
      <w:pPr>
        <w:spacing w:before="0" w:after="120"/>
      </w:pPr>
      <w:r>
        <w:rPr>
          <w:rFonts w:ascii="Calibri" w:hAnsi="Calibri"/>
          <w:b/>
          <w:i w:val="0"/>
          <w:color w:val="222222"/>
          <w:sz w:val="20"/>
        </w:rPr>
        <w:t>If asked about crypto by journalists:</w:t>
      </w:r>
    </w:p>
    <w:p>
      <w:pPr>
        <w:spacing w:before="80" w:after="80"/>
        <w:ind w:left="567"/>
      </w:pPr>
      <w:r>
        <w:rPr>
          <w:rFonts w:ascii="Calibri" w:hAnsi="Calibri"/>
          <w:i/>
          <w:color w:val="00418A"/>
          <w:sz w:val="20"/>
        </w:rPr>
        <w:t>""Barça Banc is a Visa fiat card. It works like a standard bank card, every day. The rewards programme runs on FCB Points, redeemable for real club experiences. That is the full picture for Phase 1.""</w:t>
      </w:r>
    </w:p>
    <w:p>
      <w:pPr>
        <w:spacing w:before="40" w:after="40"/>
        <w:pBdr>
          <w:bottom w:val="single" w:sz="12" w:space="1" w:color="A50044"/>
        </w:pBdr>
      </w:pPr>
    </w:p>
    <w:p>
      <w:pPr>
        <w:spacing w:before="320" w:after="80"/>
      </w:pPr>
      <w:r>
        <w:rPr>
          <w:rFonts w:ascii="Calibri" w:hAnsi="Calibri"/>
          <w:b/>
          <w:color w:val="00418A"/>
          <w:sz w:val="28"/>
        </w:rPr>
        <w:t>10.  ANNOUNCEMENT DAY TIMELINE — MAY 24</w:t>
      </w:r>
    </w:p>
    <w:tbl>
      <w:tblPr>
        <w:tblStyle w:val="TableGrid"/>
        <w:tblW w:type="auto" w:w="0"/>
        <w:tblLook w:firstColumn="1" w:firstRow="1" w:lastColumn="0" w:lastRow="0" w:noHBand="0" w:noVBand="1" w:val="04A0"/>
      </w:tblPr>
      <w:tblGrid>
        <w:gridCol w:w="4533"/>
        <w:gridCol w:w="4533"/>
      </w:tblGrid>
      <w:tr>
        <w:tc>
          <w:tcPr>
            <w:tcW w:type="dxa" w:w="1728"/>
            <w:shd w:val="clear" w:color="auto" w:fill="00418A"/>
          </w:tcPr>
          <w:p>
            <w:pPr>
              <w:jc w:val="left"/>
            </w:pPr>
            <w:r>
              <w:rPr>
                <w:rFonts w:ascii="Calibri" w:hAnsi="Calibri"/>
                <w:b/>
                <w:color w:val="FFFFFF"/>
                <w:sz w:val="18"/>
              </w:rPr>
              <w:t>Time</w:t>
            </w:r>
          </w:p>
        </w:tc>
        <w:tc>
          <w:tcPr>
            <w:tcW w:type="dxa" w:w="7776"/>
            <w:shd w:val="clear" w:color="auto" w:fill="00418A"/>
          </w:tcPr>
          <w:p>
            <w:pPr>
              <w:jc w:val="left"/>
            </w:pPr>
            <w:r>
              <w:rPr>
                <w:rFonts w:ascii="Calibri" w:hAnsi="Calibri"/>
                <w:b/>
                <w:color w:val="FFFFFF"/>
                <w:sz w:val="18"/>
              </w:rPr>
              <w:t>Action</w:t>
            </w:r>
          </w:p>
        </w:tc>
      </w:tr>
      <w:tr>
        <w:tc>
          <w:tcPr>
            <w:tcW w:type="dxa" w:w="1728"/>
            <w:shd w:val="clear" w:color="auto" w:fill="F2F4F7"/>
          </w:tcPr>
          <w:p>
            <w:r>
              <w:rPr>
                <w:rFonts w:ascii="Calibri" w:hAnsi="Calibri"/>
                <w:color w:val="222222"/>
                <w:sz w:val="18"/>
              </w:rPr>
              <w:t>06:00</w:t>
            </w:r>
          </w:p>
        </w:tc>
        <w:tc>
          <w:tcPr>
            <w:tcW w:type="dxa" w:w="7776"/>
            <w:shd w:val="clear" w:color="auto" w:fill="F2F4F7"/>
          </w:tcPr>
          <w:p>
            <w:r>
              <w:rPr>
                <w:rFonts w:ascii="Calibri" w:hAnsi="Calibri"/>
                <w:color w:val="222222"/>
                <w:sz w:val="18"/>
              </w:rPr>
              <w:t>Press embargo lifts. Tier-1 placements go live.</w:t>
            </w:r>
          </w:p>
        </w:tc>
      </w:tr>
      <w:tr>
        <w:tc>
          <w:tcPr>
            <w:tcW w:type="dxa" w:w="1728"/>
            <w:shd w:val="clear" w:color="auto" w:fill="FFFFFF"/>
          </w:tcPr>
          <w:p>
            <w:r>
              <w:rPr>
                <w:rFonts w:ascii="Calibri" w:hAnsi="Calibri"/>
                <w:color w:val="222222"/>
                <w:sz w:val="18"/>
              </w:rPr>
              <w:t>10:00</w:t>
            </w:r>
          </w:p>
        </w:tc>
        <w:tc>
          <w:tcPr>
            <w:tcW w:type="dxa" w:w="7776"/>
            <w:shd w:val="clear" w:color="auto" w:fill="FFFFFF"/>
          </w:tcPr>
          <w:p>
            <w:r>
              <w:rPr>
                <w:rFonts w:ascii="Calibri" w:hAnsi="Calibri"/>
                <w:color w:val="222222"/>
                <w:sz w:val="18"/>
              </w:rPr>
              <w:t>FCB official channels announce Barça Banc. Loyalty Dividend campaign activates. Waitlist opens at banc.fcbarcelona.com. Country-Edition Card pre-order opens.</w:t>
            </w:r>
          </w:p>
        </w:tc>
      </w:tr>
      <w:tr>
        <w:tc>
          <w:tcPr>
            <w:tcW w:type="dxa" w:w="1728"/>
            <w:shd w:val="clear" w:color="auto" w:fill="F2F4F7"/>
          </w:tcPr>
          <w:p>
            <w:r>
              <w:rPr>
                <w:rFonts w:ascii="Calibri" w:hAnsi="Calibri"/>
                <w:color w:val="222222"/>
                <w:sz w:val="18"/>
              </w:rPr>
              <w:t>12:00</w:t>
            </w:r>
          </w:p>
        </w:tc>
        <w:tc>
          <w:tcPr>
            <w:tcW w:type="dxa" w:w="7776"/>
            <w:shd w:val="clear" w:color="auto" w:fill="F2F4F7"/>
          </w:tcPr>
          <w:p>
            <w:r>
              <w:rPr>
                <w:rFonts w:ascii="Calibri" w:hAnsi="Calibri"/>
                <w:color w:val="222222"/>
                <w:sz w:val="18"/>
              </w:rPr>
              <w:t>Daily Player Drop #1 live (Instagram Stories first).</w:t>
            </w:r>
          </w:p>
        </w:tc>
      </w:tr>
      <w:tr>
        <w:tc>
          <w:tcPr>
            <w:tcW w:type="dxa" w:w="1728"/>
            <w:shd w:val="clear" w:color="auto" w:fill="FFFFFF"/>
          </w:tcPr>
          <w:p>
            <w:r>
              <w:rPr>
                <w:rFonts w:ascii="Calibri" w:hAnsi="Calibri"/>
                <w:color w:val="222222"/>
                <w:sz w:val="18"/>
              </w:rPr>
              <w:t>Match day</w:t>
            </w:r>
          </w:p>
        </w:tc>
        <w:tc>
          <w:tcPr>
            <w:tcW w:type="dxa" w:w="7776"/>
            <w:shd w:val="clear" w:color="auto" w:fill="FFFFFF"/>
          </w:tcPr>
          <w:p>
            <w:r>
              <w:rPr>
                <w:rFonts w:ascii="Calibri" w:hAnsi="Calibri"/>
                <w:color w:val="222222"/>
                <w:sz w:val="18"/>
              </w:rPr>
              <w:t>In-match social activation (FCB final La Liga match day).</w:t>
            </w:r>
          </w:p>
        </w:tc>
      </w:tr>
      <w:tr>
        <w:tc>
          <w:tcPr>
            <w:tcW w:type="dxa" w:w="1728"/>
            <w:shd w:val="clear" w:color="auto" w:fill="F2F4F7"/>
          </w:tcPr>
          <w:p>
            <w:r>
              <w:rPr>
                <w:rFonts w:ascii="Calibri" w:hAnsi="Calibri"/>
                <w:color w:val="222222"/>
                <w:sz w:val="18"/>
              </w:rPr>
              <w:t>Post-match</w:t>
            </w:r>
          </w:p>
        </w:tc>
        <w:tc>
          <w:tcPr>
            <w:tcW w:type="dxa" w:w="7776"/>
            <w:shd w:val="clear" w:color="auto" w:fill="F2F4F7"/>
          </w:tcPr>
          <w:p>
            <w:r>
              <w:rPr>
                <w:rFonts w:ascii="Calibri" w:hAnsi="Calibri"/>
                <w:color w:val="222222"/>
                <w:sz w:val="18"/>
              </w:rPr>
              <w:t>Founder thread. Earned media follow-up begins.</w:t>
            </w:r>
          </w:p>
        </w:tc>
      </w:tr>
    </w:tbl>
    <w:p>
      <w:pPr>
        <w:spacing w:after="80"/>
      </w:pPr>
    </w:p>
    <w:p>
      <w:pPr>
        <w:spacing w:before="0" w:after="120"/>
      </w:pPr>
      <w:r>
        <w:rPr>
          <w:rFonts w:ascii="Calibri" w:hAnsi="Calibri"/>
          <w:b/>
          <w:i w:val="0"/>
          <w:color w:val="222222"/>
          <w:sz w:val="20"/>
        </w:rPr>
        <w:t>PR team actions on announcement day:</w:t>
      </w:r>
    </w:p>
    <w:p>
      <w:pPr>
        <w:pStyle w:val="ListBullet"/>
        <w:spacing w:before="20" w:after="40"/>
        <w:ind w:left="283"/>
      </w:pPr>
      <w:r>
        <w:rPr>
          <w:rFonts w:ascii="Calibri" w:hAnsi="Calibri"/>
          <w:color w:val="222222"/>
          <w:sz w:val="20"/>
        </w:rPr>
        <w:t>Monitor tier-1 placements from 06:00; confirm live status</w:t>
      </w:r>
    </w:p>
    <w:p>
      <w:pPr>
        <w:pStyle w:val="ListBullet"/>
        <w:spacing w:before="20" w:after="40"/>
        <w:ind w:left="283"/>
      </w:pPr>
      <w:r>
        <w:rPr>
          <w:rFonts w:ascii="Calibri" w:hAnsi="Calibri"/>
          <w:color w:val="222222"/>
          <w:sz w:val="20"/>
        </w:rPr>
        <w:t>Reactive media intake from 10:00 (interview requests, follow-up questions)</w:t>
      </w:r>
    </w:p>
    <w:p>
      <w:pPr>
        <w:pStyle w:val="ListBullet"/>
        <w:spacing w:before="20" w:after="40"/>
        <w:ind w:left="283"/>
      </w:pPr>
      <w:r>
        <w:rPr>
          <w:rFonts w:ascii="Calibri" w:hAnsi="Calibri"/>
          <w:color w:val="222222"/>
          <w:sz w:val="20"/>
        </w:rPr>
        <w:t>Coordinate secondary-tier briefings for outlets not in the embargo window</w:t>
      </w:r>
    </w:p>
    <w:p>
      <w:pPr>
        <w:pStyle w:val="ListBullet"/>
        <w:spacing w:before="20" w:after="40"/>
        <w:ind w:left="283"/>
      </w:pPr>
      <w:r>
        <w:rPr>
          <w:rFonts w:ascii="Calibri" w:hAnsi="Calibri"/>
          <w:color w:val="222222"/>
          <w:sz w:val="20"/>
        </w:rPr>
        <w:t>Flag any vocabulary violations in coverage for correction</w:t>
      </w:r>
    </w:p>
    <w:p>
      <w:pPr>
        <w:spacing w:before="40" w:after="40"/>
        <w:pBdr>
          <w:bottom w:val="single" w:sz="12" w:space="1" w:color="A50044"/>
        </w:pBdr>
      </w:pPr>
    </w:p>
    <w:p>
      <w:pPr>
        <w:spacing w:before="320" w:after="80"/>
      </w:pPr>
      <w:r>
        <w:rPr>
          <w:rFonts w:ascii="Calibri" w:hAnsi="Calibri"/>
          <w:b/>
          <w:color w:val="00418A"/>
          <w:sz w:val="28"/>
        </w:rPr>
        <w:t>11.  ASSETS AVAILABLE TO MEDIA</w:t>
      </w:r>
    </w:p>
    <w:p>
      <w:pPr>
        <w:spacing w:before="0" w:after="120"/>
      </w:pPr>
      <w:r>
        <w:rPr>
          <w:rFonts w:ascii="Calibri" w:hAnsi="Calibri"/>
          <w:b w:val="0"/>
          <w:i w:val="0"/>
          <w:color w:val="222222"/>
          <w:sz w:val="20"/>
        </w:rPr>
        <w:t>The following assets will be provided to briefed media under embargo:</w:t>
      </w:r>
    </w:p>
    <w:tbl>
      <w:tblPr>
        <w:tblStyle w:val="TableGrid"/>
        <w:tblW w:type="auto" w:w="0"/>
        <w:tblLook w:firstColumn="1" w:firstRow="1" w:lastColumn="0" w:lastRow="0" w:noHBand="0" w:noVBand="1" w:val="04A0"/>
      </w:tblPr>
      <w:tblGrid>
        <w:gridCol w:w="4533"/>
        <w:gridCol w:w="4533"/>
      </w:tblGrid>
      <w:tr>
        <w:tc>
          <w:tcPr>
            <w:tcW w:type="dxa" w:w="5472"/>
            <w:shd w:val="clear" w:color="auto" w:fill="00418A"/>
          </w:tcPr>
          <w:p>
            <w:pPr>
              <w:jc w:val="left"/>
            </w:pPr>
            <w:r>
              <w:rPr>
                <w:rFonts w:ascii="Calibri" w:hAnsi="Calibri"/>
                <w:b/>
                <w:color w:val="FFFFFF"/>
                <w:sz w:val="18"/>
              </w:rPr>
              <w:t>Asset</w:t>
            </w:r>
          </w:p>
        </w:tc>
        <w:tc>
          <w:tcPr>
            <w:tcW w:type="dxa" w:w="4032"/>
            <w:shd w:val="clear" w:color="auto" w:fill="00418A"/>
          </w:tcPr>
          <w:p>
            <w:pPr>
              <w:jc w:val="left"/>
            </w:pPr>
            <w:r>
              <w:rPr>
                <w:rFonts w:ascii="Calibri" w:hAnsi="Calibri"/>
                <w:b/>
                <w:color w:val="FFFFFF"/>
                <w:sz w:val="18"/>
              </w:rPr>
              <w:t>Status</w:t>
            </w:r>
          </w:p>
        </w:tc>
      </w:tr>
      <w:tr>
        <w:tc>
          <w:tcPr>
            <w:tcW w:type="dxa" w:w="5472"/>
            <w:shd w:val="clear" w:color="auto" w:fill="F2F4F7"/>
          </w:tcPr>
          <w:p>
            <w:r>
              <w:rPr>
                <w:rFonts w:ascii="Calibri" w:hAnsi="Calibri"/>
                <w:color w:val="222222"/>
                <w:sz w:val="18"/>
              </w:rPr>
              <w:t>Barça Banc brand imagery (card renders, logo, brand lockup)</w:t>
            </w:r>
          </w:p>
        </w:tc>
        <w:tc>
          <w:tcPr>
            <w:tcW w:type="dxa" w:w="4032"/>
            <w:shd w:val="clear" w:color="auto" w:fill="F2F4F7"/>
          </w:tcPr>
          <w:p>
            <w:r>
              <w:rPr>
                <w:rFonts w:ascii="Calibri" w:hAnsi="Calibri"/>
                <w:color w:val="222222"/>
                <w:sz w:val="18"/>
              </w:rPr>
              <w:t>Pending design team — May 18</w:t>
            </w:r>
          </w:p>
        </w:tc>
      </w:tr>
      <w:tr>
        <w:tc>
          <w:tcPr>
            <w:tcW w:type="dxa" w:w="5472"/>
            <w:shd w:val="clear" w:color="auto" w:fill="FFFFFF"/>
          </w:tcPr>
          <w:p>
            <w:r>
              <w:rPr>
                <w:rFonts w:ascii="Calibri" w:hAnsi="Calibri"/>
                <w:color w:val="222222"/>
                <w:sz w:val="18"/>
              </w:rPr>
              <w:t>Country-Edition Card renders (MX, BR, AR, CO)</w:t>
            </w:r>
          </w:p>
        </w:tc>
        <w:tc>
          <w:tcPr>
            <w:tcW w:type="dxa" w:w="4032"/>
            <w:shd w:val="clear" w:color="auto" w:fill="FFFFFF"/>
          </w:tcPr>
          <w:p>
            <w:r>
              <w:rPr>
                <w:rFonts w:ascii="Calibri" w:hAnsi="Calibri"/>
                <w:color w:val="222222"/>
                <w:sz w:val="18"/>
              </w:rPr>
              <w:t>Pending design team — May 18</w:t>
            </w:r>
          </w:p>
        </w:tc>
      </w:tr>
      <w:tr>
        <w:tc>
          <w:tcPr>
            <w:tcW w:type="dxa" w:w="5472"/>
            <w:shd w:val="clear" w:color="auto" w:fill="F2F4F7"/>
          </w:tcPr>
          <w:p>
            <w:r>
              <w:rPr>
                <w:rFonts w:ascii="Calibri" w:hAnsi="Calibri"/>
                <w:color w:val="222222"/>
                <w:sz w:val="18"/>
              </w:rPr>
              <w:t>Loyalty Dividend card sample (personalised for journalist)</w:t>
            </w:r>
          </w:p>
        </w:tc>
        <w:tc>
          <w:tcPr>
            <w:tcW w:type="dxa" w:w="4032"/>
            <w:shd w:val="clear" w:color="auto" w:fill="F2F4F7"/>
          </w:tcPr>
          <w:p>
            <w:r>
              <w:rPr>
                <w:rFonts w:ascii="Calibri" w:hAnsi="Calibri"/>
                <w:color w:val="222222"/>
                <w:sz w:val="18"/>
              </w:rPr>
              <w:t>Available from May 20</w:t>
            </w:r>
          </w:p>
        </w:tc>
      </w:tr>
      <w:tr>
        <w:tc>
          <w:tcPr>
            <w:tcW w:type="dxa" w:w="5472"/>
            <w:shd w:val="clear" w:color="auto" w:fill="FFFFFF"/>
          </w:tcPr>
          <w:p>
            <w:r>
              <w:rPr>
                <w:rFonts w:ascii="Calibri" w:hAnsi="Calibri"/>
                <w:color w:val="222222"/>
                <w:sz w:val="18"/>
              </w:rPr>
              <w:t>Spokesperson headshots (Walter Ponce)</w:t>
            </w:r>
          </w:p>
        </w:tc>
        <w:tc>
          <w:tcPr>
            <w:tcW w:type="dxa" w:w="4032"/>
            <w:shd w:val="clear" w:color="auto" w:fill="FFFFFF"/>
          </w:tcPr>
          <w:p>
            <w:r>
              <w:rPr>
                <w:rFonts w:ascii="Calibri" w:hAnsi="Calibri"/>
                <w:color w:val="222222"/>
                <w:sz w:val="18"/>
              </w:rPr>
              <w:t>Confirm with CMO office</w:t>
            </w:r>
          </w:p>
        </w:tc>
      </w:tr>
      <w:tr>
        <w:tc>
          <w:tcPr>
            <w:tcW w:type="dxa" w:w="5472"/>
            <w:shd w:val="clear" w:color="auto" w:fill="F2F4F7"/>
          </w:tcPr>
          <w:p>
            <w:r>
              <w:rPr>
                <w:rFonts w:ascii="Calibri" w:hAnsi="Calibri"/>
                <w:color w:val="222222"/>
                <w:sz w:val="18"/>
              </w:rPr>
              <w:t>Press release (short-form, 400 words, embargoed)</w:t>
            </w:r>
          </w:p>
        </w:tc>
        <w:tc>
          <w:tcPr>
            <w:tcW w:type="dxa" w:w="4032"/>
            <w:shd w:val="clear" w:color="auto" w:fill="F2F4F7"/>
          </w:tcPr>
          <w:p>
            <w:r>
              <w:rPr>
                <w:rFonts w:ascii="Calibri" w:hAnsi="Calibri"/>
                <w:color w:val="222222"/>
                <w:sz w:val="18"/>
              </w:rPr>
              <w:t>Ready May 20</w:t>
            </w:r>
          </w:p>
        </w:tc>
      </w:tr>
      <w:tr>
        <w:tc>
          <w:tcPr>
            <w:tcW w:type="dxa" w:w="5472"/>
            <w:shd w:val="clear" w:color="auto" w:fill="FFFFFF"/>
          </w:tcPr>
          <w:p>
            <w:r>
              <w:rPr>
                <w:rFonts w:ascii="Calibri" w:hAnsi="Calibri"/>
                <w:color w:val="222222"/>
                <w:sz w:val="18"/>
              </w:rPr>
              <w:t>Product one-pager (key facts, waitlist URL, redemption examples)</w:t>
            </w:r>
          </w:p>
        </w:tc>
        <w:tc>
          <w:tcPr>
            <w:tcW w:type="dxa" w:w="4032"/>
            <w:shd w:val="clear" w:color="auto" w:fill="FFFFFF"/>
          </w:tcPr>
          <w:p>
            <w:r>
              <w:rPr>
                <w:rFonts w:ascii="Calibri" w:hAnsi="Calibri"/>
                <w:color w:val="222222"/>
                <w:sz w:val="18"/>
              </w:rPr>
              <w:t>Ready May 20</w:t>
            </w:r>
          </w:p>
        </w:tc>
      </w:tr>
      <w:tr>
        <w:tc>
          <w:tcPr>
            <w:tcW w:type="dxa" w:w="5472"/>
            <w:shd w:val="clear" w:color="auto" w:fill="F2F4F7"/>
          </w:tcPr>
          <w:p>
            <w:r>
              <w:rPr>
                <w:rFonts w:ascii="Calibri" w:hAnsi="Calibri"/>
                <w:color w:val="222222"/>
                <w:sz w:val="18"/>
              </w:rPr>
              <w:t>Background briefing document (redacted kit)</w:t>
            </w:r>
          </w:p>
        </w:tc>
        <w:tc>
          <w:tcPr>
            <w:tcW w:type="dxa" w:w="4032"/>
            <w:shd w:val="clear" w:color="auto" w:fill="F2F4F7"/>
          </w:tcPr>
          <w:p>
            <w:r>
              <w:rPr>
                <w:rFonts w:ascii="Calibri" w:hAnsi="Calibri"/>
                <w:color w:val="222222"/>
                <w:sz w:val="18"/>
              </w:rPr>
              <w:t>Ready May 20</w:t>
            </w:r>
          </w:p>
        </w:tc>
      </w:tr>
    </w:tbl>
    <w:p>
      <w:pPr>
        <w:spacing w:after="80"/>
      </w:pPr>
    </w:p>
    <w:p>
      <w:pPr>
        <w:spacing w:before="40" w:after="40"/>
        <w:pBdr>
          <w:bottom w:val="single" w:sz="12" w:space="1" w:color="A50044"/>
        </w:pBdr>
      </w:pPr>
    </w:p>
    <w:p>
      <w:pPr>
        <w:spacing w:before="320" w:after="80"/>
      </w:pPr>
      <w:r>
        <w:rPr>
          <w:rFonts w:ascii="Calibri" w:hAnsi="Calibri"/>
          <w:b/>
          <w:color w:val="00418A"/>
          <w:sz w:val="28"/>
        </w:rPr>
        <w:t>12.  CONTACT</w:t>
      </w:r>
    </w:p>
    <w:p>
      <w:pPr>
        <w:spacing w:before="0" w:after="80"/>
      </w:pPr>
      <w:r>
        <w:rPr>
          <w:rFonts w:ascii="Calibri" w:hAnsi="Calibri"/>
          <w:b/>
          <w:color w:val="00418A"/>
          <w:sz w:val="22"/>
        </w:rPr>
        <w:t>Walter Ponce — CMO, Barça Banc</w:t>
        <w:br/>
      </w:r>
      <w:r>
        <w:rPr>
          <w:rFonts w:ascii="Calibri" w:hAnsi="Calibri"/>
          <w:color w:val="222222"/>
          <w:sz w:val="20"/>
        </w:rPr>
        <w:t>ponce.wal@gmail.com</w:t>
        <w:br/>
      </w:r>
      <w:r>
        <w:rPr>
          <w:rFonts w:ascii="Calibri" w:hAnsi="Calibri"/>
          <w:color w:val="222222"/>
          <w:sz w:val="20"/>
        </w:rPr>
        <w:t>Telegram: @waltermitas</w:t>
      </w:r>
    </w:p>
    <w:p>
      <w:pPr>
        <w:spacing w:before="0" w:after="120"/>
      </w:pPr>
      <w:r>
        <w:rPr>
          <w:rFonts w:ascii="Calibri" w:hAnsi="Calibri"/>
          <w:b w:val="0"/>
          <w:i w:val="0"/>
          <w:color w:val="555555"/>
          <w:sz w:val="18"/>
        </w:rPr>
        <w:t>All media enquiries routed through PR agency. Agency to coordinate interview scheduling, embargo confirmations, and reactive requests directly with Walter.</w:t>
      </w:r>
    </w:p>
    <w:p>
      <w:pPr>
        <w:spacing w:before="40" w:after="40"/>
        <w:pBdr>
          <w:bottom w:val="single" w:sz="12" w:space="1" w:color="00418A"/>
        </w:pBdr>
      </w:pPr>
    </w:p>
    <w:p>
      <w:pPr>
        <w:spacing w:before="160"/>
        <w:jc w:val="center"/>
      </w:pPr>
      <w:r>
        <w:rPr>
          <w:rFonts w:ascii="Calibri" w:hAnsi="Calibri"/>
          <w:color w:val="555555"/>
          <w:sz w:val="16"/>
        </w:rPr>
        <w:t>Confidential  ·  Prepared by the Barça Banc CMO office  ·  May 2026  ·  Not for distribution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