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left"/>
        <w:tblLook w:firstColumn="1" w:firstRow="1" w:lastColumn="0" w:lastRow="0" w:noHBand="0" w:noVBand="1" w:val="04A0"/>
      </w:tblPr>
      <w:tblGrid>
        <w:gridCol w:w="9360"/>
      </w:tblGrid>
      <w:tr>
        <w:tc>
          <w:tcPr>
            <w:tcW w:type="dxa" w:w="9360"/>
            <w:shd w:val="clear" w:color="auto" w:fill="A50044"/>
          </w:tcPr>
          <w:p>
            <w:pPr>
              <w:spacing w:before="320" w:after="40"/>
              <w:jc w:val="left"/>
            </w:pPr>
            <w:r>
              <w:rPr>
                <w:b/>
                <w:color w:val="FFFFFF"/>
                <w:sz w:val="44"/>
              </w:rPr>
              <w:t>FC BARCELONA BANC</w:t>
            </w:r>
          </w:p>
          <w:p>
            <w:pPr>
              <w:jc w:val="left"/>
            </w:pPr>
            <w:r>
              <w:rPr>
                <w:b/>
                <w:color w:val="EDBB40"/>
                <w:sz w:val="26"/>
              </w:rPr>
              <w:t>Phase 1 Marketing Plan — CMO Challenge Memo</w:t>
            </w:r>
          </w:p>
          <w:p>
            <w:pPr>
              <w:spacing w:before="80" w:after="280"/>
              <w:jc w:val="left"/>
            </w:pPr>
            <w:r>
              <w:rPr>
                <w:color w:val="E5D5DC"/>
                <w:sz w:val="18"/>
              </w:rPr>
              <w:t>Prepared: May 10, 2026  ·  14 days to announcement  ·  CONFIDENTIAL</w:t>
            </w:r>
          </w:p>
        </w:tc>
      </w:tr>
    </w:tbl>
    <w:p/>
    <w:tbl>
      <w:tblPr>
        <w:tblStyle w:val="TableGrid"/>
        <w:tblW w:type="auto" w:w="0"/>
        <w:jc w:val="left"/>
        <w:tblLook w:firstColumn="1" w:firstRow="1" w:lastColumn="0" w:lastRow="0" w:noHBand="0" w:noVBand="1" w:val="04A0"/>
      </w:tblPr>
      <w:tblGrid>
        <w:gridCol w:w="9360"/>
      </w:tblGrid>
      <w:tr>
        <w:tc>
          <w:tcPr>
            <w:tcW w:type="dxa" w:w="9360"/>
            <w:shd w:val="clear" w:color="auto" w:fill="FDF0F4"/>
          </w:tcPr>
          <w:p>
            <w:pPr>
              <w:spacing w:before="160" w:after="40"/>
            </w:pPr>
            <w:r>
              <w:rPr>
                <w:b/>
                <w:color w:val="A50044"/>
                <w:sz w:val="18"/>
              </w:rPr>
              <w:t>EXECUTIVE SUMMARY</w:t>
            </w:r>
          </w:p>
          <w:p>
            <w:pPr>
              <w:spacing w:after="160"/>
            </w:pPr>
            <w:r>
              <w:rPr>
                <w:color w:val="1A1A2E"/>
                <w:sz w:val="19"/>
              </w:rPr>
              <w:t>The plan is honest and the plan is behind. FCBarcelonaBanc_Marketing.docx is a composite of five distinct document layers — timeline table, scope mapping, Surgence proposal v6, Phase 1 Marketing Plan v2, and a competitor analysis — assembled into a single file. Where the plan is written, it is good. The problem is what is not written. As of May 10, with 14 days to the May 24 announcement: the Surgence contract is unsigned, brand identity does not exist, the landing page does not exist, paid media budget is 'TBD', and 11 of 24 workstreams have no owner. Identification of gaps is not resolution of gaps. This memo converts the document's own self-awareness into an action-forcing instrument.</w:t>
            </w:r>
          </w:p>
        </w:tc>
      </w:tr>
    </w:tbl>
    <w:p/>
    <w:p>
      <w:pPr>
        <w:spacing w:before="80" w:after="80"/>
        <w:pBdr>
          <w:bottom w:val="single" w:sz="4" w:space="1" w:color="A50044"/>
        </w:pBdr>
      </w:pPr>
    </w:p>
    <w:p>
      <w:pPr>
        <w:spacing w:before="360" w:after="80"/>
      </w:pPr>
      <w:r>
        <w:rPr>
          <w:b/>
          <w:color w:val="A50044"/>
          <w:sz w:val="32"/>
        </w:rPr>
        <w:t>01  DOCUMENT STRUCTURE</w:t>
      </w:r>
    </w:p>
    <w:p>
      <w:pPr>
        <w:spacing w:after="120"/>
      </w:pPr>
      <w:r>
        <w:rPr>
          <w:i w:val="0"/>
          <w:color w:val="1A1A2E"/>
          <w:sz w:val="20"/>
        </w:rPr>
        <w:t>The file is not a single coherent plan. It is five distinct document layers assembled into one 714-paragraph, 57-table Word file. Understanding the layers is prerequisite to using the plan correctly.</w:t>
      </w:r>
    </w:p>
    <w:tbl>
      <w:tblPr>
        <w:tblStyle w:val="TableGrid"/>
        <w:tblW w:type="auto" w:w="0"/>
        <w:jc w:val="left"/>
        <w:tblLook w:firstColumn="1" w:firstRow="1" w:lastColumn="0" w:lastRow="0" w:noHBand="0" w:noVBand="1" w:val="04A0"/>
      </w:tblPr>
      <w:tblGrid>
        <w:gridCol w:w="1440"/>
        <w:gridCol w:w="2016"/>
        <w:gridCol w:w="5904"/>
      </w:tblGrid>
      <w:tr>
        <w:tc>
          <w:tcPr>
            <w:tcW w:type="dxa" w:w="3120"/>
            <w:shd w:val="clear" w:color="auto" w:fill="1A1A2E"/>
          </w:tcPr>
          <w:p>
            <w:pPr>
              <w:jc w:val="left"/>
            </w:pPr>
            <w:r>
              <w:rPr>
                <w:b/>
                <w:color w:val="FFFFFF"/>
                <w:sz w:val="18"/>
              </w:rPr>
              <w:t>Layer</w:t>
            </w:r>
          </w:p>
        </w:tc>
        <w:tc>
          <w:tcPr>
            <w:tcW w:type="dxa" w:w="3120"/>
            <w:shd w:val="clear" w:color="auto" w:fill="1A1A2E"/>
          </w:tcPr>
          <w:p>
            <w:pPr>
              <w:jc w:val="left"/>
            </w:pPr>
            <w:r>
              <w:rPr>
                <w:b/>
                <w:color w:val="FFFFFF"/>
                <w:sz w:val="18"/>
              </w:rPr>
              <w:t>Name</w:t>
            </w:r>
          </w:p>
        </w:tc>
        <w:tc>
          <w:tcPr>
            <w:tcW w:type="dxa" w:w="3120"/>
            <w:shd w:val="clear" w:color="auto" w:fill="1A1A2E"/>
          </w:tcPr>
          <w:p>
            <w:pPr>
              <w:jc w:val="left"/>
            </w:pPr>
            <w:r>
              <w:rPr>
                <w:b/>
                <w:color w:val="FFFFFF"/>
                <w:sz w:val="18"/>
              </w:rPr>
              <w:t>Status / Notes</w:t>
            </w:r>
          </w:p>
        </w:tc>
      </w:tr>
      <w:tr>
        <w:tc>
          <w:tcPr>
            <w:tcW w:type="dxa" w:w="1440"/>
            <w:shd w:val="clear" w:color="auto" w:fill="FAFAFA"/>
          </w:tcPr>
          <w:p>
            <w:pPr>
              <w:jc w:val="left"/>
            </w:pPr>
            <w:r>
              <w:rPr>
                <w:b/>
                <w:i w:val="0"/>
                <w:color w:val="A50044"/>
                <w:sz w:val="19"/>
              </w:rPr>
              <w:t>Layer 1</w:t>
            </w:r>
          </w:p>
        </w:tc>
        <w:tc>
          <w:tcPr>
            <w:tcW w:type="dxa" w:w="2016"/>
            <w:shd w:val="clear" w:color="auto" w:fill="FAFAFA"/>
          </w:tcPr>
          <w:p>
            <w:pPr>
              <w:jc w:val="left"/>
            </w:pPr>
            <w:r>
              <w:rPr>
                <w:b/>
                <w:i w:val="0"/>
                <w:color w:val="1A1A2E"/>
                <w:sz w:val="19"/>
              </w:rPr>
              <w:t>Timeline table</w:t>
            </w:r>
          </w:p>
        </w:tc>
        <w:tc>
          <w:tcPr>
            <w:tcW w:type="dxa" w:w="5904"/>
            <w:shd w:val="clear" w:color="auto" w:fill="FAFAFA"/>
          </w:tcPr>
          <w:p>
            <w:pPr>
              <w:jc w:val="left"/>
            </w:pPr>
            <w:r>
              <w:rPr>
                <w:b w:val="0"/>
                <w:i w:val="0"/>
                <w:color w:val="1A1A2E"/>
                <w:sz w:val="19"/>
              </w:rPr>
              <w:t>High-level launch calendar with May 24 anchor, World Cup window, and TGE date. Directionally correct; not a project plan.</w:t>
            </w:r>
          </w:p>
        </w:tc>
      </w:tr>
      <w:tr>
        <w:tc>
          <w:tcPr>
            <w:tcW w:type="dxa" w:w="1440"/>
            <w:shd w:val="clear" w:color="auto" w:fill="FAFAFA"/>
          </w:tcPr>
          <w:p>
            <w:pPr>
              <w:jc w:val="left"/>
            </w:pPr>
            <w:r>
              <w:rPr>
                <w:b/>
                <w:i w:val="0"/>
                <w:color w:val="A50044"/>
                <w:sz w:val="19"/>
              </w:rPr>
              <w:t>Layer 2</w:t>
            </w:r>
          </w:p>
        </w:tc>
        <w:tc>
          <w:tcPr>
            <w:tcW w:type="dxa" w:w="2016"/>
            <w:shd w:val="clear" w:color="auto" w:fill="FAFAFA"/>
          </w:tcPr>
          <w:p>
            <w:pPr>
              <w:jc w:val="left"/>
            </w:pPr>
            <w:r>
              <w:rPr>
                <w:b/>
                <w:i w:val="0"/>
                <w:color w:val="1A1A2E"/>
                <w:sz w:val="19"/>
              </w:rPr>
              <w:t>Scope mapping</w:t>
            </w:r>
          </w:p>
        </w:tc>
        <w:tc>
          <w:tcPr>
            <w:tcW w:type="dxa" w:w="5904"/>
            <w:shd w:val="clear" w:color="auto" w:fill="FAFAFA"/>
          </w:tcPr>
          <w:p>
            <w:pPr>
              <w:jc w:val="left"/>
            </w:pPr>
            <w:r>
              <w:rPr>
                <w:b w:val="0"/>
                <w:i w:val="0"/>
                <w:color w:val="1A1A2E"/>
                <w:sz w:val="19"/>
              </w:rPr>
              <w:t>Surgence deliverables list. 13 workstreams confirmed in scope; 11 have no assigned owner as of this date.</w:t>
            </w:r>
          </w:p>
        </w:tc>
      </w:tr>
      <w:tr>
        <w:tc>
          <w:tcPr>
            <w:tcW w:type="dxa" w:w="1440"/>
            <w:shd w:val="clear" w:color="auto" w:fill="FAFAFA"/>
          </w:tcPr>
          <w:p>
            <w:pPr>
              <w:jc w:val="left"/>
            </w:pPr>
            <w:r>
              <w:rPr>
                <w:b/>
                <w:i w:val="0"/>
                <w:color w:val="A50044"/>
                <w:sz w:val="19"/>
              </w:rPr>
              <w:t>Layer 3</w:t>
            </w:r>
          </w:p>
        </w:tc>
        <w:tc>
          <w:tcPr>
            <w:tcW w:type="dxa" w:w="2016"/>
            <w:shd w:val="clear" w:color="auto" w:fill="FAFAFA"/>
          </w:tcPr>
          <w:p>
            <w:pPr>
              <w:jc w:val="left"/>
            </w:pPr>
            <w:r>
              <w:rPr>
                <w:b/>
                <w:i w:val="0"/>
                <w:color w:val="1A1A2E"/>
                <w:sz w:val="19"/>
              </w:rPr>
              <w:t>Surgence Proposal v6</w:t>
            </w:r>
          </w:p>
        </w:tc>
        <w:tc>
          <w:tcPr>
            <w:tcW w:type="dxa" w:w="5904"/>
            <w:shd w:val="clear" w:color="auto" w:fill="FAFAFA"/>
          </w:tcPr>
          <w:p>
            <w:pPr>
              <w:jc w:val="left"/>
            </w:pPr>
            <w:r>
              <w:rPr>
                <w:b w:val="0"/>
                <w:i w:val="0"/>
                <w:color w:val="1A1A2E"/>
                <w:sz w:val="19"/>
              </w:rPr>
              <w:t>The commercial proposal from Surgence Labs — retainer terms, team structure, deliverable cadence. Contract unsigned as of May 10.</w:t>
            </w:r>
          </w:p>
        </w:tc>
      </w:tr>
      <w:tr>
        <w:tc>
          <w:tcPr>
            <w:tcW w:type="dxa" w:w="1440"/>
            <w:shd w:val="clear" w:color="auto" w:fill="FAFAFA"/>
          </w:tcPr>
          <w:p>
            <w:pPr>
              <w:jc w:val="left"/>
            </w:pPr>
            <w:r>
              <w:rPr>
                <w:b/>
                <w:i w:val="0"/>
                <w:color w:val="A50044"/>
                <w:sz w:val="19"/>
              </w:rPr>
              <w:t>Layer 4</w:t>
            </w:r>
          </w:p>
        </w:tc>
        <w:tc>
          <w:tcPr>
            <w:tcW w:type="dxa" w:w="2016"/>
            <w:shd w:val="clear" w:color="auto" w:fill="FAFAFA"/>
          </w:tcPr>
          <w:p>
            <w:pPr>
              <w:jc w:val="left"/>
            </w:pPr>
            <w:r>
              <w:rPr>
                <w:b/>
                <w:i w:val="0"/>
                <w:color w:val="1A1A2E"/>
                <w:sz w:val="19"/>
              </w:rPr>
              <w:t>Phase 1 Marketing Plan v2</w:t>
            </w:r>
          </w:p>
        </w:tc>
        <w:tc>
          <w:tcPr>
            <w:tcW w:type="dxa" w:w="5904"/>
            <w:shd w:val="clear" w:color="auto" w:fill="FAFAFA"/>
          </w:tcPr>
          <w:p>
            <w:pPr>
              <w:jc w:val="left"/>
            </w:pPr>
            <w:r>
              <w:rPr>
                <w:b w:val="0"/>
                <w:i w:val="0"/>
                <w:color w:val="1A1A2E"/>
                <w:sz w:val="19"/>
              </w:rPr>
              <w:t>The substantive marketing strategy: audience segments, World Cup mechanics, creator program, Loyalty Dividend, engagement architecture. This is the strong layer.</w:t>
            </w:r>
          </w:p>
        </w:tc>
      </w:tr>
      <w:tr>
        <w:tc>
          <w:tcPr>
            <w:tcW w:type="dxa" w:w="1440"/>
            <w:shd w:val="clear" w:color="auto" w:fill="FAFAFA"/>
          </w:tcPr>
          <w:p>
            <w:pPr>
              <w:jc w:val="left"/>
            </w:pPr>
            <w:r>
              <w:rPr>
                <w:b/>
                <w:i w:val="0"/>
                <w:color w:val="A50044"/>
                <w:sz w:val="19"/>
              </w:rPr>
              <w:t>Layer 5</w:t>
            </w:r>
          </w:p>
        </w:tc>
        <w:tc>
          <w:tcPr>
            <w:tcW w:type="dxa" w:w="2016"/>
            <w:shd w:val="clear" w:color="auto" w:fill="FAFAFA"/>
          </w:tcPr>
          <w:p>
            <w:pPr>
              <w:jc w:val="left"/>
            </w:pPr>
            <w:r>
              <w:rPr>
                <w:b/>
                <w:i w:val="0"/>
                <w:color w:val="1A1A2E"/>
                <w:sz w:val="19"/>
              </w:rPr>
              <w:t>Competitor analysis</w:t>
            </w:r>
          </w:p>
        </w:tc>
        <w:tc>
          <w:tcPr>
            <w:tcW w:type="dxa" w:w="5904"/>
            <w:shd w:val="clear" w:color="auto" w:fill="FAFAFA"/>
          </w:tcPr>
          <w:p>
            <w:pPr>
              <w:jc w:val="left"/>
            </w:pPr>
            <w:r>
              <w:rPr>
                <w:b w:val="0"/>
                <w:i w:val="0"/>
                <w:color w:val="1A1A2E"/>
                <w:sz w:val="19"/>
              </w:rPr>
              <w:t>Nubank, Chime, Revolut, Mercado Pago benchmarks. Grades Barça Banc's own readiness relative to comps. Candidly negative self-assessment embedded.</w:t>
            </w:r>
          </w:p>
        </w:tc>
      </w:tr>
    </w:tbl>
    <w:p/>
    <w:p>
      <w:pPr>
        <w:spacing w:before="80" w:after="80"/>
        <w:pBdr>
          <w:bottom w:val="single" w:sz="4" w:space="1" w:color="A50044"/>
        </w:pBdr>
      </w:pPr>
    </w:p>
    <w:p>
      <w:pPr>
        <w:spacing w:before="360" w:after="80"/>
      </w:pPr>
      <w:r>
        <w:rPr>
          <w:b/>
          <w:color w:val="A50044"/>
          <w:sz w:val="32"/>
        </w:rPr>
        <w:t>02  WORKSTREAM OWNERSHIP MAP</w:t>
      </w:r>
    </w:p>
    <w:p>
      <w:pPr>
        <w:spacing w:after="120"/>
      </w:pPr>
      <w:r>
        <w:rPr>
          <w:i w:val="0"/>
          <w:color w:val="1A1A2E"/>
          <w:sz w:val="20"/>
        </w:rPr>
        <w:t>The Surgence scope lists 24 workstreams. 13 are confirmed. 11 have no named owner. Unowned workstreams at T-14 are not gaps — they are failure modes.</w:t>
      </w:r>
    </w:p>
    <w:tbl>
      <w:tblPr>
        <w:tblStyle w:val="TableGrid"/>
        <w:tblW w:type="auto" w:w="0"/>
        <w:jc w:val="left"/>
        <w:tblLook w:firstColumn="1" w:firstRow="1" w:lastColumn="0" w:lastRow="0" w:noHBand="0" w:noVBand="1" w:val="04A0"/>
      </w:tblPr>
      <w:tblGrid>
        <w:gridCol w:w="3744"/>
        <w:gridCol w:w="2304"/>
        <w:gridCol w:w="1872"/>
        <w:gridCol w:w="1440"/>
      </w:tblGrid>
      <w:tr>
        <w:tc>
          <w:tcPr>
            <w:tcW w:type="dxa" w:w="2340"/>
            <w:shd w:val="clear" w:color="auto" w:fill="1A1A2E"/>
          </w:tcPr>
          <w:p>
            <w:pPr>
              <w:jc w:val="left"/>
            </w:pPr>
            <w:r>
              <w:rPr>
                <w:b/>
                <w:color w:val="FFFFFF"/>
                <w:sz w:val="18"/>
              </w:rPr>
              <w:t>Workstream</w:t>
            </w:r>
          </w:p>
        </w:tc>
        <w:tc>
          <w:tcPr>
            <w:tcW w:type="dxa" w:w="2340"/>
            <w:shd w:val="clear" w:color="auto" w:fill="1A1A2E"/>
          </w:tcPr>
          <w:p>
            <w:pPr>
              <w:jc w:val="left"/>
            </w:pPr>
            <w:r>
              <w:rPr>
                <w:b/>
                <w:color w:val="FFFFFF"/>
                <w:sz w:val="18"/>
              </w:rPr>
              <w:t>Owner</w:t>
            </w:r>
          </w:p>
        </w:tc>
        <w:tc>
          <w:tcPr>
            <w:tcW w:type="dxa" w:w="2340"/>
            <w:shd w:val="clear" w:color="auto" w:fill="1A1A2E"/>
          </w:tcPr>
          <w:p>
            <w:pPr>
              <w:jc w:val="left"/>
            </w:pPr>
            <w:r>
              <w:rPr>
                <w:b/>
                <w:color w:val="FFFFFF"/>
                <w:sz w:val="18"/>
              </w:rPr>
              <w:t>Status</w:t>
            </w:r>
          </w:p>
        </w:tc>
        <w:tc>
          <w:tcPr>
            <w:tcW w:type="dxa" w:w="2340"/>
            <w:shd w:val="clear" w:color="auto" w:fill="1A1A2E"/>
          </w:tcPr>
          <w:p>
            <w:pPr>
              <w:jc w:val="left"/>
            </w:pPr>
            <w:r>
              <w:rPr>
                <w:b/>
                <w:color w:val="FFFFFF"/>
                <w:sz w:val="18"/>
              </w:rPr>
            </w:r>
          </w:p>
        </w:tc>
      </w:tr>
      <w:tr>
        <w:tc>
          <w:tcPr>
            <w:tcW w:type="dxa" w:w="3744"/>
            <w:shd w:val="clear" w:color="auto" w:fill="FAFAFA"/>
          </w:tcPr>
          <w:p>
            <w:pPr>
              <w:jc w:val="left"/>
            </w:pPr>
            <w:r>
              <w:rPr>
                <w:b w:val="0"/>
                <w:i w:val="0"/>
                <w:color w:val="1A1A2E"/>
                <w:sz w:val="19"/>
              </w:rPr>
              <w:t>Brand Identity System</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World Cup Campaign Creative</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Daily Player Drop (Instagram)</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Community Seeding (WhatsApp/Reddit/FB)</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Loyalty Dividend Mechanic</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Country-Edition Cards Design</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Bracket Prediction Game</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MOTM Cashback Integration</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Win Bonus Mechanic</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Country Boost Days</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Korea Web2-First Activation</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Community Advisory Layer</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Content Governance Framework</w:t>
            </w:r>
          </w:p>
        </w:tc>
        <w:tc>
          <w:tcPr>
            <w:tcW w:type="dxa" w:w="2304"/>
            <w:shd w:val="clear" w:color="auto" w:fill="FAFAFA"/>
          </w:tcPr>
          <w:p>
            <w:pPr>
              <w:jc w:val="left"/>
            </w:pPr>
            <w:r>
              <w:rPr>
                <w:b w:val="0"/>
                <w:i w:val="0"/>
                <w:color w:val="1A1A2E"/>
                <w:sz w:val="19"/>
              </w:rPr>
              <w:t>Surgence</w:t>
            </w:r>
          </w:p>
        </w:tc>
        <w:tc>
          <w:tcPr>
            <w:tcW w:type="dxa" w:w="1872"/>
            <w:shd w:val="clear" w:color="auto" w:fill="27AE60"/>
          </w:tcPr>
          <w:p>
            <w:pPr>
              <w:jc w:val="left"/>
            </w:pPr>
            <w:r>
              <w:rPr>
                <w:b/>
                <w:color w:val="FFFFFF"/>
                <w:sz w:val="17"/>
              </w:rPr>
              <w:t>CONFIRMED</w:t>
            </w:r>
          </w:p>
        </w:tc>
        <w:tc>
          <w:tcPr>
            <w:tcW w:type="dxa" w:w="1440"/>
            <w:shd w:val="clear" w:color="auto" w:fill="27AE60"/>
          </w:tcPr>
          <w:p>
            <w:pPr>
              <w:jc w:val="left"/>
            </w:pPr>
            <w:r>
              <w:rPr>
                <w:b/>
                <w:color w:val="FFFFFF"/>
                <w:sz w:val="28"/>
              </w:rPr>
              <w:t>●</w:t>
            </w:r>
          </w:p>
        </w:tc>
      </w:tr>
      <w:tr>
        <w:tc>
          <w:tcPr>
            <w:tcW w:type="dxa" w:w="3744"/>
            <w:shd w:val="clear" w:color="auto" w:fill="FAFAFA"/>
          </w:tcPr>
          <w:p>
            <w:pPr>
              <w:jc w:val="left"/>
            </w:pPr>
            <w:r>
              <w:rPr>
                <w:b w:val="0"/>
                <w:i w:val="0"/>
                <w:color w:val="1A1A2E"/>
                <w:sz w:val="19"/>
              </w:rPr>
              <w:t>Landing Page / Waitlist CRO</w:t>
            </w:r>
          </w:p>
        </w:tc>
        <w:tc>
          <w:tcPr>
            <w:tcW w:type="dxa" w:w="2304"/>
            <w:shd w:val="clear" w:color="auto" w:fill="FAFAFA"/>
          </w:tcPr>
          <w:p>
            <w:pPr>
              <w:jc w:val="left"/>
            </w:pPr>
            <w:r>
              <w:rPr>
                <w:b/>
                <w:i w:val="0"/>
                <w:color w:val="C0392B"/>
                <w:sz w:val="19"/>
              </w:rPr>
              <w:t>UNASSIGNED</w:t>
            </w:r>
          </w:p>
        </w:tc>
        <w:tc>
          <w:tcPr>
            <w:tcW w:type="dxa" w:w="1872"/>
            <w:shd w:val="clear" w:color="auto" w:fill="C0392B"/>
          </w:tcPr>
          <w:p>
            <w:pPr>
              <w:jc w:val="left"/>
            </w:pPr>
            <w:r>
              <w:rPr>
                <w:b/>
                <w:color w:val="FFFFFF"/>
                <w:sz w:val="17"/>
              </w:rPr>
              <w:t>NO OWNER</w:t>
            </w:r>
          </w:p>
        </w:tc>
        <w:tc>
          <w:tcPr>
            <w:tcW w:type="dxa" w:w="1440"/>
            <w:shd w:val="clear" w:color="auto" w:fill="C0392B"/>
          </w:tcPr>
          <w:p>
            <w:pPr>
              <w:jc w:val="left"/>
            </w:pPr>
            <w:r>
              <w:rPr>
                <w:b/>
                <w:color w:val="FFFFFF"/>
                <w:sz w:val="28"/>
              </w:rPr>
              <w:t>●</w:t>
            </w:r>
          </w:p>
        </w:tc>
      </w:tr>
      <w:tr>
        <w:tc>
          <w:tcPr>
            <w:tcW w:type="dxa" w:w="3744"/>
            <w:shd w:val="clear" w:color="auto" w:fill="FAFAFA"/>
          </w:tcPr>
          <w:p>
            <w:pPr>
              <w:jc w:val="left"/>
            </w:pPr>
            <w:r>
              <w:rPr>
                <w:b w:val="0"/>
                <w:i w:val="0"/>
                <w:color w:val="1A1A2E"/>
                <w:sz w:val="19"/>
              </w:rPr>
              <w:t>App Store Optimization (ASO)</w:t>
            </w:r>
          </w:p>
        </w:tc>
        <w:tc>
          <w:tcPr>
            <w:tcW w:type="dxa" w:w="2304"/>
            <w:shd w:val="clear" w:color="auto" w:fill="FAFAFA"/>
          </w:tcPr>
          <w:p>
            <w:pPr>
              <w:jc w:val="left"/>
            </w:pPr>
            <w:r>
              <w:rPr>
                <w:b/>
                <w:i w:val="0"/>
                <w:color w:val="C0392B"/>
                <w:sz w:val="19"/>
              </w:rPr>
              <w:t>UNASSIGNED</w:t>
            </w:r>
          </w:p>
        </w:tc>
        <w:tc>
          <w:tcPr>
            <w:tcW w:type="dxa" w:w="1872"/>
            <w:shd w:val="clear" w:color="auto" w:fill="C0392B"/>
          </w:tcPr>
          <w:p>
            <w:pPr>
              <w:jc w:val="left"/>
            </w:pPr>
            <w:r>
              <w:rPr>
                <w:b/>
                <w:color w:val="FFFFFF"/>
                <w:sz w:val="17"/>
              </w:rPr>
              <w:t>NO OWNER</w:t>
            </w:r>
          </w:p>
        </w:tc>
        <w:tc>
          <w:tcPr>
            <w:tcW w:type="dxa" w:w="1440"/>
            <w:shd w:val="clear" w:color="auto" w:fill="C0392B"/>
          </w:tcPr>
          <w:p>
            <w:pPr>
              <w:jc w:val="left"/>
            </w:pPr>
            <w:r>
              <w:rPr>
                <w:b/>
                <w:color w:val="FFFFFF"/>
                <w:sz w:val="28"/>
              </w:rPr>
              <w:t>●</w:t>
            </w:r>
          </w:p>
        </w:tc>
      </w:tr>
      <w:tr>
        <w:tc>
          <w:tcPr>
            <w:tcW w:type="dxa" w:w="3744"/>
            <w:shd w:val="clear" w:color="auto" w:fill="FAFAFA"/>
          </w:tcPr>
          <w:p>
            <w:pPr>
              <w:jc w:val="left"/>
            </w:pPr>
            <w:r>
              <w:rPr>
                <w:b w:val="0"/>
                <w:i w:val="0"/>
                <w:color w:val="1A1A2E"/>
                <w:sz w:val="19"/>
              </w:rPr>
              <w:t>Paid Media Planning + Buying</w:t>
            </w:r>
          </w:p>
        </w:tc>
        <w:tc>
          <w:tcPr>
            <w:tcW w:type="dxa" w:w="2304"/>
            <w:shd w:val="clear" w:color="auto" w:fill="FAFAFA"/>
          </w:tcPr>
          <w:p>
            <w:pPr>
              <w:jc w:val="left"/>
            </w:pPr>
            <w:r>
              <w:rPr>
                <w:b/>
                <w:i w:val="0"/>
                <w:color w:val="C0392B"/>
                <w:sz w:val="19"/>
              </w:rPr>
              <w:t>UNASSIGNED</w:t>
            </w:r>
          </w:p>
        </w:tc>
        <w:tc>
          <w:tcPr>
            <w:tcW w:type="dxa" w:w="1872"/>
            <w:shd w:val="clear" w:color="auto" w:fill="C0392B"/>
          </w:tcPr>
          <w:p>
            <w:pPr>
              <w:jc w:val="left"/>
            </w:pPr>
            <w:r>
              <w:rPr>
                <w:b/>
                <w:color w:val="FFFFFF"/>
                <w:sz w:val="17"/>
              </w:rPr>
              <w:t>NO OWNER</w:t>
            </w:r>
          </w:p>
        </w:tc>
        <w:tc>
          <w:tcPr>
            <w:tcW w:type="dxa" w:w="1440"/>
            <w:shd w:val="clear" w:color="auto" w:fill="C0392B"/>
          </w:tcPr>
          <w:p>
            <w:pPr>
              <w:jc w:val="left"/>
            </w:pPr>
            <w:r>
              <w:rPr>
                <w:b/>
                <w:color w:val="FFFFFF"/>
                <w:sz w:val="28"/>
              </w:rPr>
              <w:t>●</w:t>
            </w:r>
          </w:p>
        </w:tc>
      </w:tr>
      <w:tr>
        <w:tc>
          <w:tcPr>
            <w:tcW w:type="dxa" w:w="3744"/>
            <w:shd w:val="clear" w:color="auto" w:fill="FAFAFA"/>
          </w:tcPr>
          <w:p>
            <w:pPr>
              <w:jc w:val="left"/>
            </w:pPr>
            <w:r>
              <w:rPr>
                <w:b w:val="0"/>
                <w:i w:val="0"/>
                <w:color w:val="1A1A2E"/>
                <w:sz w:val="19"/>
              </w:rPr>
              <w:t>Press Kit + Media Assets</w:t>
            </w:r>
          </w:p>
        </w:tc>
        <w:tc>
          <w:tcPr>
            <w:tcW w:type="dxa" w:w="2304"/>
            <w:shd w:val="clear" w:color="auto" w:fill="FAFAFA"/>
          </w:tcPr>
          <w:p>
            <w:pPr>
              <w:jc w:val="left"/>
            </w:pPr>
            <w:r>
              <w:rPr>
                <w:b/>
                <w:i w:val="0"/>
                <w:color w:val="C0392B"/>
                <w:sz w:val="19"/>
              </w:rPr>
              <w:t>UNASSIGNED</w:t>
            </w:r>
          </w:p>
        </w:tc>
        <w:tc>
          <w:tcPr>
            <w:tcW w:type="dxa" w:w="1872"/>
            <w:shd w:val="clear" w:color="auto" w:fill="C0392B"/>
          </w:tcPr>
          <w:p>
            <w:pPr>
              <w:jc w:val="left"/>
            </w:pPr>
            <w:r>
              <w:rPr>
                <w:b/>
                <w:color w:val="FFFFFF"/>
                <w:sz w:val="17"/>
              </w:rPr>
              <w:t>NO OWNER</w:t>
            </w:r>
          </w:p>
        </w:tc>
        <w:tc>
          <w:tcPr>
            <w:tcW w:type="dxa" w:w="1440"/>
            <w:shd w:val="clear" w:color="auto" w:fill="C0392B"/>
          </w:tcPr>
          <w:p>
            <w:pPr>
              <w:jc w:val="left"/>
            </w:pPr>
            <w:r>
              <w:rPr>
                <w:b/>
                <w:color w:val="FFFFFF"/>
                <w:sz w:val="28"/>
              </w:rPr>
              <w:t>●</w:t>
            </w:r>
          </w:p>
        </w:tc>
      </w:tr>
      <w:tr>
        <w:tc>
          <w:tcPr>
            <w:tcW w:type="dxa" w:w="3744"/>
            <w:shd w:val="clear" w:color="auto" w:fill="FAFAFA"/>
          </w:tcPr>
          <w:p>
            <w:pPr>
              <w:jc w:val="left"/>
            </w:pPr>
            <w:r>
              <w:rPr>
                <w:b w:val="0"/>
                <w:i w:val="0"/>
                <w:color w:val="1A1A2E"/>
                <w:sz w:val="19"/>
              </w:rPr>
              <w:t>Email Nurture Sequence</w:t>
            </w:r>
          </w:p>
        </w:tc>
        <w:tc>
          <w:tcPr>
            <w:tcW w:type="dxa" w:w="2304"/>
            <w:shd w:val="clear" w:color="auto" w:fill="FAFAFA"/>
          </w:tcPr>
          <w:p>
            <w:pPr>
              <w:jc w:val="left"/>
            </w:pPr>
            <w:r>
              <w:rPr>
                <w:b/>
                <w:i w:val="0"/>
                <w:color w:val="C0392B"/>
                <w:sz w:val="19"/>
              </w:rPr>
              <w:t>UNASSIGNED</w:t>
            </w:r>
          </w:p>
        </w:tc>
        <w:tc>
          <w:tcPr>
            <w:tcW w:type="dxa" w:w="1872"/>
            <w:shd w:val="clear" w:color="auto" w:fill="C0392B"/>
          </w:tcPr>
          <w:p>
            <w:pPr>
              <w:jc w:val="left"/>
            </w:pPr>
            <w:r>
              <w:rPr>
                <w:b/>
                <w:color w:val="FFFFFF"/>
                <w:sz w:val="17"/>
              </w:rPr>
              <w:t>NO OWNER</w:t>
            </w:r>
          </w:p>
        </w:tc>
        <w:tc>
          <w:tcPr>
            <w:tcW w:type="dxa" w:w="1440"/>
            <w:shd w:val="clear" w:color="auto" w:fill="C0392B"/>
          </w:tcPr>
          <w:p>
            <w:pPr>
              <w:jc w:val="left"/>
            </w:pPr>
            <w:r>
              <w:rPr>
                <w:b/>
                <w:color w:val="FFFFFF"/>
                <w:sz w:val="28"/>
              </w:rPr>
              <w:t>●</w:t>
            </w:r>
          </w:p>
        </w:tc>
      </w:tr>
      <w:tr>
        <w:tc>
          <w:tcPr>
            <w:tcW w:type="dxa" w:w="3744"/>
            <w:shd w:val="clear" w:color="auto" w:fill="FAFAFA"/>
          </w:tcPr>
          <w:p>
            <w:pPr>
              <w:jc w:val="left"/>
            </w:pPr>
            <w:r>
              <w:rPr>
                <w:b w:val="0"/>
                <w:i w:val="0"/>
                <w:color w:val="1A1A2E"/>
                <w:sz w:val="19"/>
              </w:rPr>
              <w:t>Customer Support Capacity</w:t>
            </w:r>
          </w:p>
        </w:tc>
        <w:tc>
          <w:tcPr>
            <w:tcW w:type="dxa" w:w="2304"/>
            <w:shd w:val="clear" w:color="auto" w:fill="FAFAFA"/>
          </w:tcPr>
          <w:p>
            <w:pPr>
              <w:jc w:val="left"/>
            </w:pPr>
            <w:r>
              <w:rPr>
                <w:b/>
                <w:i w:val="0"/>
                <w:color w:val="C0392B"/>
                <w:sz w:val="19"/>
              </w:rPr>
              <w:t>UNASSIGNED</w:t>
            </w:r>
          </w:p>
        </w:tc>
        <w:tc>
          <w:tcPr>
            <w:tcW w:type="dxa" w:w="1872"/>
            <w:shd w:val="clear" w:color="auto" w:fill="C0392B"/>
          </w:tcPr>
          <w:p>
            <w:pPr>
              <w:jc w:val="left"/>
            </w:pPr>
            <w:r>
              <w:rPr>
                <w:b/>
                <w:color w:val="FFFFFF"/>
                <w:sz w:val="17"/>
              </w:rPr>
              <w:t>NO OWNER</w:t>
            </w:r>
          </w:p>
        </w:tc>
        <w:tc>
          <w:tcPr>
            <w:tcW w:type="dxa" w:w="1440"/>
            <w:shd w:val="clear" w:color="auto" w:fill="C0392B"/>
          </w:tcPr>
          <w:p>
            <w:pPr>
              <w:jc w:val="left"/>
            </w:pPr>
            <w:r>
              <w:rPr>
                <w:b/>
                <w:color w:val="FFFFFF"/>
                <w:sz w:val="28"/>
              </w:rPr>
              <w:t>●</w:t>
            </w:r>
          </w:p>
        </w:tc>
      </w:tr>
      <w:tr>
        <w:tc>
          <w:tcPr>
            <w:tcW w:type="dxa" w:w="3744"/>
            <w:shd w:val="clear" w:color="auto" w:fill="FAFAFA"/>
          </w:tcPr>
          <w:p>
            <w:pPr>
              <w:jc w:val="left"/>
            </w:pPr>
            <w:r>
              <w:rPr>
                <w:b w:val="0"/>
                <w:i w:val="0"/>
                <w:color w:val="1A1A2E"/>
                <w:sz w:val="19"/>
              </w:rPr>
              <w:t>Legal / Compliance Review</w:t>
            </w:r>
          </w:p>
        </w:tc>
        <w:tc>
          <w:tcPr>
            <w:tcW w:type="dxa" w:w="2304"/>
            <w:shd w:val="clear" w:color="auto" w:fill="FAFAFA"/>
          </w:tcPr>
          <w:p>
            <w:pPr>
              <w:jc w:val="left"/>
            </w:pPr>
            <w:r>
              <w:rPr>
                <w:b/>
                <w:i w:val="0"/>
                <w:color w:val="C0392B"/>
                <w:sz w:val="19"/>
              </w:rPr>
              <w:t>UNASSIGNED</w:t>
            </w:r>
          </w:p>
        </w:tc>
        <w:tc>
          <w:tcPr>
            <w:tcW w:type="dxa" w:w="1872"/>
            <w:shd w:val="clear" w:color="auto" w:fill="C0392B"/>
          </w:tcPr>
          <w:p>
            <w:pPr>
              <w:jc w:val="left"/>
            </w:pPr>
            <w:r>
              <w:rPr>
                <w:b/>
                <w:color w:val="FFFFFF"/>
                <w:sz w:val="17"/>
              </w:rPr>
              <w:t>NO OWNER</w:t>
            </w:r>
          </w:p>
        </w:tc>
        <w:tc>
          <w:tcPr>
            <w:tcW w:type="dxa" w:w="1440"/>
            <w:shd w:val="clear" w:color="auto" w:fill="C0392B"/>
          </w:tcPr>
          <w:p>
            <w:pPr>
              <w:jc w:val="left"/>
            </w:pPr>
            <w:r>
              <w:rPr>
                <w:b/>
                <w:color w:val="FFFFFF"/>
                <w:sz w:val="28"/>
              </w:rPr>
              <w:t>●</w:t>
            </w:r>
          </w:p>
        </w:tc>
      </w:tr>
      <w:tr>
        <w:tc>
          <w:tcPr>
            <w:tcW w:type="dxa" w:w="3744"/>
            <w:shd w:val="clear" w:color="auto" w:fill="FAFAFA"/>
          </w:tcPr>
          <w:p>
            <w:pPr>
              <w:jc w:val="left"/>
            </w:pPr>
            <w:r>
              <w:rPr>
                <w:b w:val="0"/>
                <w:i w:val="0"/>
                <w:color w:val="1A1A2E"/>
                <w:sz w:val="19"/>
              </w:rPr>
              <w:t>OOH Campaign (4 markets)</w:t>
            </w:r>
          </w:p>
        </w:tc>
        <w:tc>
          <w:tcPr>
            <w:tcW w:type="dxa" w:w="2304"/>
            <w:shd w:val="clear" w:color="auto" w:fill="FAFAFA"/>
          </w:tcPr>
          <w:p>
            <w:pPr>
              <w:jc w:val="left"/>
            </w:pPr>
            <w:r>
              <w:rPr>
                <w:b/>
                <w:i w:val="0"/>
                <w:color w:val="C0392B"/>
                <w:sz w:val="19"/>
              </w:rPr>
              <w:t>UNASSIGNED</w:t>
            </w:r>
          </w:p>
        </w:tc>
        <w:tc>
          <w:tcPr>
            <w:tcW w:type="dxa" w:w="1872"/>
            <w:shd w:val="clear" w:color="auto" w:fill="C0392B"/>
          </w:tcPr>
          <w:p>
            <w:pPr>
              <w:jc w:val="left"/>
            </w:pPr>
            <w:r>
              <w:rPr>
                <w:b/>
                <w:color w:val="FFFFFF"/>
                <w:sz w:val="17"/>
              </w:rPr>
              <w:t>NO OWNER</w:t>
            </w:r>
          </w:p>
        </w:tc>
        <w:tc>
          <w:tcPr>
            <w:tcW w:type="dxa" w:w="1440"/>
            <w:shd w:val="clear" w:color="auto" w:fill="C0392B"/>
          </w:tcPr>
          <w:p>
            <w:pPr>
              <w:jc w:val="left"/>
            </w:pPr>
            <w:r>
              <w:rPr>
                <w:b/>
                <w:color w:val="FFFFFF"/>
                <w:sz w:val="28"/>
              </w:rPr>
              <w:t>●</w:t>
            </w:r>
          </w:p>
        </w:tc>
      </w:tr>
      <w:tr>
        <w:tc>
          <w:tcPr>
            <w:tcW w:type="dxa" w:w="3744"/>
            <w:shd w:val="clear" w:color="auto" w:fill="FAFAFA"/>
          </w:tcPr>
          <w:p>
            <w:pPr>
              <w:jc w:val="left"/>
            </w:pPr>
            <w:r>
              <w:rPr>
                <w:b w:val="0"/>
                <w:i w:val="0"/>
                <w:color w:val="1A1A2E"/>
                <w:sz w:val="19"/>
              </w:rPr>
              <w:t>FIFA Broadcast Integration</w:t>
            </w:r>
          </w:p>
        </w:tc>
        <w:tc>
          <w:tcPr>
            <w:tcW w:type="dxa" w:w="2304"/>
            <w:shd w:val="clear" w:color="auto" w:fill="FAFAFA"/>
          </w:tcPr>
          <w:p>
            <w:pPr>
              <w:jc w:val="left"/>
            </w:pPr>
            <w:r>
              <w:rPr>
                <w:b/>
                <w:i w:val="0"/>
                <w:color w:val="C0392B"/>
                <w:sz w:val="19"/>
              </w:rPr>
              <w:t>UNASSIGNED</w:t>
            </w:r>
          </w:p>
        </w:tc>
        <w:tc>
          <w:tcPr>
            <w:tcW w:type="dxa" w:w="1872"/>
            <w:shd w:val="clear" w:color="auto" w:fill="E67E22"/>
          </w:tcPr>
          <w:p>
            <w:pPr>
              <w:jc w:val="left"/>
            </w:pPr>
            <w:r>
              <w:rPr>
                <w:b/>
                <w:color w:val="FFFFFF"/>
                <w:sz w:val="17"/>
              </w:rPr>
              <w:t>DEPENDENCY</w:t>
            </w:r>
          </w:p>
        </w:tc>
        <w:tc>
          <w:tcPr>
            <w:tcW w:type="dxa" w:w="1440"/>
            <w:shd w:val="clear" w:color="auto" w:fill="E67E22"/>
          </w:tcPr>
          <w:p>
            <w:pPr>
              <w:jc w:val="left"/>
            </w:pPr>
            <w:r>
              <w:rPr>
                <w:b/>
                <w:color w:val="FFFFFF"/>
                <w:sz w:val="28"/>
              </w:rPr>
              <w:t>●</w:t>
            </w:r>
          </w:p>
        </w:tc>
      </w:tr>
      <w:tr>
        <w:tc>
          <w:tcPr>
            <w:tcW w:type="dxa" w:w="3744"/>
            <w:shd w:val="clear" w:color="auto" w:fill="FAFAFA"/>
          </w:tcPr>
          <w:p>
            <w:pPr>
              <w:jc w:val="left"/>
            </w:pPr>
            <w:r>
              <w:rPr>
                <w:b w:val="0"/>
                <w:i w:val="0"/>
                <w:color w:val="1A1A2E"/>
                <w:sz w:val="19"/>
              </w:rPr>
              <w:t>CRM Data Tier</w:t>
            </w:r>
          </w:p>
        </w:tc>
        <w:tc>
          <w:tcPr>
            <w:tcW w:type="dxa" w:w="2304"/>
            <w:shd w:val="clear" w:color="auto" w:fill="FAFAFA"/>
          </w:tcPr>
          <w:p>
            <w:pPr>
              <w:jc w:val="left"/>
            </w:pPr>
            <w:r>
              <w:rPr>
                <w:b/>
                <w:i w:val="0"/>
                <w:color w:val="C0392B"/>
                <w:sz w:val="19"/>
              </w:rPr>
              <w:t>UNASSIGNED</w:t>
            </w:r>
          </w:p>
        </w:tc>
        <w:tc>
          <w:tcPr>
            <w:tcW w:type="dxa" w:w="1872"/>
            <w:shd w:val="clear" w:color="auto" w:fill="E67E22"/>
          </w:tcPr>
          <w:p>
            <w:pPr>
              <w:jc w:val="left"/>
            </w:pPr>
            <w:r>
              <w:rPr>
                <w:b/>
                <w:color w:val="FFFFFF"/>
                <w:sz w:val="17"/>
              </w:rPr>
              <w:t>DEPENDENCY</w:t>
            </w:r>
          </w:p>
        </w:tc>
        <w:tc>
          <w:tcPr>
            <w:tcW w:type="dxa" w:w="1440"/>
            <w:shd w:val="clear" w:color="auto" w:fill="E67E22"/>
          </w:tcPr>
          <w:p>
            <w:pPr>
              <w:jc w:val="left"/>
            </w:pPr>
            <w:r>
              <w:rPr>
                <w:b/>
                <w:color w:val="FFFFFF"/>
                <w:sz w:val="28"/>
              </w:rPr>
              <w:t>●</w:t>
            </w:r>
          </w:p>
        </w:tc>
      </w:tr>
      <w:tr>
        <w:tc>
          <w:tcPr>
            <w:tcW w:type="dxa" w:w="3744"/>
            <w:shd w:val="clear" w:color="auto" w:fill="FAFAFA"/>
          </w:tcPr>
          <w:p>
            <w:pPr>
              <w:jc w:val="left"/>
            </w:pPr>
            <w:r>
              <w:rPr>
                <w:b w:val="0"/>
                <w:i w:val="0"/>
                <w:color w:val="1A1A2E"/>
                <w:sz w:val="19"/>
              </w:rPr>
              <w:t>Surgence Entity Decision</w:t>
            </w:r>
          </w:p>
        </w:tc>
        <w:tc>
          <w:tcPr>
            <w:tcW w:type="dxa" w:w="2304"/>
            <w:shd w:val="clear" w:color="auto" w:fill="FAFAFA"/>
          </w:tcPr>
          <w:p>
            <w:pPr>
              <w:jc w:val="left"/>
            </w:pPr>
            <w:r>
              <w:rPr>
                <w:b/>
                <w:i w:val="0"/>
                <w:color w:val="C0392B"/>
                <w:sz w:val="19"/>
              </w:rPr>
              <w:t>UNASSIGNED</w:t>
            </w:r>
          </w:p>
        </w:tc>
        <w:tc>
          <w:tcPr>
            <w:tcW w:type="dxa" w:w="1872"/>
            <w:shd w:val="clear" w:color="auto" w:fill="E67E22"/>
          </w:tcPr>
          <w:p>
            <w:pPr>
              <w:jc w:val="left"/>
            </w:pPr>
            <w:r>
              <w:rPr>
                <w:b/>
                <w:color w:val="FFFFFF"/>
                <w:sz w:val="17"/>
              </w:rPr>
              <w:t>DEPENDENCY</w:t>
            </w:r>
          </w:p>
        </w:tc>
        <w:tc>
          <w:tcPr>
            <w:tcW w:type="dxa" w:w="1440"/>
            <w:shd w:val="clear" w:color="auto" w:fill="E67E22"/>
          </w:tcPr>
          <w:p>
            <w:pPr>
              <w:jc w:val="left"/>
            </w:pPr>
            <w:r>
              <w:rPr>
                <w:b/>
                <w:color w:val="FFFFFF"/>
                <w:sz w:val="28"/>
              </w:rPr>
              <w:t>●</w:t>
            </w:r>
          </w:p>
        </w:tc>
      </w:tr>
    </w:tbl>
    <w:p/>
    <w:p>
      <w:pPr>
        <w:spacing w:before="80" w:after="80"/>
        <w:pBdr>
          <w:bottom w:val="single" w:sz="4" w:space="1" w:color="A50044"/>
        </w:pBdr>
      </w:pPr>
    </w:p>
    <w:p>
      <w:pPr>
        <w:spacing w:before="360" w:after="80"/>
      </w:pPr>
      <w:r>
        <w:rPr>
          <w:b/>
          <w:color w:val="A50044"/>
          <w:sz w:val="32"/>
        </w:rPr>
        <w:t>03  CRITICAL DEPENDENCIES (T-14 STATUS)</w:t>
      </w:r>
    </w:p>
    <w:p>
      <w:pPr>
        <w:spacing w:after="120"/>
      </w:pPr>
      <w:r>
        <w:rPr>
          <w:i w:val="0"/>
          <w:color w:val="1A1A2E"/>
          <w:sz w:val="20"/>
        </w:rPr>
        <w:t>Eight dependencies must resolve before May 24. Each is a potential stop-the-launch event. Status as of May 10.</w:t>
      </w:r>
    </w:p>
    <w:tbl>
      <w:tblPr>
        <w:tblStyle w:val="TableGrid"/>
        <w:tblW w:type="auto" w:w="0"/>
        <w:jc w:val="left"/>
        <w:tblLook w:firstColumn="1" w:firstRow="1" w:lastColumn="0" w:lastRow="0" w:noHBand="0" w:noVBand="1" w:val="04A0"/>
      </w:tblPr>
      <w:tblGrid>
        <w:gridCol w:w="432"/>
        <w:gridCol w:w="3600"/>
        <w:gridCol w:w="5328"/>
      </w:tblGrid>
      <w:tr>
        <w:tc>
          <w:tcPr>
            <w:tcW w:type="dxa" w:w="3120"/>
            <w:shd w:val="clear" w:color="auto" w:fill="C0392B"/>
          </w:tcPr>
          <w:p>
            <w:pPr>
              <w:jc w:val="left"/>
            </w:pPr>
            <w:r>
              <w:rPr>
                <w:b/>
                <w:color w:val="FFFFFF"/>
                <w:sz w:val="20"/>
              </w:rPr>
            </w:r>
          </w:p>
        </w:tc>
        <w:tc>
          <w:tcPr>
            <w:tcW w:type="dxa" w:w="3120"/>
            <w:shd w:val="clear" w:color="auto" w:fill="F5F5F5"/>
          </w:tcPr>
          <w:p>
            <w:pPr>
              <w:jc w:val="left"/>
            </w:pPr>
            <w:r>
              <w:rPr>
                <w:b/>
                <w:i w:val="0"/>
                <w:color w:val="1A1A2E"/>
                <w:sz w:val="20"/>
              </w:rPr>
              <w:t>Surgence Contract</w:t>
            </w:r>
          </w:p>
          <w:p>
            <w:r>
              <w:rPr>
                <w:b/>
                <w:color w:val="C0392B"/>
                <w:sz w:val="17"/>
              </w:rPr>
              <w:t>T-0 TODAY</w:t>
            </w:r>
          </w:p>
        </w:tc>
        <w:tc>
          <w:tcPr>
            <w:tcW w:type="dxa" w:w="3120"/>
            <w:shd w:val="clear" w:color="auto" w:fill="FAFAFA"/>
          </w:tcPr>
          <w:p>
            <w:pPr>
              <w:jc w:val="left"/>
            </w:pPr>
            <w:r>
              <w:rPr>
                <w:b w:val="0"/>
                <w:i w:val="0"/>
                <w:color w:val="1A1A2E"/>
                <w:sz w:val="18"/>
              </w:rPr>
              <w:t>Unsigned as of May 10. WhatsApp seeding alone requires 4 weeks of group admin relationship-building. Today is the mathematical last date to sign and still execute community seeding before June 11.</w:t>
            </w:r>
          </w:p>
        </w:tc>
      </w:tr>
    </w:tbl>
    <w:p>
      <w:pPr>
        <w:spacing w:after="40"/>
      </w:pPr>
    </w:p>
    <w:tbl>
      <w:tblPr>
        <w:tblStyle w:val="TableGrid"/>
        <w:tblW w:type="auto" w:w="0"/>
        <w:jc w:val="left"/>
        <w:tblLook w:firstColumn="1" w:firstRow="1" w:lastColumn="0" w:lastRow="0" w:noHBand="0" w:noVBand="1" w:val="04A0"/>
      </w:tblPr>
      <w:tblGrid>
        <w:gridCol w:w="432"/>
        <w:gridCol w:w="3600"/>
        <w:gridCol w:w="5328"/>
      </w:tblGrid>
      <w:tr>
        <w:tc>
          <w:tcPr>
            <w:tcW w:type="dxa" w:w="3120"/>
            <w:shd w:val="clear" w:color="auto" w:fill="C0392B"/>
          </w:tcPr>
          <w:p>
            <w:pPr>
              <w:jc w:val="left"/>
            </w:pPr>
            <w:r>
              <w:rPr>
                <w:b/>
                <w:color w:val="FFFFFF"/>
                <w:sz w:val="20"/>
              </w:rPr>
            </w:r>
          </w:p>
        </w:tc>
        <w:tc>
          <w:tcPr>
            <w:tcW w:type="dxa" w:w="3120"/>
            <w:shd w:val="clear" w:color="auto" w:fill="F5F5F5"/>
          </w:tcPr>
          <w:p>
            <w:pPr>
              <w:jc w:val="left"/>
            </w:pPr>
            <w:r>
              <w:rPr>
                <w:b/>
                <w:i w:val="0"/>
                <w:color w:val="1A1A2E"/>
                <w:sz w:val="20"/>
              </w:rPr>
              <w:t>Brand Identity</w:t>
            </w:r>
          </w:p>
          <w:p>
            <w:r>
              <w:rPr>
                <w:b/>
                <w:color w:val="C0392B"/>
                <w:sz w:val="17"/>
              </w:rPr>
              <w:t>T-0 TODAY</w:t>
            </w:r>
          </w:p>
        </w:tc>
        <w:tc>
          <w:tcPr>
            <w:tcW w:type="dxa" w:w="3120"/>
            <w:shd w:val="clear" w:color="auto" w:fill="FAFAFA"/>
          </w:tcPr>
          <w:p>
            <w:pPr>
              <w:jc w:val="left"/>
            </w:pPr>
            <w:r>
              <w:rPr>
                <w:b w:val="0"/>
                <w:i w:val="0"/>
                <w:color w:val="1A1A2E"/>
                <w:sz w:val="18"/>
              </w:rPr>
              <w:t>Does not exist. Blocks: landing page, press kit, app store assets, creator briefs, all 19 digital surfaces, Country-Edition card artwork, OOH creative. Cannot be done in parallel with Surgence contract — Surgence is likely the delivery vehicle.</w:t>
            </w:r>
          </w:p>
        </w:tc>
      </w:tr>
    </w:tbl>
    <w:p>
      <w:pPr>
        <w:spacing w:after="40"/>
      </w:pPr>
    </w:p>
    <w:tbl>
      <w:tblPr>
        <w:tblStyle w:val="TableGrid"/>
        <w:tblW w:type="auto" w:w="0"/>
        <w:jc w:val="left"/>
        <w:tblLook w:firstColumn="1" w:firstRow="1" w:lastColumn="0" w:lastRow="0" w:noHBand="0" w:noVBand="1" w:val="04A0"/>
      </w:tblPr>
      <w:tblGrid>
        <w:gridCol w:w="432"/>
        <w:gridCol w:w="3600"/>
        <w:gridCol w:w="5328"/>
      </w:tblGrid>
      <w:tr>
        <w:tc>
          <w:tcPr>
            <w:tcW w:type="dxa" w:w="3120"/>
            <w:shd w:val="clear" w:color="auto" w:fill="C0392B"/>
          </w:tcPr>
          <w:p>
            <w:pPr>
              <w:jc w:val="left"/>
            </w:pPr>
            <w:r>
              <w:rPr>
                <w:b/>
                <w:color w:val="FFFFFF"/>
                <w:sz w:val="20"/>
              </w:rPr>
            </w:r>
          </w:p>
        </w:tc>
        <w:tc>
          <w:tcPr>
            <w:tcW w:type="dxa" w:w="3120"/>
            <w:shd w:val="clear" w:color="auto" w:fill="F5F5F5"/>
          </w:tcPr>
          <w:p>
            <w:pPr>
              <w:jc w:val="left"/>
            </w:pPr>
            <w:r>
              <w:rPr>
                <w:b/>
                <w:i w:val="0"/>
                <w:color w:val="1A1A2E"/>
                <w:sz w:val="20"/>
              </w:rPr>
              <w:t>Landing Page / Waitlist</w:t>
            </w:r>
          </w:p>
          <w:p>
            <w:r>
              <w:rPr>
                <w:b/>
                <w:color w:val="C0392B"/>
                <w:sz w:val="17"/>
              </w:rPr>
              <w:t>T-12 DAYS</w:t>
            </w:r>
          </w:p>
        </w:tc>
        <w:tc>
          <w:tcPr>
            <w:tcW w:type="dxa" w:w="3120"/>
            <w:shd w:val="clear" w:color="auto" w:fill="FAFAFA"/>
          </w:tcPr>
          <w:p>
            <w:pPr>
              <w:jc w:val="left"/>
            </w:pPr>
            <w:r>
              <w:rPr>
                <w:b w:val="0"/>
                <w:i w:val="0"/>
                <w:color w:val="1A1A2E"/>
                <w:sz w:val="18"/>
              </w:rPr>
              <w:t>Does not exist. Must be designed, built, mobile-optimized, CRO-tested, and live before May 24. 12 days. No agency appointed.</w:t>
            </w:r>
          </w:p>
        </w:tc>
      </w:tr>
    </w:tbl>
    <w:p>
      <w:pPr>
        <w:spacing w:after="40"/>
      </w:pPr>
    </w:p>
    <w:tbl>
      <w:tblPr>
        <w:tblStyle w:val="TableGrid"/>
        <w:tblW w:type="auto" w:w="0"/>
        <w:jc w:val="left"/>
        <w:tblLook w:firstColumn="1" w:firstRow="1" w:lastColumn="0" w:lastRow="0" w:noHBand="0" w:noVBand="1" w:val="04A0"/>
      </w:tblPr>
      <w:tblGrid>
        <w:gridCol w:w="432"/>
        <w:gridCol w:w="3600"/>
        <w:gridCol w:w="5328"/>
      </w:tblGrid>
      <w:tr>
        <w:tc>
          <w:tcPr>
            <w:tcW w:type="dxa" w:w="3120"/>
            <w:shd w:val="clear" w:color="auto" w:fill="C0392B"/>
          </w:tcPr>
          <w:p>
            <w:pPr>
              <w:jc w:val="left"/>
            </w:pPr>
            <w:r>
              <w:rPr>
                <w:b/>
                <w:color w:val="FFFFFF"/>
                <w:sz w:val="20"/>
              </w:rPr>
            </w:r>
          </w:p>
        </w:tc>
        <w:tc>
          <w:tcPr>
            <w:tcW w:type="dxa" w:w="3120"/>
            <w:shd w:val="clear" w:color="auto" w:fill="F5F5F5"/>
          </w:tcPr>
          <w:p>
            <w:pPr>
              <w:jc w:val="left"/>
            </w:pPr>
            <w:r>
              <w:rPr>
                <w:b/>
                <w:i w:val="0"/>
                <w:color w:val="1A1A2E"/>
                <w:sz w:val="20"/>
              </w:rPr>
              <w:t>App Store Submission</w:t>
            </w:r>
          </w:p>
          <w:p>
            <w:r>
              <w:rPr>
                <w:b/>
                <w:color w:val="C0392B"/>
                <w:sz w:val="17"/>
              </w:rPr>
              <w:t>T-7 DAYS</w:t>
            </w:r>
          </w:p>
        </w:tc>
        <w:tc>
          <w:tcPr>
            <w:tcW w:type="dxa" w:w="3120"/>
            <w:shd w:val="clear" w:color="auto" w:fill="FAFAFA"/>
          </w:tcPr>
          <w:p>
            <w:pPr>
              <w:jc w:val="left"/>
            </w:pPr>
            <w:r>
              <w:rPr>
                <w:b w:val="0"/>
                <w:i w:val="0"/>
                <w:color w:val="1A1A2E"/>
                <w:sz w:val="18"/>
              </w:rPr>
              <w:t>Apple review: 24–72 hours typical, up to 7 days for new financial apps. Submission deadline: May 17. No confirmation submission has been filed.</w:t>
            </w:r>
          </w:p>
        </w:tc>
      </w:tr>
    </w:tbl>
    <w:p>
      <w:pPr>
        <w:spacing w:after="40"/>
      </w:pPr>
    </w:p>
    <w:tbl>
      <w:tblPr>
        <w:tblStyle w:val="TableGrid"/>
        <w:tblW w:type="auto" w:w="0"/>
        <w:jc w:val="left"/>
        <w:tblLook w:firstColumn="1" w:firstRow="1" w:lastColumn="0" w:lastRow="0" w:noHBand="0" w:noVBand="1" w:val="04A0"/>
      </w:tblPr>
      <w:tblGrid>
        <w:gridCol w:w="432"/>
        <w:gridCol w:w="3600"/>
        <w:gridCol w:w="5328"/>
      </w:tblGrid>
      <w:tr>
        <w:tc>
          <w:tcPr>
            <w:tcW w:type="dxa" w:w="3120"/>
            <w:shd w:val="clear" w:color="auto" w:fill="E67E22"/>
          </w:tcPr>
          <w:p>
            <w:pPr>
              <w:jc w:val="left"/>
            </w:pPr>
            <w:r>
              <w:rPr>
                <w:b/>
                <w:color w:val="FFFFFF"/>
                <w:sz w:val="20"/>
              </w:rPr>
            </w:r>
          </w:p>
        </w:tc>
        <w:tc>
          <w:tcPr>
            <w:tcW w:type="dxa" w:w="3120"/>
            <w:shd w:val="clear" w:color="auto" w:fill="F5F5F5"/>
          </w:tcPr>
          <w:p>
            <w:pPr>
              <w:jc w:val="left"/>
            </w:pPr>
            <w:r>
              <w:rPr>
                <w:b/>
                <w:i w:val="0"/>
                <w:color w:val="1A1A2E"/>
                <w:sz w:val="20"/>
              </w:rPr>
              <w:t>OOH Booking</w:t>
            </w:r>
          </w:p>
          <w:p>
            <w:r>
              <w:rPr>
                <w:b/>
                <w:color w:val="E67E22"/>
                <w:sz w:val="17"/>
              </w:rPr>
              <w:t>T-10 DAYS</w:t>
            </w:r>
          </w:p>
        </w:tc>
        <w:tc>
          <w:tcPr>
            <w:tcW w:type="dxa" w:w="3120"/>
            <w:shd w:val="clear" w:color="auto" w:fill="FAFAFA"/>
          </w:tcPr>
          <w:p>
            <w:pPr>
              <w:jc w:val="left"/>
            </w:pPr>
            <w:r>
              <w:rPr>
                <w:b w:val="0"/>
                <w:i w:val="0"/>
                <w:color w:val="1A1A2E"/>
                <w:sz w:val="18"/>
              </w:rPr>
              <w:t>Premium OOH inventory in São Paulo, Mexico City, Buenos Aires, Bogotá locks 6–8 weeks in advance. That window has passed. Remaining inventory is remnant. No agency appointed. Budget not allocated.</w:t>
            </w:r>
          </w:p>
        </w:tc>
      </w:tr>
    </w:tbl>
    <w:p>
      <w:pPr>
        <w:spacing w:after="40"/>
      </w:pPr>
    </w:p>
    <w:tbl>
      <w:tblPr>
        <w:tblStyle w:val="TableGrid"/>
        <w:tblW w:type="auto" w:w="0"/>
        <w:jc w:val="left"/>
        <w:tblLook w:firstColumn="1" w:firstRow="1" w:lastColumn="0" w:lastRow="0" w:noHBand="0" w:noVBand="1" w:val="04A0"/>
      </w:tblPr>
      <w:tblGrid>
        <w:gridCol w:w="432"/>
        <w:gridCol w:w="3600"/>
        <w:gridCol w:w="5328"/>
      </w:tblGrid>
      <w:tr>
        <w:tc>
          <w:tcPr>
            <w:tcW w:type="dxa" w:w="3120"/>
            <w:shd w:val="clear" w:color="auto" w:fill="E67E22"/>
          </w:tcPr>
          <w:p>
            <w:pPr>
              <w:jc w:val="left"/>
            </w:pPr>
            <w:r>
              <w:rPr>
                <w:b/>
                <w:color w:val="FFFFFF"/>
                <w:sz w:val="20"/>
              </w:rPr>
            </w:r>
          </w:p>
        </w:tc>
        <w:tc>
          <w:tcPr>
            <w:tcW w:type="dxa" w:w="3120"/>
            <w:shd w:val="clear" w:color="auto" w:fill="F5F5F5"/>
          </w:tcPr>
          <w:p>
            <w:pPr>
              <w:jc w:val="left"/>
            </w:pPr>
            <w:r>
              <w:rPr>
                <w:b/>
                <w:i w:val="0"/>
                <w:color w:val="1A1A2E"/>
                <w:sz w:val="20"/>
              </w:rPr>
              <w:t>Press Kit / Media Embargo</w:t>
            </w:r>
          </w:p>
          <w:p>
            <w:r>
              <w:rPr>
                <w:b/>
                <w:color w:val="E67E22"/>
                <w:sz w:val="17"/>
              </w:rPr>
              <w:t>T-10 DAYS</w:t>
            </w:r>
          </w:p>
        </w:tc>
        <w:tc>
          <w:tcPr>
            <w:tcW w:type="dxa" w:w="3120"/>
            <w:shd w:val="clear" w:color="auto" w:fill="FAFAFA"/>
          </w:tcPr>
          <w:p>
            <w:pPr>
              <w:jc w:val="left"/>
            </w:pPr>
            <w:r>
              <w:rPr>
                <w:b w:val="0"/>
                <w:i w:val="0"/>
                <w:color w:val="1A1A2E"/>
                <w:sz w:val="18"/>
              </w:rPr>
              <w:t>Press kit due May 20 per internal timeline. Does not exist. No embargo placed with Bloomberg, FT, The Athletic, or any LatAm football media. First media contact should have happened this week.</w:t>
            </w:r>
          </w:p>
        </w:tc>
      </w:tr>
    </w:tbl>
    <w:p>
      <w:pPr>
        <w:spacing w:after="40"/>
      </w:pPr>
    </w:p>
    <w:tbl>
      <w:tblPr>
        <w:tblStyle w:val="TableGrid"/>
        <w:tblW w:type="auto" w:w="0"/>
        <w:jc w:val="left"/>
        <w:tblLook w:firstColumn="1" w:firstRow="1" w:lastColumn="0" w:lastRow="0" w:noHBand="0" w:noVBand="1" w:val="04A0"/>
      </w:tblPr>
      <w:tblGrid>
        <w:gridCol w:w="432"/>
        <w:gridCol w:w="3600"/>
        <w:gridCol w:w="5328"/>
      </w:tblGrid>
      <w:tr>
        <w:tc>
          <w:tcPr>
            <w:tcW w:type="dxa" w:w="3120"/>
            <w:shd w:val="clear" w:color="auto" w:fill="E67E22"/>
          </w:tcPr>
          <w:p>
            <w:pPr>
              <w:jc w:val="left"/>
            </w:pPr>
            <w:r>
              <w:rPr>
                <w:b/>
                <w:color w:val="FFFFFF"/>
                <w:sz w:val="20"/>
              </w:rPr>
            </w:r>
          </w:p>
        </w:tc>
        <w:tc>
          <w:tcPr>
            <w:tcW w:type="dxa" w:w="3120"/>
            <w:shd w:val="clear" w:color="auto" w:fill="F5F5F5"/>
          </w:tcPr>
          <w:p>
            <w:pPr>
              <w:jc w:val="left"/>
            </w:pPr>
            <w:r>
              <w:rPr>
                <w:b/>
                <w:i w:val="0"/>
                <w:color w:val="1A1A2E"/>
                <w:sz w:val="20"/>
              </w:rPr>
              <w:t>FIFA Broadcast Deal</w:t>
            </w:r>
          </w:p>
          <w:p>
            <w:r>
              <w:rPr>
                <w:b/>
                <w:color w:val="E67E22"/>
                <w:sz w:val="17"/>
              </w:rPr>
              <w:t>UNCONFIRMED</w:t>
            </w:r>
          </w:p>
        </w:tc>
        <w:tc>
          <w:tcPr>
            <w:tcW w:type="dxa" w:w="3120"/>
            <w:shd w:val="clear" w:color="auto" w:fill="FAFAFA"/>
          </w:tcPr>
          <w:p>
            <w:pPr>
              <w:jc w:val="left"/>
            </w:pPr>
            <w:r>
              <w:rPr>
                <w:b w:val="0"/>
                <w:i w:val="0"/>
                <w:color w:val="1A1A2E"/>
                <w:sz w:val="18"/>
              </w:rPr>
              <w:t>Listed as a dependency in the plan. No confirmation. Without it, Win Bonus and MOTM Cashback mechanics cannot trigger in real-time — they become manual post-game activations which kills the product moment.</w:t>
            </w:r>
          </w:p>
        </w:tc>
      </w:tr>
    </w:tbl>
    <w:p>
      <w:pPr>
        <w:spacing w:after="40"/>
      </w:pPr>
    </w:p>
    <w:tbl>
      <w:tblPr>
        <w:tblStyle w:val="TableGrid"/>
        <w:tblW w:type="auto" w:w="0"/>
        <w:jc w:val="left"/>
        <w:tblLook w:firstColumn="1" w:firstRow="1" w:lastColumn="0" w:lastRow="0" w:noHBand="0" w:noVBand="1" w:val="04A0"/>
      </w:tblPr>
      <w:tblGrid>
        <w:gridCol w:w="432"/>
        <w:gridCol w:w="3600"/>
        <w:gridCol w:w="5328"/>
      </w:tblGrid>
      <w:tr>
        <w:tc>
          <w:tcPr>
            <w:tcW w:type="dxa" w:w="3120"/>
            <w:shd w:val="clear" w:color="auto" w:fill="E67E22"/>
          </w:tcPr>
          <w:p>
            <w:pPr>
              <w:jc w:val="left"/>
            </w:pPr>
            <w:r>
              <w:rPr>
                <w:b/>
                <w:color w:val="FFFFFF"/>
                <w:sz w:val="20"/>
              </w:rPr>
            </w:r>
          </w:p>
        </w:tc>
        <w:tc>
          <w:tcPr>
            <w:tcW w:type="dxa" w:w="3120"/>
            <w:shd w:val="clear" w:color="auto" w:fill="F5F5F5"/>
          </w:tcPr>
          <w:p>
            <w:pPr>
              <w:jc w:val="left"/>
            </w:pPr>
            <w:r>
              <w:rPr>
                <w:b/>
                <w:i w:val="0"/>
                <w:color w:val="1A1A2E"/>
                <w:sz w:val="20"/>
              </w:rPr>
              <w:t>CRM Data Tier</w:t>
            </w:r>
          </w:p>
          <w:p>
            <w:r>
              <w:rPr>
                <w:b/>
                <w:color w:val="E67E22"/>
                <w:sz w:val="17"/>
              </w:rPr>
              <w:t>UNCONFIRMED</w:t>
            </w:r>
          </w:p>
        </w:tc>
        <w:tc>
          <w:tcPr>
            <w:tcW w:type="dxa" w:w="3120"/>
            <w:shd w:val="clear" w:color="auto" w:fill="FAFAFA"/>
          </w:tcPr>
          <w:p>
            <w:pPr>
              <w:jc w:val="left"/>
            </w:pPr>
            <w:r>
              <w:rPr>
                <w:b w:val="0"/>
                <w:i w:val="0"/>
                <w:color w:val="1A1A2E"/>
                <w:sz w:val="18"/>
              </w:rPr>
              <w:t>Loyalty Dividend requires FCB's historical spend data mapped to fan identities. Data access, privacy compliance (LGPD, LFPDPPP), and API integration not confirmed.</w:t>
            </w:r>
          </w:p>
        </w:tc>
      </w:tr>
    </w:tbl>
    <w:p>
      <w:pPr>
        <w:spacing w:after="40"/>
      </w:pPr>
    </w:p>
    <w:p/>
    <w:p>
      <w:pPr>
        <w:spacing w:before="80" w:after="80"/>
        <w:pBdr>
          <w:bottom w:val="single" w:sz="4" w:space="1" w:color="A50044"/>
        </w:pBdr>
      </w:pPr>
    </w:p>
    <w:p>
      <w:pPr>
        <w:spacing w:before="360" w:after="80"/>
      </w:pPr>
      <w:r>
        <w:rPr>
          <w:b/>
          <w:color w:val="A50044"/>
          <w:sz w:val="32"/>
        </w:rPr>
        <w:t>04  BUDGET &amp; FINANCIAL GAPS</w:t>
      </w:r>
    </w:p>
    <w:p>
      <w:pPr>
        <w:spacing w:after="120"/>
      </w:pPr>
      <w:r>
        <w:rPr>
          <w:i w:val="0"/>
          <w:color w:val="1A1A2E"/>
          <w:sz w:val="20"/>
        </w:rPr>
        <w:t>Only one budget line is committed. Everything else is unallocated or missing.</w:t>
      </w:r>
    </w:p>
    <w:tbl>
      <w:tblPr>
        <w:tblStyle w:val="TableGrid"/>
        <w:tblW w:type="auto" w:w="0"/>
        <w:jc w:val="left"/>
        <w:tblLook w:firstColumn="1" w:firstRow="1" w:lastColumn="0" w:lastRow="0" w:noHBand="0" w:noVBand="1" w:val="04A0"/>
      </w:tblPr>
      <w:tblGrid>
        <w:gridCol w:w="3600"/>
        <w:gridCol w:w="2160"/>
        <w:gridCol w:w="2880"/>
        <w:gridCol w:w="720"/>
      </w:tblGrid>
      <w:tr>
        <w:tc>
          <w:tcPr>
            <w:tcW w:type="dxa" w:w="2340"/>
            <w:shd w:val="clear" w:color="auto" w:fill="1A1A2E"/>
          </w:tcPr>
          <w:p>
            <w:pPr>
              <w:jc w:val="left"/>
            </w:pPr>
            <w:r>
              <w:rPr>
                <w:b/>
                <w:color w:val="FFFFFF"/>
                <w:sz w:val="18"/>
              </w:rPr>
              <w:t>Line Item</w:t>
            </w:r>
          </w:p>
        </w:tc>
        <w:tc>
          <w:tcPr>
            <w:tcW w:type="dxa" w:w="2340"/>
            <w:shd w:val="clear" w:color="auto" w:fill="1A1A2E"/>
          </w:tcPr>
          <w:p>
            <w:pPr>
              <w:jc w:val="left"/>
            </w:pPr>
            <w:r>
              <w:rPr>
                <w:b/>
                <w:color w:val="FFFFFF"/>
                <w:sz w:val="18"/>
              </w:rPr>
              <w:t>Estimated Cost</w:t>
            </w:r>
          </w:p>
        </w:tc>
        <w:tc>
          <w:tcPr>
            <w:tcW w:type="dxa" w:w="2340"/>
            <w:shd w:val="clear" w:color="auto" w:fill="1A1A2E"/>
          </w:tcPr>
          <w:p>
            <w:pPr>
              <w:jc w:val="left"/>
            </w:pPr>
            <w:r>
              <w:rPr>
                <w:b/>
                <w:color w:val="FFFFFF"/>
                <w:sz w:val="18"/>
              </w:rPr>
              <w:t>Notes</w:t>
            </w:r>
          </w:p>
        </w:tc>
        <w:tc>
          <w:tcPr>
            <w:tcW w:type="dxa" w:w="2340"/>
            <w:shd w:val="clear" w:color="auto" w:fill="1A1A2E"/>
          </w:tcPr>
          <w:p>
            <w:pPr>
              <w:jc w:val="left"/>
            </w:pPr>
            <w:r>
              <w:rPr>
                <w:b/>
                <w:color w:val="FFFFFF"/>
                <w:sz w:val="18"/>
              </w:rPr>
            </w:r>
          </w:p>
        </w:tc>
      </w:tr>
      <w:tr>
        <w:tc>
          <w:tcPr>
            <w:tcW w:type="dxa" w:w="3600"/>
            <w:shd w:val="clear" w:color="auto" w:fill="FAFAFA"/>
          </w:tcPr>
          <w:p>
            <w:pPr>
              <w:jc w:val="left"/>
            </w:pPr>
            <w:r>
              <w:rPr>
                <w:b/>
                <w:i w:val="0"/>
                <w:color w:val="1A1A2E"/>
                <w:sz w:val="18"/>
              </w:rPr>
              <w:t>Surgence Phase 1 Retainer</w:t>
            </w:r>
          </w:p>
        </w:tc>
        <w:tc>
          <w:tcPr>
            <w:tcW w:type="dxa" w:w="2160"/>
            <w:shd w:val="clear" w:color="auto" w:fill="FAFAFA"/>
          </w:tcPr>
          <w:p>
            <w:pPr>
              <w:jc w:val="left"/>
            </w:pPr>
            <w:r>
              <w:rPr>
                <w:b w:val="0"/>
                <w:i w:val="0"/>
                <w:color w:val="1A1A2E"/>
                <w:sz w:val="18"/>
              </w:rPr>
              <w:t>$60,000</w:t>
            </w:r>
          </w:p>
        </w:tc>
        <w:tc>
          <w:tcPr>
            <w:tcW w:type="dxa" w:w="2880"/>
            <w:shd w:val="clear" w:color="auto" w:fill="FAFAFA"/>
          </w:tcPr>
          <w:p>
            <w:pPr>
              <w:jc w:val="left"/>
            </w:pPr>
            <w:r>
              <w:rPr>
                <w:b w:val="0"/>
                <w:i w:val="0"/>
                <w:color w:val="6B7280"/>
                <w:sz w:val="18"/>
              </w:rPr>
              <w:t>3 months × $20K</w:t>
            </w:r>
          </w:p>
        </w:tc>
        <w:tc>
          <w:tcPr>
            <w:tcW w:type="dxa" w:w="720"/>
            <w:shd w:val="clear" w:color="auto" w:fill="27AE60"/>
          </w:tcPr>
          <w:p>
            <w:pPr>
              <w:jc w:val="left"/>
            </w:pPr>
            <w:r>
              <w:rPr>
                <w:b/>
                <w:color w:val="FFFFFF"/>
                <w:sz w:val="18"/>
              </w:rPr>
            </w:r>
          </w:p>
        </w:tc>
      </w:tr>
      <w:tr>
        <w:tc>
          <w:tcPr>
            <w:tcW w:type="dxa" w:w="3600"/>
            <w:shd w:val="clear" w:color="auto" w:fill="FAFAFA"/>
          </w:tcPr>
          <w:p>
            <w:pPr>
              <w:jc w:val="left"/>
            </w:pPr>
            <w:r>
              <w:rPr>
                <w:b/>
                <w:i w:val="0"/>
                <w:color w:val="1A1A2E"/>
                <w:sz w:val="18"/>
              </w:rPr>
              <w:t>OOH — 4 LatAm markets</w:t>
            </w:r>
          </w:p>
        </w:tc>
        <w:tc>
          <w:tcPr>
            <w:tcW w:type="dxa" w:w="2160"/>
            <w:shd w:val="clear" w:color="auto" w:fill="FAFAFA"/>
          </w:tcPr>
          <w:p>
            <w:pPr>
              <w:jc w:val="left"/>
            </w:pPr>
            <w:r>
              <w:rPr>
                <w:b w:val="0"/>
                <w:i w:val="0"/>
                <w:color w:val="C0392B"/>
                <w:sz w:val="18"/>
              </w:rPr>
              <w:t>$1,500,000–$3,000,000</w:t>
            </w:r>
          </w:p>
        </w:tc>
        <w:tc>
          <w:tcPr>
            <w:tcW w:type="dxa" w:w="2880"/>
            <w:shd w:val="clear" w:color="auto" w:fill="FAFAFA"/>
          </w:tcPr>
          <w:p>
            <w:pPr>
              <w:jc w:val="left"/>
            </w:pPr>
            <w:r>
              <w:rPr>
                <w:b w:val="0"/>
                <w:i w:val="0"/>
                <w:color w:val="6B7280"/>
                <w:sz w:val="18"/>
              </w:rPr>
              <w:t>Estimated; not allocated</w:t>
            </w:r>
          </w:p>
        </w:tc>
        <w:tc>
          <w:tcPr>
            <w:tcW w:type="dxa" w:w="720"/>
            <w:shd w:val="clear" w:color="auto" w:fill="C0392B"/>
          </w:tcPr>
          <w:p>
            <w:pPr>
              <w:jc w:val="left"/>
            </w:pPr>
            <w:r>
              <w:rPr>
                <w:b/>
                <w:color w:val="FFFFFF"/>
                <w:sz w:val="18"/>
              </w:rPr>
            </w:r>
          </w:p>
        </w:tc>
      </w:tr>
      <w:tr>
        <w:tc>
          <w:tcPr>
            <w:tcW w:type="dxa" w:w="3600"/>
            <w:shd w:val="clear" w:color="auto" w:fill="FAFAFA"/>
          </w:tcPr>
          <w:p>
            <w:pPr>
              <w:jc w:val="left"/>
            </w:pPr>
            <w:r>
              <w:rPr>
                <w:b/>
                <w:i w:val="0"/>
                <w:color w:val="1A1A2E"/>
                <w:sz w:val="18"/>
              </w:rPr>
              <w:t>Paid Media (Meta/Google/TikTok)</w:t>
            </w:r>
          </w:p>
        </w:tc>
        <w:tc>
          <w:tcPr>
            <w:tcW w:type="dxa" w:w="2160"/>
            <w:shd w:val="clear" w:color="auto" w:fill="FAFAFA"/>
          </w:tcPr>
          <w:p>
            <w:pPr>
              <w:jc w:val="left"/>
            </w:pPr>
            <w:r>
              <w:rPr>
                <w:b w:val="0"/>
                <w:i w:val="0"/>
                <w:color w:val="C0392B"/>
                <w:sz w:val="18"/>
              </w:rPr>
              <w:t>TBD</w:t>
            </w:r>
          </w:p>
        </w:tc>
        <w:tc>
          <w:tcPr>
            <w:tcW w:type="dxa" w:w="2880"/>
            <w:shd w:val="clear" w:color="auto" w:fill="FAFAFA"/>
          </w:tcPr>
          <w:p>
            <w:pPr>
              <w:jc w:val="left"/>
            </w:pPr>
            <w:r>
              <w:rPr>
                <w:b w:val="0"/>
                <w:i w:val="0"/>
                <w:color w:val="6B7280"/>
                <w:sz w:val="18"/>
              </w:rPr>
              <w:t>Per plan — literally 'TBD'</w:t>
            </w:r>
          </w:p>
        </w:tc>
        <w:tc>
          <w:tcPr>
            <w:tcW w:type="dxa" w:w="720"/>
            <w:shd w:val="clear" w:color="auto" w:fill="C0392B"/>
          </w:tcPr>
          <w:p>
            <w:pPr>
              <w:jc w:val="left"/>
            </w:pPr>
            <w:r>
              <w:rPr>
                <w:b/>
                <w:color w:val="FFFFFF"/>
                <w:sz w:val="18"/>
              </w:rPr>
            </w:r>
          </w:p>
        </w:tc>
      </w:tr>
      <w:tr>
        <w:tc>
          <w:tcPr>
            <w:tcW w:type="dxa" w:w="3600"/>
            <w:shd w:val="clear" w:color="auto" w:fill="FAFAFA"/>
          </w:tcPr>
          <w:p>
            <w:pPr>
              <w:jc w:val="left"/>
            </w:pPr>
            <w:r>
              <w:rPr>
                <w:b/>
                <w:i w:val="0"/>
                <w:color w:val="1A1A2E"/>
                <w:sz w:val="18"/>
              </w:rPr>
              <w:t>Creator Program (180 creators)</w:t>
            </w:r>
          </w:p>
        </w:tc>
        <w:tc>
          <w:tcPr>
            <w:tcW w:type="dxa" w:w="2160"/>
            <w:shd w:val="clear" w:color="auto" w:fill="FAFAFA"/>
          </w:tcPr>
          <w:p>
            <w:pPr>
              <w:jc w:val="left"/>
            </w:pPr>
            <w:r>
              <w:rPr>
                <w:b w:val="0"/>
                <w:i w:val="0"/>
                <w:color w:val="C0392B"/>
                <w:sz w:val="18"/>
              </w:rPr>
              <w:t>$180,000–$540,000</w:t>
            </w:r>
          </w:p>
        </w:tc>
        <w:tc>
          <w:tcPr>
            <w:tcW w:type="dxa" w:w="2880"/>
            <w:shd w:val="clear" w:color="auto" w:fill="FAFAFA"/>
          </w:tcPr>
          <w:p>
            <w:pPr>
              <w:jc w:val="left"/>
            </w:pPr>
            <w:r>
              <w:rPr>
                <w:b w:val="0"/>
                <w:i w:val="0"/>
                <w:color w:val="6B7280"/>
                <w:sz w:val="18"/>
              </w:rPr>
              <w:t>@$1K–$3K per creator</w:t>
            </w:r>
          </w:p>
        </w:tc>
        <w:tc>
          <w:tcPr>
            <w:tcW w:type="dxa" w:w="720"/>
            <w:shd w:val="clear" w:color="auto" w:fill="C0392B"/>
          </w:tcPr>
          <w:p>
            <w:pPr>
              <w:jc w:val="left"/>
            </w:pPr>
            <w:r>
              <w:rPr>
                <w:b/>
                <w:color w:val="FFFFFF"/>
                <w:sz w:val="18"/>
              </w:rPr>
            </w:r>
          </w:p>
        </w:tc>
      </w:tr>
      <w:tr>
        <w:tc>
          <w:tcPr>
            <w:tcW w:type="dxa" w:w="3600"/>
            <w:shd w:val="clear" w:color="auto" w:fill="FAFAFA"/>
          </w:tcPr>
          <w:p>
            <w:pPr>
              <w:jc w:val="left"/>
            </w:pPr>
            <w:r>
              <w:rPr>
                <w:b/>
                <w:i w:val="0"/>
                <w:color w:val="1A1A2E"/>
                <w:sz w:val="18"/>
              </w:rPr>
              <w:t>Press / PR Agency</w:t>
            </w:r>
          </w:p>
        </w:tc>
        <w:tc>
          <w:tcPr>
            <w:tcW w:type="dxa" w:w="2160"/>
            <w:shd w:val="clear" w:color="auto" w:fill="FAFAFA"/>
          </w:tcPr>
          <w:p>
            <w:pPr>
              <w:jc w:val="left"/>
            </w:pPr>
            <w:r>
              <w:rPr>
                <w:b w:val="0"/>
                <w:i w:val="0"/>
                <w:color w:val="C0392B"/>
                <w:sz w:val="18"/>
              </w:rPr>
              <w:t>Unknown</w:t>
            </w:r>
          </w:p>
        </w:tc>
        <w:tc>
          <w:tcPr>
            <w:tcW w:type="dxa" w:w="2880"/>
            <w:shd w:val="clear" w:color="auto" w:fill="FAFAFA"/>
          </w:tcPr>
          <w:p>
            <w:pPr>
              <w:jc w:val="left"/>
            </w:pPr>
            <w:r>
              <w:rPr>
                <w:b w:val="0"/>
                <w:i w:val="0"/>
                <w:color w:val="6B7280"/>
                <w:sz w:val="18"/>
              </w:rPr>
              <w:t>No agency appointed</w:t>
            </w:r>
          </w:p>
        </w:tc>
        <w:tc>
          <w:tcPr>
            <w:tcW w:type="dxa" w:w="720"/>
            <w:shd w:val="clear" w:color="auto" w:fill="C0392B"/>
          </w:tcPr>
          <w:p>
            <w:pPr>
              <w:jc w:val="left"/>
            </w:pPr>
            <w:r>
              <w:rPr>
                <w:b/>
                <w:color w:val="FFFFFF"/>
                <w:sz w:val="18"/>
              </w:rPr>
            </w:r>
          </w:p>
        </w:tc>
      </w:tr>
      <w:tr>
        <w:tc>
          <w:tcPr>
            <w:tcW w:type="dxa" w:w="3600"/>
            <w:shd w:val="clear" w:color="auto" w:fill="FAFAFA"/>
          </w:tcPr>
          <w:p>
            <w:pPr>
              <w:jc w:val="left"/>
            </w:pPr>
            <w:r>
              <w:rPr>
                <w:b/>
                <w:i w:val="0"/>
                <w:color w:val="1A1A2E"/>
                <w:sz w:val="18"/>
              </w:rPr>
              <w:t>App Development (if needed)</w:t>
            </w:r>
          </w:p>
        </w:tc>
        <w:tc>
          <w:tcPr>
            <w:tcW w:type="dxa" w:w="2160"/>
            <w:shd w:val="clear" w:color="auto" w:fill="FAFAFA"/>
          </w:tcPr>
          <w:p>
            <w:pPr>
              <w:jc w:val="left"/>
            </w:pPr>
            <w:r>
              <w:rPr>
                <w:b w:val="0"/>
                <w:i w:val="0"/>
                <w:color w:val="1A1A2E"/>
                <w:sz w:val="18"/>
              </w:rPr>
              <w:t>Unknown</w:t>
            </w:r>
          </w:p>
        </w:tc>
        <w:tc>
          <w:tcPr>
            <w:tcW w:type="dxa" w:w="2880"/>
            <w:shd w:val="clear" w:color="auto" w:fill="FAFAFA"/>
          </w:tcPr>
          <w:p>
            <w:pPr>
              <w:jc w:val="left"/>
            </w:pPr>
            <w:r>
              <w:rPr>
                <w:b w:val="0"/>
                <w:i w:val="0"/>
                <w:color w:val="6B7280"/>
                <w:sz w:val="18"/>
              </w:rPr>
              <w:t>Depends on product readiness</w:t>
            </w:r>
          </w:p>
        </w:tc>
        <w:tc>
          <w:tcPr>
            <w:tcW w:type="dxa" w:w="720"/>
            <w:shd w:val="clear" w:color="auto" w:fill="E67E22"/>
          </w:tcPr>
          <w:p>
            <w:pPr>
              <w:jc w:val="left"/>
            </w:pPr>
            <w:r>
              <w:rPr>
                <w:b/>
                <w:color w:val="FFFFFF"/>
                <w:sz w:val="18"/>
              </w:rPr>
            </w:r>
          </w:p>
        </w:tc>
      </w:tr>
      <w:tr>
        <w:tc>
          <w:tcPr>
            <w:tcW w:type="dxa" w:w="3600"/>
            <w:shd w:val="clear" w:color="auto" w:fill="FAFAFA"/>
          </w:tcPr>
          <w:p>
            <w:pPr>
              <w:jc w:val="left"/>
            </w:pPr>
            <w:r>
              <w:rPr>
                <w:b/>
                <w:i w:val="0"/>
                <w:color w:val="1A1A2E"/>
                <w:sz w:val="18"/>
              </w:rPr>
              <w:t>Customer Support Staffing</w:t>
            </w:r>
          </w:p>
        </w:tc>
        <w:tc>
          <w:tcPr>
            <w:tcW w:type="dxa" w:w="2160"/>
            <w:shd w:val="clear" w:color="auto" w:fill="FAFAFA"/>
          </w:tcPr>
          <w:p>
            <w:pPr>
              <w:jc w:val="left"/>
            </w:pPr>
            <w:r>
              <w:rPr>
                <w:b w:val="0"/>
                <w:i w:val="0"/>
                <w:color w:val="1A1A2E"/>
                <w:sz w:val="18"/>
              </w:rPr>
              <w:t>Unknown</w:t>
            </w:r>
          </w:p>
        </w:tc>
        <w:tc>
          <w:tcPr>
            <w:tcW w:type="dxa" w:w="2880"/>
            <w:shd w:val="clear" w:color="auto" w:fill="FAFAFA"/>
          </w:tcPr>
          <w:p>
            <w:pPr>
              <w:jc w:val="left"/>
            </w:pPr>
            <w:r>
              <w:rPr>
                <w:b w:val="0"/>
                <w:i w:val="0"/>
                <w:color w:val="6B7280"/>
                <w:sz w:val="18"/>
              </w:rPr>
              <w:t>No owner; 300K day-1 projection</w:t>
            </w:r>
          </w:p>
        </w:tc>
        <w:tc>
          <w:tcPr>
            <w:tcW w:type="dxa" w:w="720"/>
            <w:shd w:val="clear" w:color="auto" w:fill="E67E22"/>
          </w:tcPr>
          <w:p>
            <w:pPr>
              <w:jc w:val="left"/>
            </w:pPr>
            <w:r>
              <w:rPr>
                <w:b/>
                <w:color w:val="FFFFFF"/>
                <w:sz w:val="18"/>
              </w:rPr>
            </w:r>
          </w:p>
        </w:tc>
      </w:tr>
      <w:tr>
        <w:tc>
          <w:tcPr>
            <w:tcW w:type="dxa" w:w="3600"/>
            <w:shd w:val="clear" w:color="auto" w:fill="FAFAFA"/>
          </w:tcPr>
          <w:p>
            <w:pPr>
              <w:jc w:val="left"/>
            </w:pPr>
            <w:r>
              <w:rPr>
                <w:b/>
                <w:i w:val="0"/>
                <w:color w:val="1A1A2E"/>
                <w:sz w:val="18"/>
              </w:rPr>
              <w:t>Surgence Phase 2 (TGE)</w:t>
            </w:r>
          </w:p>
        </w:tc>
        <w:tc>
          <w:tcPr>
            <w:tcW w:type="dxa" w:w="2160"/>
            <w:shd w:val="clear" w:color="auto" w:fill="FAFAFA"/>
          </w:tcPr>
          <w:p>
            <w:pPr>
              <w:jc w:val="left"/>
            </w:pPr>
            <w:r>
              <w:rPr>
                <w:b w:val="0"/>
                <w:i w:val="0"/>
                <w:color w:val="1A1A2E"/>
                <w:sz w:val="18"/>
              </w:rPr>
              <w:t>$100,000 + 0.15% $FCB</w:t>
            </w:r>
          </w:p>
        </w:tc>
        <w:tc>
          <w:tcPr>
            <w:tcW w:type="dxa" w:w="2880"/>
            <w:shd w:val="clear" w:color="auto" w:fill="FAFAFA"/>
          </w:tcPr>
          <w:p>
            <w:pPr>
              <w:jc w:val="left"/>
            </w:pPr>
            <w:r>
              <w:rPr>
                <w:b w:val="0"/>
                <w:i w:val="0"/>
                <w:color w:val="6B7280"/>
                <w:sz w:val="18"/>
              </w:rPr>
              <w:t>4 months × $25K + token</w:t>
            </w:r>
          </w:p>
        </w:tc>
        <w:tc>
          <w:tcPr>
            <w:tcW w:type="dxa" w:w="720"/>
            <w:shd w:val="clear" w:color="auto" w:fill="6B7280"/>
          </w:tcPr>
          <w:p>
            <w:pPr>
              <w:jc w:val="left"/>
            </w:pPr>
            <w:r>
              <w:rPr>
                <w:b/>
                <w:color w:val="FFFFFF"/>
                <w:sz w:val="18"/>
              </w:rPr>
            </w:r>
          </w:p>
        </w:tc>
      </w:tr>
    </w:tbl>
    <w:p/>
    <w:p>
      <w:pPr>
        <w:spacing w:after="120"/>
      </w:pPr>
      <w:r>
        <w:rPr>
          <w:i w:val="0"/>
          <w:color w:val="C0392B"/>
          <w:sz w:val="19"/>
        </w:rPr>
        <w:t>Waitlist math check: Plan targets 750K waitlist → 250–320K downloads → 90–115K activated cards. Organic-only (owned FCB channels, no paid media) yields approximately 25,000 signups based on comparable neobank launches. The 750K target requires significant paid media investment that has not been modeled, budgeted, or assigned. CAC by market (Brazil vs. Mexico vs. Argentina vs. Colombia) is not in the document.</w:t>
      </w:r>
    </w:p>
    <w:p/>
    <w:p>
      <w:pPr>
        <w:spacing w:before="80" w:after="80"/>
        <w:pBdr>
          <w:bottom w:val="single" w:sz="4" w:space="1" w:color="A50044"/>
        </w:pBdr>
      </w:pPr>
    </w:p>
    <w:p>
      <w:pPr>
        <w:spacing w:before="360" w:after="80"/>
      </w:pPr>
      <w:r>
        <w:rPr>
          <w:b/>
          <w:color w:val="A50044"/>
          <w:sz w:val="32"/>
        </w:rPr>
        <w:t>05  INTERNAL CONTRADICTIONS</w:t>
      </w:r>
    </w:p>
    <w:p>
      <w:pPr>
        <w:spacing w:after="120"/>
      </w:pPr>
      <w:r>
        <w:rPr>
          <w:i w:val="0"/>
          <w:color w:val="1A1A2E"/>
          <w:sz w:val="20"/>
        </w:rPr>
        <w:t>Six places where the document contradicts itself. These are not editorial inconsistencies — each one is a decision that has been made twice with different outcomes.</w:t>
      </w:r>
    </w:p>
    <w:tbl>
      <w:tblPr>
        <w:tblStyle w:val="TableGrid"/>
        <w:tblW w:type="auto" w:w="0"/>
        <w:jc w:val="left"/>
        <w:tblLook w:firstColumn="1" w:firstRow="1" w:lastColumn="0" w:lastRow="0" w:noHBand="0" w:noVBand="1" w:val="04A0"/>
      </w:tblPr>
      <w:tblGrid>
        <w:gridCol w:w="576"/>
        <w:gridCol w:w="8784"/>
      </w:tblGrid>
      <w:tr>
        <w:tc>
          <w:tcPr>
            <w:tcW w:type="dxa" w:w="4680"/>
            <w:shd w:val="clear" w:color="auto" w:fill="C0392B"/>
          </w:tcPr>
          <w:p>
            <w:pPr>
              <w:jc w:val="center"/>
            </w:pPr>
            <w:r>
              <w:rPr>
                <w:b/>
                <w:color w:val="FFFFFF"/>
                <w:sz w:val="26"/>
              </w:rPr>
              <w:t>1</w:t>
            </w:r>
          </w:p>
        </w:tc>
        <w:tc>
          <w:tcPr>
            <w:tcW w:type="dxa" w:w="4680"/>
            <w:shd w:val="clear" w:color="auto" w:fill="FAFAFA"/>
          </w:tcPr>
          <w:p>
            <w:pPr>
              <w:spacing w:before="80"/>
            </w:pPr>
            <w:r>
              <w:rPr>
                <w:b/>
                <w:color w:val="1A1A2E"/>
                <w:sz w:val="20"/>
              </w:rPr>
              <w:t>Brand Voice: Grievance vs. Celebration</w:t>
            </w:r>
          </w:p>
          <w:p>
            <w:pPr>
              <w:spacing w:after="120"/>
            </w:pPr>
            <w:r>
              <w:rPr>
                <w:color w:val="6B7280"/>
                <w:sz w:val="18"/>
              </w:rPr>
              <w:t>The Loyalty Dividend is introduced with 'the club has taken from fans their whole lives; now it gives back.' Andrew's correction explicitly bans grievance framing and requires celebration framing: 'Your culer life, rewarded.' Both framings appear in the same document. The brand line for the single highest-impact mechanic is unresolved.</w:t>
            </w:r>
          </w:p>
        </w:tc>
      </w:tr>
    </w:tbl>
    <w:p>
      <w:pPr>
        <w:spacing w:after="40"/>
      </w:pPr>
    </w:p>
    <w:tbl>
      <w:tblPr>
        <w:tblStyle w:val="TableGrid"/>
        <w:tblW w:type="auto" w:w="0"/>
        <w:jc w:val="left"/>
        <w:tblLook w:firstColumn="1" w:firstRow="1" w:lastColumn="0" w:lastRow="0" w:noHBand="0" w:noVBand="1" w:val="04A0"/>
      </w:tblPr>
      <w:tblGrid>
        <w:gridCol w:w="576"/>
        <w:gridCol w:w="8784"/>
      </w:tblGrid>
      <w:tr>
        <w:tc>
          <w:tcPr>
            <w:tcW w:type="dxa" w:w="4680"/>
            <w:shd w:val="clear" w:color="auto" w:fill="C0392B"/>
          </w:tcPr>
          <w:p>
            <w:pPr>
              <w:jc w:val="center"/>
            </w:pPr>
            <w:r>
              <w:rPr>
                <w:b/>
                <w:color w:val="FFFFFF"/>
                <w:sz w:val="26"/>
              </w:rPr>
              <w:t>2</w:t>
            </w:r>
          </w:p>
        </w:tc>
        <w:tc>
          <w:tcPr>
            <w:tcW w:type="dxa" w:w="4680"/>
            <w:shd w:val="clear" w:color="auto" w:fill="FAFAFA"/>
          </w:tcPr>
          <w:p>
            <w:pPr>
              <w:spacing w:before="80"/>
            </w:pPr>
            <w:r>
              <w:rPr>
                <w:b/>
                <w:color w:val="1A1A2E"/>
                <w:sz w:val="20"/>
              </w:rPr>
              <w:t>Waitlist Math Doesn't Close</w:t>
            </w:r>
          </w:p>
          <w:p>
            <w:pPr>
              <w:spacing w:after="120"/>
            </w:pPr>
            <w:r>
              <w:rPr>
                <w:color w:val="6B7280"/>
                <w:sz w:val="18"/>
              </w:rPr>
              <w:t>Plan targets 90–115K activated cards. The document's own funnel math (engagement rate × conversion rate × activation rate applied to FCB's owned audience base) yields approximately 63K — a 30–45% shortfall. The gap is paid media, which is 'TBD'.</w:t>
            </w:r>
          </w:p>
        </w:tc>
      </w:tr>
    </w:tbl>
    <w:p>
      <w:pPr>
        <w:spacing w:after="40"/>
      </w:pPr>
    </w:p>
    <w:tbl>
      <w:tblPr>
        <w:tblStyle w:val="TableGrid"/>
        <w:tblW w:type="auto" w:w="0"/>
        <w:jc w:val="left"/>
        <w:tblLook w:firstColumn="1" w:firstRow="1" w:lastColumn="0" w:lastRow="0" w:noHBand="0" w:noVBand="1" w:val="04A0"/>
      </w:tblPr>
      <w:tblGrid>
        <w:gridCol w:w="576"/>
        <w:gridCol w:w="8784"/>
      </w:tblGrid>
      <w:tr>
        <w:tc>
          <w:tcPr>
            <w:tcW w:type="dxa" w:w="4680"/>
            <w:shd w:val="clear" w:color="auto" w:fill="C0392B"/>
          </w:tcPr>
          <w:p>
            <w:pPr>
              <w:jc w:val="center"/>
            </w:pPr>
            <w:r>
              <w:rPr>
                <w:b/>
                <w:color w:val="FFFFFF"/>
                <w:sz w:val="26"/>
              </w:rPr>
              <w:t>3</w:t>
            </w:r>
          </w:p>
        </w:tc>
        <w:tc>
          <w:tcPr>
            <w:tcW w:type="dxa" w:w="4680"/>
            <w:shd w:val="clear" w:color="auto" w:fill="FAFAFA"/>
          </w:tcPr>
          <w:p>
            <w:pPr>
              <w:spacing w:before="80"/>
            </w:pPr>
            <w:r>
              <w:rPr>
                <w:b/>
                <w:color w:val="1A1A2E"/>
                <w:sz w:val="20"/>
              </w:rPr>
              <w:t>Surgence Scope: Confirmed vs. Pending</w:t>
            </w:r>
          </w:p>
          <w:p>
            <w:pPr>
              <w:spacing w:after="120"/>
            </w:pPr>
            <w:r>
              <w:rPr>
                <w:color w:val="6B7280"/>
                <w:sz w:val="18"/>
              </w:rPr>
              <w:t>The scope mapping table marks Surgence deliverables as 'confirmed.' The contract section states the agreement is 'pending signature.' These cannot both be true. Deliverables are not confirmed until the contract is signed.</w:t>
            </w:r>
          </w:p>
        </w:tc>
      </w:tr>
    </w:tbl>
    <w:p>
      <w:pPr>
        <w:spacing w:after="40"/>
      </w:pPr>
    </w:p>
    <w:tbl>
      <w:tblPr>
        <w:tblStyle w:val="TableGrid"/>
        <w:tblW w:type="auto" w:w="0"/>
        <w:jc w:val="left"/>
        <w:tblLook w:firstColumn="1" w:firstRow="1" w:lastColumn="0" w:lastRow="0" w:noHBand="0" w:noVBand="1" w:val="04A0"/>
      </w:tblPr>
      <w:tblGrid>
        <w:gridCol w:w="576"/>
        <w:gridCol w:w="8784"/>
      </w:tblGrid>
      <w:tr>
        <w:tc>
          <w:tcPr>
            <w:tcW w:type="dxa" w:w="4680"/>
            <w:shd w:val="clear" w:color="auto" w:fill="E67E22"/>
          </w:tcPr>
          <w:p>
            <w:pPr>
              <w:jc w:val="center"/>
            </w:pPr>
            <w:r>
              <w:rPr>
                <w:b/>
                <w:color w:val="FFFFFF"/>
                <w:sz w:val="26"/>
              </w:rPr>
              <w:t>4</w:t>
            </w:r>
          </w:p>
        </w:tc>
        <w:tc>
          <w:tcPr>
            <w:tcW w:type="dxa" w:w="4680"/>
            <w:shd w:val="clear" w:color="auto" w:fill="FAFAFA"/>
          </w:tcPr>
          <w:p>
            <w:pPr>
              <w:spacing w:before="80"/>
            </w:pPr>
            <w:r>
              <w:rPr>
                <w:b/>
                <w:color w:val="1A1A2E"/>
                <w:sz w:val="20"/>
              </w:rPr>
              <w:t>Phase 1 Web2-Only vs. Surgence Web3 Entity</w:t>
            </w:r>
          </w:p>
          <w:p>
            <w:pPr>
              <w:spacing w:after="120"/>
            </w:pPr>
            <w:r>
              <w:rPr>
                <w:color w:val="6B7280"/>
                <w:sz w:val="18"/>
              </w:rPr>
              <w:t>Phase 1 is explicitly 100% Web2 — no token language, no CT seeding, no Web3 channels. The Surgence entity decision (which legal structure Surgence uses to receive payment) is listed as a critical dependency. If Surgence's entity structure is crypto-native, there is a Phase 1 compliance exposure.</w:t>
            </w:r>
          </w:p>
        </w:tc>
      </w:tr>
    </w:tbl>
    <w:p>
      <w:pPr>
        <w:spacing w:after="40"/>
      </w:pPr>
    </w:p>
    <w:tbl>
      <w:tblPr>
        <w:tblStyle w:val="TableGrid"/>
        <w:tblW w:type="auto" w:w="0"/>
        <w:jc w:val="left"/>
        <w:tblLook w:firstColumn="1" w:firstRow="1" w:lastColumn="0" w:lastRow="0" w:noHBand="0" w:noVBand="1" w:val="04A0"/>
      </w:tblPr>
      <w:tblGrid>
        <w:gridCol w:w="576"/>
        <w:gridCol w:w="8784"/>
      </w:tblGrid>
      <w:tr>
        <w:tc>
          <w:tcPr>
            <w:tcW w:type="dxa" w:w="4680"/>
            <w:shd w:val="clear" w:color="auto" w:fill="E67E22"/>
          </w:tcPr>
          <w:p>
            <w:pPr>
              <w:jc w:val="center"/>
            </w:pPr>
            <w:r>
              <w:rPr>
                <w:b/>
                <w:color w:val="FFFFFF"/>
                <w:sz w:val="26"/>
              </w:rPr>
              <w:t>5</w:t>
            </w:r>
          </w:p>
        </w:tc>
        <w:tc>
          <w:tcPr>
            <w:tcW w:type="dxa" w:w="4680"/>
            <w:shd w:val="clear" w:color="auto" w:fill="FAFAFA"/>
          </w:tcPr>
          <w:p>
            <w:pPr>
              <w:spacing w:before="80"/>
            </w:pPr>
            <w:r>
              <w:rPr>
                <w:b/>
                <w:color w:val="1A1A2E"/>
                <w:sz w:val="20"/>
              </w:rPr>
              <w:t>Creator Program: 180 Creators vs. No Legal Framework</w:t>
            </w:r>
          </w:p>
          <w:p>
            <w:pPr>
              <w:spacing w:after="120"/>
            </w:pPr>
            <w:r>
              <w:rPr>
                <w:color w:val="6B7280"/>
                <w:sz w:val="18"/>
              </w:rPr>
              <w:t>The plan specifies 180 creators across 4 markets. Financial advertising requires FTC/ASA/CONAR disclosures in all 4 markets. No compliance framework, no creator brief template, no disclosure language exists in the document. The 180-creator program cannot launch without it.</w:t>
            </w:r>
          </w:p>
        </w:tc>
      </w:tr>
    </w:tbl>
    <w:p>
      <w:pPr>
        <w:spacing w:after="40"/>
      </w:pPr>
    </w:p>
    <w:tbl>
      <w:tblPr>
        <w:tblStyle w:val="TableGrid"/>
        <w:tblW w:type="auto" w:w="0"/>
        <w:jc w:val="left"/>
        <w:tblLook w:firstColumn="1" w:firstRow="1" w:lastColumn="0" w:lastRow="0" w:noHBand="0" w:noVBand="1" w:val="04A0"/>
      </w:tblPr>
      <w:tblGrid>
        <w:gridCol w:w="576"/>
        <w:gridCol w:w="8784"/>
      </w:tblGrid>
      <w:tr>
        <w:tc>
          <w:tcPr>
            <w:tcW w:type="dxa" w:w="4680"/>
            <w:shd w:val="clear" w:color="auto" w:fill="E67E22"/>
          </w:tcPr>
          <w:p>
            <w:pPr>
              <w:jc w:val="center"/>
            </w:pPr>
            <w:r>
              <w:rPr>
                <w:b/>
                <w:color w:val="FFFFFF"/>
                <w:sz w:val="26"/>
              </w:rPr>
              <w:t>6</w:t>
            </w:r>
          </w:p>
        </w:tc>
        <w:tc>
          <w:tcPr>
            <w:tcW w:type="dxa" w:w="4680"/>
            <w:shd w:val="clear" w:color="auto" w:fill="FAFAFA"/>
          </w:tcPr>
          <w:p>
            <w:pPr>
              <w:spacing w:before="80"/>
            </w:pPr>
            <w:r>
              <w:rPr>
                <w:b/>
                <w:color w:val="1A1A2E"/>
                <w:sz w:val="20"/>
              </w:rPr>
              <w:t>Country-Edition Cards: 5K Units vs. Pre-Order May 24</w:t>
            </w:r>
          </w:p>
          <w:p>
            <w:pPr>
              <w:spacing w:after="120"/>
            </w:pPr>
            <w:r>
              <w:rPr>
                <w:color w:val="6B7280"/>
                <w:sz w:val="18"/>
              </w:rPr>
              <w:t>Pre-order opens May 24. 5,000 units per country = 20,000 total. No manufacturing lead time, fulfillment partner, or shipping logistics are addressed. For physical cards, 20K units requires 8–12 weeks minimum from artwork approval to delivery. Artwork does not yet exist.</w:t>
            </w:r>
          </w:p>
        </w:tc>
      </w:tr>
    </w:tbl>
    <w:p>
      <w:pPr>
        <w:spacing w:after="40"/>
      </w:pPr>
    </w:p>
    <w:p/>
    <w:p>
      <w:pPr>
        <w:spacing w:before="80" w:after="80"/>
        <w:pBdr>
          <w:bottom w:val="single" w:sz="4" w:space="1" w:color="A50044"/>
        </w:pBdr>
      </w:pPr>
    </w:p>
    <w:p>
      <w:pPr>
        <w:spacing w:before="360" w:after="80"/>
      </w:pPr>
      <w:r>
        <w:rPr>
          <w:b/>
          <w:color w:val="A50044"/>
          <w:sz w:val="32"/>
        </w:rPr>
        <w:t>06  UNVALIDATED ASSUMPTIONS</w:t>
      </w:r>
    </w:p>
    <w:p>
      <w:pPr>
        <w:spacing w:after="120"/>
      </w:pPr>
      <w:r>
        <w:rPr>
          <w:i w:val="0"/>
          <w:color w:val="1A1A2E"/>
          <w:sz w:val="20"/>
        </w:rPr>
        <w:t>Eight assumptions embedded in the plan that have not been confirmed and carry material launch risk.</w:t>
      </w:r>
    </w:p>
    <w:p>
      <w:pPr>
        <w:spacing w:before="80" w:after="20"/>
      </w:pPr>
      <w:r>
        <w:rPr>
          <w:b/>
          <w:color w:val="A50044"/>
          <w:sz w:val="20"/>
        </w:rPr>
        <w:t>A1  FCB will grant data access for Loyalty Dividend</w:t>
      </w:r>
    </w:p>
    <w:p>
      <w:pPr>
        <w:spacing w:after="160"/>
      </w:pPr>
      <w:r>
        <w:rPr>
          <w:color w:val="6B7280"/>
          <w:sz w:val="18"/>
        </w:rPr>
        <w:t>The Loyalty Dividend requires historical spend data mapped to fan identities. FCB's data licensing, LGPD compliance (Brazil), LFPDPPP compliance (Mexico), and API integration are all unconfirmed. If this data doesn't transfer cleanly, the single highest-shareability mechanic fails.</w:t>
      </w:r>
    </w:p>
    <w:p>
      <w:pPr>
        <w:spacing w:before="80" w:after="20"/>
      </w:pPr>
      <w:r>
        <w:rPr>
          <w:b/>
          <w:color w:val="A50044"/>
          <w:sz w:val="20"/>
        </w:rPr>
        <w:t>A2  800M global fans = high conversion pool</w:t>
      </w:r>
    </w:p>
    <w:p>
      <w:pPr>
        <w:spacing w:after="160"/>
      </w:pPr>
      <w:r>
        <w:rPr>
          <w:color w:val="6B7280"/>
          <w:sz w:val="18"/>
        </w:rPr>
        <w:t>FCB has 800M fans globally. The plan's LatAm-first focus addresses approximately 15–20% of that base. The assumption that LatAm fans convert at the same rate as European fans is not modeled. LatAm has significantly higher unbanked rates AND higher neobank saturation (Nubank has 105M customers in Brazil alone).</w:t>
      </w:r>
    </w:p>
    <w:p>
      <w:pPr>
        <w:spacing w:before="80" w:after="20"/>
      </w:pPr>
      <w:r>
        <w:rPr>
          <w:b/>
          <w:color w:val="A50044"/>
          <w:sz w:val="20"/>
        </w:rPr>
        <w:t>A3  FIFA broadcast deal closes before June 11</w:t>
      </w:r>
    </w:p>
    <w:p>
      <w:pPr>
        <w:spacing w:after="160"/>
      </w:pPr>
      <w:r>
        <w:rPr>
          <w:color w:val="6B7280"/>
          <w:sz w:val="18"/>
        </w:rPr>
        <w:t>MOTM Cashback and Win Bonus require real-time match data integration. Without the broadcast deal, these become manual post-game activations — which turns a product moment into a customer service event.</w:t>
      </w:r>
    </w:p>
    <w:p>
      <w:pPr>
        <w:spacing w:before="80" w:after="20"/>
      </w:pPr>
      <w:r>
        <w:rPr>
          <w:b/>
          <w:color w:val="A50044"/>
          <w:sz w:val="20"/>
        </w:rPr>
        <w:t>A4  30 Facebook group admins will cooperate</w:t>
      </w:r>
    </w:p>
    <w:p>
      <w:pPr>
        <w:spacing w:after="160"/>
      </w:pPr>
      <w:r>
        <w:rPr>
          <w:color w:val="6B7280"/>
          <w:sz w:val="18"/>
        </w:rPr>
        <w:t>The plan assumes 30 Facebook group admins across LatAm and MENA will seed content organically. No relationship-building timeline, no compensation structure, and no admin vetting framework exists in the document.</w:t>
      </w:r>
    </w:p>
    <w:p>
      <w:pPr>
        <w:spacing w:before="80" w:after="20"/>
      </w:pPr>
      <w:r>
        <w:rPr>
          <w:b/>
          <w:color w:val="A50044"/>
          <w:sz w:val="20"/>
        </w:rPr>
        <w:t>A5  App will be approved in 4 target markets by June 11</w:t>
      </w:r>
    </w:p>
    <w:p>
      <w:pPr>
        <w:spacing w:after="160"/>
      </w:pPr>
      <w:r>
        <w:rPr>
          <w:color w:val="6B7280"/>
          <w:sz w:val="18"/>
        </w:rPr>
        <w:t>Brazil, Mexico, Argentina, and Colombia each have separate App Store and Google Play review queues. Financial apps face enhanced scrutiny. No confirmation that regulatory licensing is in place in all 4 markets.</w:t>
      </w:r>
    </w:p>
    <w:p>
      <w:pPr>
        <w:spacing w:before="80" w:after="20"/>
      </w:pPr>
      <w:r>
        <w:rPr>
          <w:b/>
          <w:color w:val="A50044"/>
          <w:sz w:val="20"/>
        </w:rPr>
        <w:t>A6  750K waitlist is achievable without paid media</w:t>
      </w:r>
    </w:p>
    <w:p>
      <w:pPr>
        <w:spacing w:after="160"/>
      </w:pPr>
      <w:r>
        <w:rPr>
          <w:color w:val="6B7280"/>
          <w:sz w:val="18"/>
        </w:rPr>
        <w:t>Nubank's first 100K customers required 18 months and a purple credit card mailed directly. Chime's 1M user milestone took 4 years. The plan's 750K waitlist target in 6 weeks is aspirational without a paid media model.</w:t>
      </w:r>
    </w:p>
    <w:p>
      <w:pPr>
        <w:spacing w:before="80" w:after="20"/>
      </w:pPr>
      <w:r>
        <w:rPr>
          <w:b/>
          <w:color w:val="A50044"/>
          <w:sz w:val="20"/>
        </w:rPr>
        <w:t>A7  Surgence WhatsApp seeding works in 4 weeks</w:t>
      </w:r>
    </w:p>
    <w:p>
      <w:pPr>
        <w:spacing w:after="160"/>
      </w:pPr>
      <w:r>
        <w:rPr>
          <w:color w:val="6B7280"/>
          <w:sz w:val="18"/>
        </w:rPr>
        <w:t>Authentic WhatsApp group seeding — not spam, but narrative-led community organic integration — takes 6–8 weeks minimum to avoid detection and group removal. 4 weeks from contract signature to June 11 is below the safety threshold.</w:t>
      </w:r>
    </w:p>
    <w:p>
      <w:pPr>
        <w:spacing w:before="80" w:after="20"/>
      </w:pPr>
      <w:r>
        <w:rPr>
          <w:b/>
          <w:color w:val="A50044"/>
          <w:sz w:val="20"/>
        </w:rPr>
        <w:t>A8  World Cup window is uncontested attention</w:t>
      </w:r>
    </w:p>
    <w:p>
      <w:pPr>
        <w:spacing w:after="160"/>
      </w:pPr>
      <w:r>
        <w:rPr>
          <w:color w:val="6B7280"/>
          <w:sz w:val="18"/>
        </w:rPr>
        <w:t>Nubank, Mercado Pago, and Revolut are all active in LatAm during the World Cup window. Nubank spent $40M+ on the 2022 World Cup campaign. The window is peak attention AND peak competition.</w:t>
      </w:r>
    </w:p>
    <w:p/>
    <w:p>
      <w:pPr>
        <w:spacing w:before="80" w:after="80"/>
        <w:pBdr>
          <w:bottom w:val="single" w:sz="4" w:space="1" w:color="A50044"/>
        </w:pBdr>
      </w:pPr>
    </w:p>
    <w:p>
      <w:pPr>
        <w:spacing w:before="360" w:after="80"/>
      </w:pPr>
      <w:r>
        <w:rPr>
          <w:b/>
          <w:color w:val="A50044"/>
          <w:sz w:val="32"/>
        </w:rPr>
        <w:t>07  FIVE MOST DANGEROUS GAPS  —  RANKED BY SEVERITY</w:t>
      </w:r>
    </w:p>
    <w:p>
      <w:pPr>
        <w:spacing w:after="120"/>
      </w:pPr>
      <w:r>
        <w:rPr>
          <w:i w:val="0"/>
          <w:color w:val="1A1A2E"/>
          <w:sz w:val="20"/>
        </w:rPr>
        <w:t>These are not strategic weaknesses. These are execution blockers that, if unresolved, stop the launch.</w:t>
      </w:r>
    </w:p>
    <w:tbl>
      <w:tblPr>
        <w:tblStyle w:val="TableGrid"/>
        <w:tblW w:type="auto" w:w="0"/>
        <w:jc w:val="left"/>
        <w:tblLook w:firstColumn="1" w:firstRow="1" w:lastColumn="0" w:lastRow="0" w:noHBand="0" w:noVBand="1" w:val="04A0"/>
      </w:tblPr>
      <w:tblGrid>
        <w:gridCol w:w="1008"/>
        <w:gridCol w:w="8352"/>
      </w:tblGrid>
      <w:tr>
        <w:tc>
          <w:tcPr>
            <w:tcW w:type="dxa" w:w="4680"/>
            <w:shd w:val="clear" w:color="auto" w:fill="C0392B"/>
          </w:tcPr>
          <w:p>
            <w:pPr>
              <w:spacing w:before="160"/>
              <w:jc w:val="center"/>
            </w:pPr>
            <w:r>
              <w:rPr>
                <w:b/>
                <w:color w:val="FFFFFF"/>
                <w:sz w:val="40"/>
              </w:rPr>
              <w:t>01</w:t>
            </w:r>
          </w:p>
          <w:p>
            <w:pPr>
              <w:spacing w:after="160"/>
              <w:jc w:val="center"/>
            </w:pPr>
            <w:r>
              <w:rPr>
                <w:b/>
                <w:color w:val="FFFFFF"/>
                <w:sz w:val="15"/>
              </w:rPr>
              <w:t>CRITICAL</w:t>
            </w:r>
          </w:p>
        </w:tc>
        <w:tc>
          <w:tcPr>
            <w:tcW w:type="dxa" w:w="4680"/>
            <w:shd w:val="clear" w:color="auto" w:fill="FAFAFA"/>
          </w:tcPr>
          <w:p>
            <w:pPr>
              <w:spacing w:before="120" w:after="80"/>
            </w:pPr>
            <w:r>
              <w:rPr>
                <w:b/>
                <w:color w:val="1A1A2E"/>
                <w:sz w:val="22"/>
              </w:rPr>
              <w:t>Surgence Unsigned + Brand Identity Unlocked = Cascading Failure</w:t>
            </w:r>
          </w:p>
          <w:p>
            <w:pPr>
              <w:pStyle w:val="ListBullet"/>
              <w:spacing w:after="40"/>
            </w:pPr>
            <w:r>
              <w:rPr>
                <w:color w:val="6B7280"/>
                <w:sz w:val="18"/>
              </w:rPr>
              <w:t>Every downstream deliverable — landing page, press kit, creator briefs, app store assets, OOH creative, card artwork — requires brand identity to exist first.</w:t>
            </w:r>
          </w:p>
          <w:p>
            <w:pPr>
              <w:pStyle w:val="ListBullet"/>
              <w:spacing w:after="40"/>
            </w:pPr>
            <w:r>
              <w:rPr>
                <w:color w:val="6B7280"/>
                <w:sz w:val="18"/>
              </w:rPr>
              <w:t>Brand identity is delivered by Surgence.</w:t>
            </w:r>
          </w:p>
          <w:p>
            <w:pPr>
              <w:pStyle w:val="ListBullet"/>
              <w:spacing w:after="40"/>
            </w:pPr>
            <w:r>
              <w:rPr>
                <w:color w:val="6B7280"/>
                <w:sz w:val="18"/>
              </w:rPr>
              <w:t>Surgence is unsigned.</w:t>
            </w:r>
          </w:p>
          <w:p>
            <w:pPr>
              <w:pStyle w:val="ListBullet"/>
              <w:spacing w:after="40"/>
            </w:pPr>
            <w:r>
              <w:rPr>
                <w:color w:val="6B7280"/>
                <w:sz w:val="18"/>
              </w:rPr>
              <w:t>This is not one gap. It is 19 gaps behind one gate.</w:t>
            </w:r>
          </w:p>
          <w:p>
            <w:pPr>
              <w:pStyle w:val="ListBullet"/>
              <w:spacing w:after="40"/>
            </w:pPr>
            <w:r>
              <w:rPr>
                <w:color w:val="6B7280"/>
                <w:sz w:val="18"/>
              </w:rPr>
              <w:t>Action required today: sign the contract or identify an alternative brand identity delivery path with a 72-hour turnaround.</w:t>
            </w:r>
          </w:p>
          <w:p>
            <w:pPr>
              <w:spacing w:after="120"/>
            </w:pPr>
          </w:p>
        </w:tc>
      </w:tr>
    </w:tbl>
    <w:p>
      <w:pPr>
        <w:spacing w:after="80"/>
      </w:pPr>
    </w:p>
    <w:tbl>
      <w:tblPr>
        <w:tblStyle w:val="TableGrid"/>
        <w:tblW w:type="auto" w:w="0"/>
        <w:jc w:val="left"/>
        <w:tblLook w:firstColumn="1" w:firstRow="1" w:lastColumn="0" w:lastRow="0" w:noHBand="0" w:noVBand="1" w:val="04A0"/>
      </w:tblPr>
      <w:tblGrid>
        <w:gridCol w:w="1008"/>
        <w:gridCol w:w="8352"/>
      </w:tblGrid>
      <w:tr>
        <w:tc>
          <w:tcPr>
            <w:tcW w:type="dxa" w:w="4680"/>
            <w:shd w:val="clear" w:color="auto" w:fill="C0392B"/>
          </w:tcPr>
          <w:p>
            <w:pPr>
              <w:spacing w:before="160"/>
              <w:jc w:val="center"/>
            </w:pPr>
            <w:r>
              <w:rPr>
                <w:b/>
                <w:color w:val="FFFFFF"/>
                <w:sz w:val="40"/>
              </w:rPr>
              <w:t>02</w:t>
            </w:r>
          </w:p>
          <w:p>
            <w:pPr>
              <w:spacing w:after="160"/>
              <w:jc w:val="center"/>
            </w:pPr>
            <w:r>
              <w:rPr>
                <w:b/>
                <w:color w:val="FFFFFF"/>
                <w:sz w:val="15"/>
              </w:rPr>
              <w:t>CRITICAL</w:t>
            </w:r>
          </w:p>
        </w:tc>
        <w:tc>
          <w:tcPr>
            <w:tcW w:type="dxa" w:w="4680"/>
            <w:shd w:val="clear" w:color="auto" w:fill="FAFAFA"/>
          </w:tcPr>
          <w:p>
            <w:pPr>
              <w:spacing w:before="120" w:after="80"/>
            </w:pPr>
            <w:r>
              <w:rPr>
                <w:b/>
                <w:color w:val="1A1A2E"/>
                <w:sz w:val="22"/>
              </w:rPr>
              <w:t>No Landing Page, 12 Days to Announcement</w:t>
            </w:r>
          </w:p>
          <w:p>
            <w:pPr>
              <w:pStyle w:val="ListBullet"/>
              <w:spacing w:after="40"/>
            </w:pPr>
            <w:r>
              <w:rPr>
                <w:color w:val="6B7280"/>
                <w:sz w:val="18"/>
              </w:rPr>
              <w:t>The waitlist page is the single most important conversion surface for May 24.</w:t>
            </w:r>
          </w:p>
          <w:p>
            <w:pPr>
              <w:pStyle w:val="ListBullet"/>
              <w:spacing w:after="40"/>
            </w:pPr>
            <w:r>
              <w:rPr>
                <w:color w:val="6B7280"/>
                <w:sz w:val="18"/>
              </w:rPr>
              <w:t>It does not exist.</w:t>
            </w:r>
          </w:p>
          <w:p>
            <w:pPr>
              <w:pStyle w:val="ListBullet"/>
              <w:spacing w:after="40"/>
            </w:pPr>
            <w:r>
              <w:rPr>
                <w:color w:val="6B7280"/>
                <w:sz w:val="18"/>
              </w:rPr>
              <w:t>It requires brand identity (blocked), copywriting, design, development, mobile optimization, CRO testing, and analytics integration.</w:t>
            </w:r>
          </w:p>
          <w:p>
            <w:pPr>
              <w:pStyle w:val="ListBullet"/>
              <w:spacing w:after="40"/>
            </w:pPr>
            <w:r>
              <w:rPr>
                <w:color w:val="6B7280"/>
                <w:sz w:val="18"/>
              </w:rPr>
              <w:t>12 days is achievable only if: (a) brand identity delivers in 48 hours, (b) a dedicated dev team starts May 12, (c) zero revision cycles.</w:t>
            </w:r>
          </w:p>
          <w:p>
            <w:pPr>
              <w:pStyle w:val="ListBullet"/>
              <w:spacing w:after="40"/>
            </w:pPr>
            <w:r>
              <w:rPr>
                <w:color w:val="6B7280"/>
                <w:sz w:val="18"/>
              </w:rPr>
              <w:t>There is no named owner, no agency brief, and no confirmed budget.</w:t>
            </w:r>
          </w:p>
          <w:p>
            <w:pPr>
              <w:spacing w:after="120"/>
            </w:pPr>
          </w:p>
        </w:tc>
      </w:tr>
    </w:tbl>
    <w:p>
      <w:pPr>
        <w:spacing w:after="80"/>
      </w:pPr>
    </w:p>
    <w:tbl>
      <w:tblPr>
        <w:tblStyle w:val="TableGrid"/>
        <w:tblW w:type="auto" w:w="0"/>
        <w:jc w:val="left"/>
        <w:tblLook w:firstColumn="1" w:firstRow="1" w:lastColumn="0" w:lastRow="0" w:noHBand="0" w:noVBand="1" w:val="04A0"/>
      </w:tblPr>
      <w:tblGrid>
        <w:gridCol w:w="1008"/>
        <w:gridCol w:w="8352"/>
      </w:tblGrid>
      <w:tr>
        <w:tc>
          <w:tcPr>
            <w:tcW w:type="dxa" w:w="4680"/>
            <w:shd w:val="clear" w:color="auto" w:fill="E67E22"/>
          </w:tcPr>
          <w:p>
            <w:pPr>
              <w:spacing w:before="160"/>
              <w:jc w:val="center"/>
            </w:pPr>
            <w:r>
              <w:rPr>
                <w:b/>
                <w:color w:val="FFFFFF"/>
                <w:sz w:val="40"/>
              </w:rPr>
              <w:t>03</w:t>
            </w:r>
          </w:p>
          <w:p>
            <w:pPr>
              <w:spacing w:after="160"/>
              <w:jc w:val="center"/>
            </w:pPr>
            <w:r>
              <w:rPr>
                <w:b/>
                <w:color w:val="FFFFFF"/>
                <w:sz w:val="15"/>
              </w:rPr>
              <w:t>HIGH</w:t>
            </w:r>
          </w:p>
        </w:tc>
        <w:tc>
          <w:tcPr>
            <w:tcW w:type="dxa" w:w="4680"/>
            <w:shd w:val="clear" w:color="auto" w:fill="FAFAFA"/>
          </w:tcPr>
          <w:p>
            <w:pPr>
              <w:spacing w:before="120" w:after="80"/>
            </w:pPr>
            <w:r>
              <w:rPr>
                <w:b/>
                <w:color w:val="1A1A2E"/>
                <w:sz w:val="22"/>
              </w:rPr>
              <w:t>Paid Media: No Budget, No Model, No Owner</w:t>
            </w:r>
          </w:p>
          <w:p>
            <w:pPr>
              <w:pStyle w:val="ListBullet"/>
              <w:spacing w:after="40"/>
            </w:pPr>
            <w:r>
              <w:rPr>
                <w:color w:val="6B7280"/>
                <w:sz w:val="18"/>
              </w:rPr>
              <w:t>The plan's waitlist math requires paid media. Paid media is listed as 'TBD.'</w:t>
            </w:r>
          </w:p>
          <w:p>
            <w:pPr>
              <w:pStyle w:val="ListBullet"/>
              <w:spacing w:after="40"/>
            </w:pPr>
            <w:r>
              <w:rPr>
                <w:color w:val="6B7280"/>
                <w:sz w:val="18"/>
              </w:rPr>
              <w:t>LatAm CAC for neobank acquisition: Brazil $8–15, Mexico $12–20, Argentina $6–10, Colombia $10–18 (estimated).</w:t>
            </w:r>
          </w:p>
          <w:p>
            <w:pPr>
              <w:pStyle w:val="ListBullet"/>
              <w:spacing w:after="40"/>
            </w:pPr>
            <w:r>
              <w:rPr>
                <w:color w:val="6B7280"/>
                <w:sz w:val="18"/>
              </w:rPr>
              <w:t>To reach 750K waitlist signups: rough paid media requirement = $4–8M across the window.</w:t>
            </w:r>
          </w:p>
          <w:p>
            <w:pPr>
              <w:pStyle w:val="ListBullet"/>
              <w:spacing w:after="40"/>
            </w:pPr>
            <w:r>
              <w:rPr>
                <w:color w:val="6B7280"/>
                <w:sz w:val="18"/>
              </w:rPr>
              <w:t>No agency has been briefed. No media plan exists. No creative assets exist for paid.</w:t>
            </w:r>
          </w:p>
          <w:p>
            <w:pPr>
              <w:pStyle w:val="ListBullet"/>
              <w:spacing w:after="40"/>
            </w:pPr>
            <w:r>
              <w:rPr>
                <w:color w:val="6B7280"/>
                <w:sz w:val="18"/>
              </w:rPr>
              <w:t>Without a paid media model, the target numbers are fictional.</w:t>
            </w:r>
          </w:p>
          <w:p>
            <w:pPr>
              <w:spacing w:after="120"/>
            </w:pPr>
          </w:p>
        </w:tc>
      </w:tr>
    </w:tbl>
    <w:p>
      <w:pPr>
        <w:spacing w:after="80"/>
      </w:pPr>
    </w:p>
    <w:tbl>
      <w:tblPr>
        <w:tblStyle w:val="TableGrid"/>
        <w:tblW w:type="auto" w:w="0"/>
        <w:jc w:val="left"/>
        <w:tblLook w:firstColumn="1" w:firstRow="1" w:lastColumn="0" w:lastRow="0" w:noHBand="0" w:noVBand="1" w:val="04A0"/>
      </w:tblPr>
      <w:tblGrid>
        <w:gridCol w:w="1008"/>
        <w:gridCol w:w="8352"/>
      </w:tblGrid>
      <w:tr>
        <w:tc>
          <w:tcPr>
            <w:tcW w:type="dxa" w:w="4680"/>
            <w:shd w:val="clear" w:color="auto" w:fill="E67E22"/>
          </w:tcPr>
          <w:p>
            <w:pPr>
              <w:spacing w:before="160"/>
              <w:jc w:val="center"/>
            </w:pPr>
            <w:r>
              <w:rPr>
                <w:b/>
                <w:color w:val="FFFFFF"/>
                <w:sz w:val="40"/>
              </w:rPr>
              <w:t>04</w:t>
            </w:r>
          </w:p>
          <w:p>
            <w:pPr>
              <w:spacing w:after="160"/>
              <w:jc w:val="center"/>
            </w:pPr>
            <w:r>
              <w:rPr>
                <w:b/>
                <w:color w:val="FFFFFF"/>
                <w:sz w:val="15"/>
              </w:rPr>
              <w:t>HIGH</w:t>
            </w:r>
          </w:p>
        </w:tc>
        <w:tc>
          <w:tcPr>
            <w:tcW w:type="dxa" w:w="4680"/>
            <w:shd w:val="clear" w:color="auto" w:fill="FAFAFA"/>
          </w:tcPr>
          <w:p>
            <w:pPr>
              <w:spacing w:before="120" w:after="80"/>
            </w:pPr>
            <w:r>
              <w:rPr>
                <w:b/>
                <w:color w:val="1A1A2E"/>
                <w:sz w:val="22"/>
              </w:rPr>
              <w:t>180-Creator Program With No Legal Framework</w:t>
            </w:r>
          </w:p>
          <w:p>
            <w:pPr>
              <w:pStyle w:val="ListBullet"/>
              <w:spacing w:after="40"/>
            </w:pPr>
            <w:r>
              <w:rPr>
                <w:color w:val="6B7280"/>
                <w:sz w:val="18"/>
              </w:rPr>
              <w:t>180 creators across Brazil, Mexico, Argentina, and Colombia.</w:t>
            </w:r>
          </w:p>
          <w:p>
            <w:pPr>
              <w:pStyle w:val="ListBullet"/>
              <w:spacing w:after="40"/>
            </w:pPr>
            <w:r>
              <w:rPr>
                <w:color w:val="6B7280"/>
                <w:sz w:val="18"/>
              </w:rPr>
              <w:t>Financial advertising is regulated in all 4 markets.</w:t>
            </w:r>
          </w:p>
          <w:p>
            <w:pPr>
              <w:pStyle w:val="ListBullet"/>
              <w:spacing w:after="40"/>
            </w:pPr>
            <w:r>
              <w:rPr>
                <w:color w:val="6B7280"/>
                <w:sz w:val="18"/>
              </w:rPr>
              <w:t>Brazil: BACEN and CONAR disclosure requirements. Mexico: CNBV rules. Argentina: BCRA and Defensa del Consumidor. Colombia: SFC.</w:t>
            </w:r>
          </w:p>
          <w:p>
            <w:pPr>
              <w:pStyle w:val="ListBullet"/>
              <w:spacing w:after="40"/>
            </w:pPr>
            <w:r>
              <w:rPr>
                <w:color w:val="6B7280"/>
                <w:sz w:val="18"/>
              </w:rPr>
              <w:t>No creator brief template, no disclosure language, no compliance review process, no legal sign-off workflow exists in the document.</w:t>
            </w:r>
          </w:p>
          <w:p>
            <w:pPr>
              <w:pStyle w:val="ListBullet"/>
              <w:spacing w:after="40"/>
            </w:pPr>
            <w:r>
              <w:rPr>
                <w:color w:val="6B7280"/>
                <w:sz w:val="18"/>
              </w:rPr>
              <w:t>A single non-compliant creator post can trigger regulatory review and launch suspension.</w:t>
            </w:r>
          </w:p>
          <w:p>
            <w:pPr>
              <w:spacing w:after="120"/>
            </w:pPr>
          </w:p>
        </w:tc>
      </w:tr>
    </w:tbl>
    <w:p>
      <w:pPr>
        <w:spacing w:after="80"/>
      </w:pPr>
    </w:p>
    <w:tbl>
      <w:tblPr>
        <w:tblStyle w:val="TableGrid"/>
        <w:tblW w:type="auto" w:w="0"/>
        <w:jc w:val="left"/>
        <w:tblLook w:firstColumn="1" w:firstRow="1" w:lastColumn="0" w:lastRow="0" w:noHBand="0" w:noVBand="1" w:val="04A0"/>
      </w:tblPr>
      <w:tblGrid>
        <w:gridCol w:w="1008"/>
        <w:gridCol w:w="8352"/>
      </w:tblGrid>
      <w:tr>
        <w:tc>
          <w:tcPr>
            <w:tcW w:type="dxa" w:w="4680"/>
            <w:shd w:val="clear" w:color="auto" w:fill="E67E22"/>
          </w:tcPr>
          <w:p>
            <w:pPr>
              <w:spacing w:before="160"/>
              <w:jc w:val="center"/>
            </w:pPr>
            <w:r>
              <w:rPr>
                <w:b/>
                <w:color w:val="FFFFFF"/>
                <w:sz w:val="40"/>
              </w:rPr>
              <w:t>05</w:t>
            </w:r>
          </w:p>
          <w:p>
            <w:pPr>
              <w:spacing w:after="160"/>
              <w:jc w:val="center"/>
            </w:pPr>
            <w:r>
              <w:rPr>
                <w:b/>
                <w:color w:val="FFFFFF"/>
                <w:sz w:val="15"/>
              </w:rPr>
              <w:t>HIGH</w:t>
            </w:r>
          </w:p>
        </w:tc>
        <w:tc>
          <w:tcPr>
            <w:tcW w:type="dxa" w:w="4680"/>
            <w:shd w:val="clear" w:color="auto" w:fill="FAFAFA"/>
          </w:tcPr>
          <w:p>
            <w:pPr>
              <w:spacing w:before="120" w:after="80"/>
            </w:pPr>
            <w:r>
              <w:rPr>
                <w:b/>
                <w:color w:val="1A1A2E"/>
                <w:sz w:val="22"/>
              </w:rPr>
              <w:t>No Crisis Response Plan for Day 1</w:t>
            </w:r>
          </w:p>
          <w:p>
            <w:pPr>
              <w:pStyle w:val="ListBullet"/>
              <w:spacing w:after="40"/>
            </w:pPr>
            <w:r>
              <w:rPr>
                <w:color w:val="6B7280"/>
                <w:sz w:val="18"/>
              </w:rPr>
              <w:t>The plan projects 300,000 Day 1 signups. That volume will surface: app crashes, onboarding failures, card delays, and customer service queues.</w:t>
            </w:r>
          </w:p>
          <w:p>
            <w:pPr>
              <w:pStyle w:val="ListBullet"/>
              <w:spacing w:after="40"/>
            </w:pPr>
            <w:r>
              <w:rPr>
                <w:color w:val="6B7280"/>
                <w:sz w:val="18"/>
              </w:rPr>
              <w:t>Customer support has no named owner. No language coverage plan (PT-BR, ES-MX, ES-AR, ES-CO).</w:t>
            </w:r>
          </w:p>
          <w:p>
            <w:pPr>
              <w:pStyle w:val="ListBullet"/>
              <w:spacing w:after="40"/>
            </w:pPr>
            <w:r>
              <w:rPr>
                <w:color w:val="6B7280"/>
                <w:sz w:val="18"/>
              </w:rPr>
              <w:t>No crisis communication playbook for: app outage, security incident, regulatory inquiry, competitor attack, negative media coverage.</w:t>
            </w:r>
          </w:p>
          <w:p>
            <w:pPr>
              <w:pStyle w:val="ListBullet"/>
              <w:spacing w:after="40"/>
            </w:pPr>
            <w:r>
              <w:rPr>
                <w:color w:val="6B7280"/>
                <w:sz w:val="18"/>
              </w:rPr>
              <w:t>The first PR crisis at a financial product launch is not a risk — it is a certainty. The variable is response time. There is no response framework.</w:t>
            </w:r>
          </w:p>
          <w:p>
            <w:pPr>
              <w:spacing w:after="120"/>
            </w:pPr>
          </w:p>
        </w:tc>
      </w:tr>
    </w:tbl>
    <w:p>
      <w:pPr>
        <w:spacing w:after="80"/>
      </w:pPr>
    </w:p>
    <w:p/>
    <w:p>
      <w:pPr>
        <w:spacing w:before="80" w:after="80"/>
        <w:pBdr>
          <w:bottom w:val="single" w:sz="4" w:space="1" w:color="A50044"/>
        </w:pBdr>
      </w:pPr>
    </w:p>
    <w:p>
      <w:pPr>
        <w:spacing w:before="360" w:after="80"/>
      </w:pPr>
      <w:r>
        <w:rPr>
          <w:b/>
          <w:color w:val="A50044"/>
          <w:sz w:val="32"/>
        </w:rPr>
        <w:t>08  14-DAY CRITICAL PATH  —  MAY 10 TO MAY 24</w:t>
      </w:r>
    </w:p>
    <w:p>
      <w:pPr>
        <w:spacing w:after="120"/>
      </w:pPr>
      <w:r>
        <w:rPr>
          <w:i w:val="0"/>
          <w:color w:val="1A1A2E"/>
          <w:sz w:val="20"/>
        </w:rPr>
        <w:t>Actions ordered by dependency. Nothing in Week 2 is possible without Week 1 completion. Items marked RED must complete today (May 10) or the announcement date is at risk.</w:t>
      </w:r>
    </w:p>
    <w:tbl>
      <w:tblPr>
        <w:tblStyle w:val="TableGrid"/>
        <w:tblW w:type="auto" w:w="0"/>
        <w:jc w:val="left"/>
        <w:tblLook w:firstColumn="1" w:firstRow="1" w:lastColumn="0" w:lastRow="0" w:noHBand="0" w:noVBand="1" w:val="04A0"/>
      </w:tblPr>
      <w:tblGrid>
        <w:gridCol w:w="1584"/>
        <w:gridCol w:w="5040"/>
        <w:gridCol w:w="2160"/>
        <w:gridCol w:w="576"/>
      </w:tblGrid>
      <w:tr>
        <w:tc>
          <w:tcPr>
            <w:tcW w:type="dxa" w:w="2340"/>
            <w:shd w:val="clear" w:color="auto" w:fill="1A1A2E"/>
          </w:tcPr>
          <w:p>
            <w:pPr>
              <w:jc w:val="left"/>
            </w:pPr>
            <w:r>
              <w:rPr>
                <w:b/>
                <w:color w:val="FFFFFF"/>
                <w:sz w:val="18"/>
              </w:rPr>
              <w:t>Date</w:t>
            </w:r>
          </w:p>
        </w:tc>
        <w:tc>
          <w:tcPr>
            <w:tcW w:type="dxa" w:w="2340"/>
            <w:shd w:val="clear" w:color="auto" w:fill="1A1A2E"/>
          </w:tcPr>
          <w:p>
            <w:pPr>
              <w:jc w:val="left"/>
            </w:pPr>
            <w:r>
              <w:rPr>
                <w:b/>
                <w:color w:val="FFFFFF"/>
                <w:sz w:val="18"/>
              </w:rPr>
              <w:t>Action</w:t>
            </w:r>
          </w:p>
        </w:tc>
        <w:tc>
          <w:tcPr>
            <w:tcW w:type="dxa" w:w="2340"/>
            <w:shd w:val="clear" w:color="auto" w:fill="1A1A2E"/>
          </w:tcPr>
          <w:p>
            <w:pPr>
              <w:jc w:val="left"/>
            </w:pPr>
            <w:r>
              <w:rPr>
                <w:b/>
                <w:color w:val="FFFFFF"/>
                <w:sz w:val="18"/>
              </w:rPr>
              <w:t>Owner</w:t>
            </w:r>
          </w:p>
        </w:tc>
        <w:tc>
          <w:tcPr>
            <w:tcW w:type="dxa" w:w="2340"/>
            <w:shd w:val="clear" w:color="auto" w:fill="1A1A2E"/>
          </w:tcPr>
          <w:p>
            <w:pPr>
              <w:jc w:val="left"/>
            </w:pPr>
            <w:r>
              <w:rPr>
                <w:b/>
                <w:color w:val="FFFFFF"/>
                <w:sz w:val="18"/>
              </w:rPr>
            </w:r>
          </w:p>
        </w:tc>
      </w:tr>
      <w:tr>
        <w:tc>
          <w:tcPr>
            <w:tcW w:type="dxa" w:w="1584"/>
            <w:shd w:val="clear" w:color="auto" w:fill="FFF5F7"/>
          </w:tcPr>
          <w:p>
            <w:pPr>
              <w:jc w:val="left"/>
            </w:pPr>
            <w:r>
              <w:rPr>
                <w:b/>
                <w:i w:val="0"/>
                <w:color w:val="C0392B"/>
                <w:sz w:val="18"/>
              </w:rPr>
              <w:t>May 10 TODAY</w:t>
            </w:r>
          </w:p>
        </w:tc>
        <w:tc>
          <w:tcPr>
            <w:tcW w:type="dxa" w:w="5040"/>
            <w:shd w:val="clear" w:color="auto" w:fill="FFF5F7"/>
          </w:tcPr>
          <w:p>
            <w:pPr>
              <w:jc w:val="left"/>
            </w:pPr>
            <w:r>
              <w:rPr>
                <w:b/>
                <w:i w:val="0"/>
                <w:color w:val="1A1A2E"/>
                <w:sz w:val="18"/>
              </w:rPr>
              <w:t>Sign Surgence contract</w:t>
            </w:r>
          </w:p>
        </w:tc>
        <w:tc>
          <w:tcPr>
            <w:tcW w:type="dxa" w:w="2160"/>
            <w:shd w:val="clear" w:color="auto" w:fill="FFF5F7"/>
          </w:tcPr>
          <w:p>
            <w:pPr>
              <w:jc w:val="left"/>
            </w:pPr>
            <w:r>
              <w:rPr>
                <w:b w:val="0"/>
                <w:i w:val="0"/>
                <w:color w:val="6B7280"/>
                <w:sz w:val="17"/>
              </w:rPr>
              <w:t>Walter / FCB Legal</w:t>
            </w:r>
          </w:p>
        </w:tc>
        <w:tc>
          <w:tcPr>
            <w:tcW w:type="dxa" w:w="576"/>
            <w:shd w:val="clear" w:color="auto" w:fill="C0392B"/>
          </w:tcPr>
          <w:p>
            <w:pPr>
              <w:jc w:val="left"/>
            </w:pPr>
            <w:r>
              <w:rPr>
                <w:b/>
                <w:color w:val="FFFFFF"/>
                <w:sz w:val="18"/>
              </w:rPr>
            </w:r>
          </w:p>
        </w:tc>
      </w:tr>
      <w:tr>
        <w:tc>
          <w:tcPr>
            <w:tcW w:type="dxa" w:w="1584"/>
            <w:shd w:val="clear" w:color="auto" w:fill="FFF5F7"/>
          </w:tcPr>
          <w:p>
            <w:pPr>
              <w:jc w:val="left"/>
            </w:pPr>
            <w:r>
              <w:rPr>
                <w:b/>
                <w:i w:val="0"/>
                <w:color w:val="C0392B"/>
                <w:sz w:val="18"/>
              </w:rPr>
              <w:t>May 10 TODAY</w:t>
            </w:r>
          </w:p>
        </w:tc>
        <w:tc>
          <w:tcPr>
            <w:tcW w:type="dxa" w:w="5040"/>
            <w:shd w:val="clear" w:color="auto" w:fill="FFF5F7"/>
          </w:tcPr>
          <w:p>
            <w:pPr>
              <w:jc w:val="left"/>
            </w:pPr>
            <w:r>
              <w:rPr>
                <w:b/>
                <w:i w:val="0"/>
                <w:color w:val="1A1A2E"/>
                <w:sz w:val="18"/>
              </w:rPr>
              <w:t>Brief Surgence on brand identity 72h sprint</w:t>
            </w:r>
          </w:p>
        </w:tc>
        <w:tc>
          <w:tcPr>
            <w:tcW w:type="dxa" w:w="2160"/>
            <w:shd w:val="clear" w:color="auto" w:fill="FFF5F7"/>
          </w:tcPr>
          <w:p>
            <w:pPr>
              <w:jc w:val="left"/>
            </w:pPr>
            <w:r>
              <w:rPr>
                <w:b w:val="0"/>
                <w:i w:val="0"/>
                <w:color w:val="6B7280"/>
                <w:sz w:val="17"/>
              </w:rPr>
              <w:t>Walter + Surgence</w:t>
            </w:r>
          </w:p>
        </w:tc>
        <w:tc>
          <w:tcPr>
            <w:tcW w:type="dxa" w:w="576"/>
            <w:shd w:val="clear" w:color="auto" w:fill="C0392B"/>
          </w:tcPr>
          <w:p>
            <w:pPr>
              <w:jc w:val="left"/>
            </w:pPr>
            <w:r>
              <w:rPr>
                <w:b/>
                <w:color w:val="FFFFFF"/>
                <w:sz w:val="18"/>
              </w:rPr>
            </w:r>
          </w:p>
        </w:tc>
      </w:tr>
      <w:tr>
        <w:tc>
          <w:tcPr>
            <w:tcW w:type="dxa" w:w="1584"/>
            <w:shd w:val="clear" w:color="auto" w:fill="FFF5F7"/>
          </w:tcPr>
          <w:p>
            <w:pPr>
              <w:jc w:val="left"/>
            </w:pPr>
            <w:r>
              <w:rPr>
                <w:b/>
                <w:i w:val="0"/>
                <w:color w:val="C0392B"/>
                <w:sz w:val="18"/>
              </w:rPr>
              <w:t>May 10 TODAY</w:t>
            </w:r>
          </w:p>
        </w:tc>
        <w:tc>
          <w:tcPr>
            <w:tcW w:type="dxa" w:w="5040"/>
            <w:shd w:val="clear" w:color="auto" w:fill="FFF5F7"/>
          </w:tcPr>
          <w:p>
            <w:pPr>
              <w:jc w:val="left"/>
            </w:pPr>
            <w:r>
              <w:rPr>
                <w:b/>
                <w:i w:val="0"/>
                <w:color w:val="1A1A2E"/>
                <w:sz w:val="18"/>
              </w:rPr>
              <w:t>Appoint paid media agency or confirm in-house</w:t>
            </w:r>
          </w:p>
        </w:tc>
        <w:tc>
          <w:tcPr>
            <w:tcW w:type="dxa" w:w="2160"/>
            <w:shd w:val="clear" w:color="auto" w:fill="FFF5F7"/>
          </w:tcPr>
          <w:p>
            <w:pPr>
              <w:jc w:val="left"/>
            </w:pPr>
            <w:r>
              <w:rPr>
                <w:b w:val="0"/>
                <w:i w:val="0"/>
                <w:color w:val="6B7280"/>
                <w:sz w:val="17"/>
              </w:rPr>
              <w:t>Walter / FCB Marketing</w:t>
            </w:r>
          </w:p>
        </w:tc>
        <w:tc>
          <w:tcPr>
            <w:tcW w:type="dxa" w:w="576"/>
            <w:shd w:val="clear" w:color="auto" w:fill="C0392B"/>
          </w:tcPr>
          <w:p>
            <w:pPr>
              <w:jc w:val="left"/>
            </w:pPr>
            <w:r>
              <w:rPr>
                <w:b/>
                <w:color w:val="FFFFFF"/>
                <w:sz w:val="18"/>
              </w:rPr>
            </w:r>
          </w:p>
        </w:tc>
      </w:tr>
      <w:tr>
        <w:tc>
          <w:tcPr>
            <w:tcW w:type="dxa" w:w="1584"/>
            <w:shd w:val="clear" w:color="auto" w:fill="FFF5F7"/>
          </w:tcPr>
          <w:p>
            <w:pPr>
              <w:jc w:val="left"/>
            </w:pPr>
            <w:r>
              <w:rPr>
                <w:b/>
                <w:i w:val="0"/>
                <w:color w:val="C0392B"/>
                <w:sz w:val="18"/>
              </w:rPr>
              <w:t>May 10 TODAY</w:t>
            </w:r>
          </w:p>
        </w:tc>
        <w:tc>
          <w:tcPr>
            <w:tcW w:type="dxa" w:w="5040"/>
            <w:shd w:val="clear" w:color="auto" w:fill="FFF5F7"/>
          </w:tcPr>
          <w:p>
            <w:pPr>
              <w:jc w:val="left"/>
            </w:pPr>
            <w:r>
              <w:rPr>
                <w:b/>
                <w:i w:val="0"/>
                <w:color w:val="1A1A2E"/>
                <w:sz w:val="18"/>
              </w:rPr>
              <w:t>Identify legal counsel for all 4 markets (financial advertising)</w:t>
            </w:r>
          </w:p>
        </w:tc>
        <w:tc>
          <w:tcPr>
            <w:tcW w:type="dxa" w:w="2160"/>
            <w:shd w:val="clear" w:color="auto" w:fill="FFF5F7"/>
          </w:tcPr>
          <w:p>
            <w:pPr>
              <w:jc w:val="left"/>
            </w:pPr>
            <w:r>
              <w:rPr>
                <w:b w:val="0"/>
                <w:i w:val="0"/>
                <w:color w:val="6B7280"/>
                <w:sz w:val="17"/>
              </w:rPr>
              <w:t>FCB Legal</w:t>
            </w:r>
          </w:p>
        </w:tc>
        <w:tc>
          <w:tcPr>
            <w:tcW w:type="dxa" w:w="576"/>
            <w:shd w:val="clear" w:color="auto" w:fill="C0392B"/>
          </w:tcPr>
          <w:p>
            <w:pPr>
              <w:jc w:val="left"/>
            </w:pPr>
            <w:r>
              <w:rPr>
                <w:b/>
                <w:color w:val="FFFFFF"/>
                <w:sz w:val="18"/>
              </w:rPr>
            </w:r>
          </w:p>
        </w:tc>
      </w:tr>
      <w:tr>
        <w:tc>
          <w:tcPr>
            <w:tcW w:type="dxa" w:w="1584"/>
            <w:shd w:val="clear" w:color="auto" w:fill="FAFAFA"/>
          </w:tcPr>
          <w:p>
            <w:pPr>
              <w:jc w:val="left"/>
            </w:pPr>
            <w:r>
              <w:rPr>
                <w:b w:val="0"/>
                <w:i w:val="0"/>
                <w:color w:val="6B7280"/>
                <w:sz w:val="18"/>
              </w:rPr>
              <w:t>May 11–12</w:t>
            </w:r>
          </w:p>
        </w:tc>
        <w:tc>
          <w:tcPr>
            <w:tcW w:type="dxa" w:w="5040"/>
            <w:shd w:val="clear" w:color="auto" w:fill="FAFAFA"/>
          </w:tcPr>
          <w:p>
            <w:pPr>
              <w:jc w:val="left"/>
            </w:pPr>
            <w:r>
              <w:rPr>
                <w:b w:val="0"/>
                <w:i w:val="0"/>
                <w:color w:val="1A1A2E"/>
                <w:sz w:val="18"/>
              </w:rPr>
              <w:t>Begin Facebook group admin outreach (30 admins)</w:t>
            </w:r>
          </w:p>
        </w:tc>
        <w:tc>
          <w:tcPr>
            <w:tcW w:type="dxa" w:w="2160"/>
            <w:shd w:val="clear" w:color="auto" w:fill="FAFAFA"/>
          </w:tcPr>
          <w:p>
            <w:pPr>
              <w:jc w:val="left"/>
            </w:pPr>
            <w:r>
              <w:rPr>
                <w:b w:val="0"/>
                <w:i w:val="0"/>
                <w:color w:val="6B7280"/>
                <w:sz w:val="17"/>
              </w:rPr>
              <w:t>Surgence</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11–12</w:t>
            </w:r>
          </w:p>
        </w:tc>
        <w:tc>
          <w:tcPr>
            <w:tcW w:type="dxa" w:w="5040"/>
            <w:shd w:val="clear" w:color="auto" w:fill="FAFAFA"/>
          </w:tcPr>
          <w:p>
            <w:pPr>
              <w:jc w:val="left"/>
            </w:pPr>
            <w:r>
              <w:rPr>
                <w:b w:val="0"/>
                <w:i w:val="0"/>
                <w:color w:val="1A1A2E"/>
                <w:sz w:val="18"/>
              </w:rPr>
              <w:t>Begin WhatsApp community seeding preparation</w:t>
            </w:r>
          </w:p>
        </w:tc>
        <w:tc>
          <w:tcPr>
            <w:tcW w:type="dxa" w:w="2160"/>
            <w:shd w:val="clear" w:color="auto" w:fill="FAFAFA"/>
          </w:tcPr>
          <w:p>
            <w:pPr>
              <w:jc w:val="left"/>
            </w:pPr>
            <w:r>
              <w:rPr>
                <w:b w:val="0"/>
                <w:i w:val="0"/>
                <w:color w:val="6B7280"/>
                <w:sz w:val="17"/>
              </w:rPr>
              <w:t>Surgence</w:t>
            </w:r>
          </w:p>
        </w:tc>
        <w:tc>
          <w:tcPr>
            <w:tcW w:type="dxa" w:w="576"/>
            <w:shd w:val="clear" w:color="auto" w:fill="E67E22"/>
          </w:tcPr>
          <w:p>
            <w:pPr>
              <w:jc w:val="left"/>
            </w:pPr>
            <w:r>
              <w:rPr>
                <w:b/>
                <w:color w:val="FFFFFF"/>
                <w:sz w:val="18"/>
              </w:rPr>
            </w:r>
          </w:p>
        </w:tc>
      </w:tr>
      <w:tr>
        <w:tc>
          <w:tcPr>
            <w:tcW w:type="dxa" w:w="1584"/>
            <w:shd w:val="clear" w:color="auto" w:fill="FFF5F7"/>
          </w:tcPr>
          <w:p>
            <w:pPr>
              <w:jc w:val="left"/>
            </w:pPr>
            <w:r>
              <w:rPr>
                <w:b/>
                <w:i w:val="0"/>
                <w:color w:val="C0392B"/>
                <w:sz w:val="18"/>
              </w:rPr>
              <w:t>May 12</w:t>
            </w:r>
          </w:p>
        </w:tc>
        <w:tc>
          <w:tcPr>
            <w:tcW w:type="dxa" w:w="5040"/>
            <w:shd w:val="clear" w:color="auto" w:fill="FFF5F7"/>
          </w:tcPr>
          <w:p>
            <w:pPr>
              <w:jc w:val="left"/>
            </w:pPr>
            <w:r>
              <w:rPr>
                <w:b/>
                <w:i w:val="0"/>
                <w:color w:val="1A1A2E"/>
                <w:sz w:val="18"/>
              </w:rPr>
              <w:t>Brand identity v1 delivery from Surgence</w:t>
            </w:r>
          </w:p>
        </w:tc>
        <w:tc>
          <w:tcPr>
            <w:tcW w:type="dxa" w:w="2160"/>
            <w:shd w:val="clear" w:color="auto" w:fill="FFF5F7"/>
          </w:tcPr>
          <w:p>
            <w:pPr>
              <w:jc w:val="left"/>
            </w:pPr>
            <w:r>
              <w:rPr>
                <w:b w:val="0"/>
                <w:i w:val="0"/>
                <w:color w:val="6B7280"/>
                <w:sz w:val="17"/>
              </w:rPr>
              <w:t>Surgence → Walter review</w:t>
            </w:r>
          </w:p>
        </w:tc>
        <w:tc>
          <w:tcPr>
            <w:tcW w:type="dxa" w:w="576"/>
            <w:shd w:val="clear" w:color="auto" w:fill="C0392B"/>
          </w:tcPr>
          <w:p>
            <w:pPr>
              <w:jc w:val="left"/>
            </w:pPr>
            <w:r>
              <w:rPr>
                <w:b/>
                <w:color w:val="FFFFFF"/>
                <w:sz w:val="18"/>
              </w:rPr>
            </w:r>
          </w:p>
        </w:tc>
      </w:tr>
      <w:tr>
        <w:tc>
          <w:tcPr>
            <w:tcW w:type="dxa" w:w="1584"/>
            <w:shd w:val="clear" w:color="auto" w:fill="FFF5F7"/>
          </w:tcPr>
          <w:p>
            <w:pPr>
              <w:jc w:val="left"/>
            </w:pPr>
            <w:r>
              <w:rPr>
                <w:b/>
                <w:i w:val="0"/>
                <w:color w:val="C0392B"/>
                <w:sz w:val="18"/>
              </w:rPr>
              <w:t>May 12</w:t>
            </w:r>
          </w:p>
        </w:tc>
        <w:tc>
          <w:tcPr>
            <w:tcW w:type="dxa" w:w="5040"/>
            <w:shd w:val="clear" w:color="auto" w:fill="FFF5F7"/>
          </w:tcPr>
          <w:p>
            <w:pPr>
              <w:jc w:val="left"/>
            </w:pPr>
            <w:r>
              <w:rPr>
                <w:b/>
                <w:i w:val="0"/>
                <w:color w:val="1A1A2E"/>
                <w:sz w:val="18"/>
              </w:rPr>
              <w:t>Submit app to App Store and Google Play</w:t>
            </w:r>
          </w:p>
        </w:tc>
        <w:tc>
          <w:tcPr>
            <w:tcW w:type="dxa" w:w="2160"/>
            <w:shd w:val="clear" w:color="auto" w:fill="FFF5F7"/>
          </w:tcPr>
          <w:p>
            <w:pPr>
              <w:jc w:val="left"/>
            </w:pPr>
            <w:r>
              <w:rPr>
                <w:b w:val="0"/>
                <w:i w:val="0"/>
                <w:color w:val="6B7280"/>
                <w:sz w:val="17"/>
              </w:rPr>
              <w:t>Product team</w:t>
            </w:r>
          </w:p>
        </w:tc>
        <w:tc>
          <w:tcPr>
            <w:tcW w:type="dxa" w:w="576"/>
            <w:shd w:val="clear" w:color="auto" w:fill="C0392B"/>
          </w:tcPr>
          <w:p>
            <w:pPr>
              <w:jc w:val="left"/>
            </w:pPr>
            <w:r>
              <w:rPr>
                <w:b/>
                <w:color w:val="FFFFFF"/>
                <w:sz w:val="18"/>
              </w:rPr>
            </w:r>
          </w:p>
        </w:tc>
      </w:tr>
      <w:tr>
        <w:tc>
          <w:tcPr>
            <w:tcW w:type="dxa" w:w="1584"/>
            <w:shd w:val="clear" w:color="auto" w:fill="FAFAFA"/>
          </w:tcPr>
          <w:p>
            <w:pPr>
              <w:jc w:val="left"/>
            </w:pPr>
            <w:r>
              <w:rPr>
                <w:b w:val="0"/>
                <w:i w:val="0"/>
                <w:color w:val="6B7280"/>
                <w:sz w:val="18"/>
              </w:rPr>
              <w:t>May 13</w:t>
            </w:r>
          </w:p>
        </w:tc>
        <w:tc>
          <w:tcPr>
            <w:tcW w:type="dxa" w:w="5040"/>
            <w:shd w:val="clear" w:color="auto" w:fill="FAFAFA"/>
          </w:tcPr>
          <w:p>
            <w:pPr>
              <w:jc w:val="left"/>
            </w:pPr>
            <w:r>
              <w:rPr>
                <w:b w:val="0"/>
                <w:i w:val="0"/>
                <w:color w:val="1A1A2E"/>
                <w:sz w:val="18"/>
              </w:rPr>
              <w:t>Begin landing page design + build</w:t>
            </w:r>
          </w:p>
        </w:tc>
        <w:tc>
          <w:tcPr>
            <w:tcW w:type="dxa" w:w="2160"/>
            <w:shd w:val="clear" w:color="auto" w:fill="FAFAFA"/>
          </w:tcPr>
          <w:p>
            <w:pPr>
              <w:jc w:val="left"/>
            </w:pPr>
            <w:r>
              <w:rPr>
                <w:b w:val="0"/>
                <w:i w:val="0"/>
                <w:color w:val="6B7280"/>
                <w:sz w:val="17"/>
              </w:rPr>
              <w:t>Web team / Agency</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13</w:t>
            </w:r>
          </w:p>
        </w:tc>
        <w:tc>
          <w:tcPr>
            <w:tcW w:type="dxa" w:w="5040"/>
            <w:shd w:val="clear" w:color="auto" w:fill="FAFAFA"/>
          </w:tcPr>
          <w:p>
            <w:pPr>
              <w:jc w:val="left"/>
            </w:pPr>
            <w:r>
              <w:rPr>
                <w:b w:val="0"/>
                <w:i w:val="0"/>
                <w:color w:val="1A1A2E"/>
                <w:sz w:val="18"/>
              </w:rPr>
              <w:t>Begin press kit assembly</w:t>
            </w:r>
          </w:p>
        </w:tc>
        <w:tc>
          <w:tcPr>
            <w:tcW w:type="dxa" w:w="2160"/>
            <w:shd w:val="clear" w:color="auto" w:fill="FAFAFA"/>
          </w:tcPr>
          <w:p>
            <w:pPr>
              <w:jc w:val="left"/>
            </w:pPr>
            <w:r>
              <w:rPr>
                <w:b w:val="0"/>
                <w:i w:val="0"/>
                <w:color w:val="6B7280"/>
                <w:sz w:val="17"/>
              </w:rPr>
              <w:t>PR team / Surgence</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14</w:t>
            </w:r>
          </w:p>
        </w:tc>
        <w:tc>
          <w:tcPr>
            <w:tcW w:type="dxa" w:w="5040"/>
            <w:shd w:val="clear" w:color="auto" w:fill="FAFAFA"/>
          </w:tcPr>
          <w:p>
            <w:pPr>
              <w:jc w:val="left"/>
            </w:pPr>
            <w:r>
              <w:rPr>
                <w:b w:val="0"/>
                <w:i w:val="0"/>
                <w:color w:val="1A1A2E"/>
                <w:sz w:val="18"/>
              </w:rPr>
              <w:t>Paid media plan + budget submitted for approval</w:t>
            </w:r>
          </w:p>
        </w:tc>
        <w:tc>
          <w:tcPr>
            <w:tcW w:type="dxa" w:w="2160"/>
            <w:shd w:val="clear" w:color="auto" w:fill="FAFAFA"/>
          </w:tcPr>
          <w:p>
            <w:pPr>
              <w:jc w:val="left"/>
            </w:pPr>
            <w:r>
              <w:rPr>
                <w:b w:val="0"/>
                <w:i w:val="0"/>
                <w:color w:val="6B7280"/>
                <w:sz w:val="17"/>
              </w:rPr>
              <w:t>Media agency</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14</w:t>
            </w:r>
          </w:p>
        </w:tc>
        <w:tc>
          <w:tcPr>
            <w:tcW w:type="dxa" w:w="5040"/>
            <w:shd w:val="clear" w:color="auto" w:fill="FAFAFA"/>
          </w:tcPr>
          <w:p>
            <w:pPr>
              <w:jc w:val="left"/>
            </w:pPr>
            <w:r>
              <w:rPr>
                <w:b w:val="0"/>
                <w:i w:val="0"/>
                <w:color w:val="1A1A2E"/>
                <w:sz w:val="18"/>
              </w:rPr>
              <w:t>Creator brief template + legal disclosure language drafted</w:t>
            </w:r>
          </w:p>
        </w:tc>
        <w:tc>
          <w:tcPr>
            <w:tcW w:type="dxa" w:w="2160"/>
            <w:shd w:val="clear" w:color="auto" w:fill="FAFAFA"/>
          </w:tcPr>
          <w:p>
            <w:pPr>
              <w:jc w:val="left"/>
            </w:pPr>
            <w:r>
              <w:rPr>
                <w:b w:val="0"/>
                <w:i w:val="0"/>
                <w:color w:val="6B7280"/>
                <w:sz w:val="17"/>
              </w:rPr>
              <w:t>Legal + Surgence</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15</w:t>
            </w:r>
          </w:p>
        </w:tc>
        <w:tc>
          <w:tcPr>
            <w:tcW w:type="dxa" w:w="5040"/>
            <w:shd w:val="clear" w:color="auto" w:fill="FAFAFA"/>
          </w:tcPr>
          <w:p>
            <w:pPr>
              <w:jc w:val="left"/>
            </w:pPr>
            <w:r>
              <w:rPr>
                <w:b w:val="0"/>
                <w:i w:val="0"/>
                <w:color w:val="1A1A2E"/>
                <w:sz w:val="18"/>
              </w:rPr>
              <w:t>Creator outreach begins (Tier 1: 20 creators, Wave 1)</w:t>
            </w:r>
          </w:p>
        </w:tc>
        <w:tc>
          <w:tcPr>
            <w:tcW w:type="dxa" w:w="2160"/>
            <w:shd w:val="clear" w:color="auto" w:fill="FAFAFA"/>
          </w:tcPr>
          <w:p>
            <w:pPr>
              <w:jc w:val="left"/>
            </w:pPr>
            <w:r>
              <w:rPr>
                <w:b w:val="0"/>
                <w:i w:val="0"/>
                <w:color w:val="6B7280"/>
                <w:sz w:val="17"/>
              </w:rPr>
              <w:t>Surgence</w:t>
            </w:r>
          </w:p>
        </w:tc>
        <w:tc>
          <w:tcPr>
            <w:tcW w:type="dxa" w:w="576"/>
            <w:shd w:val="clear" w:color="auto" w:fill="E67E22"/>
          </w:tcPr>
          <w:p>
            <w:pPr>
              <w:jc w:val="left"/>
            </w:pPr>
            <w:r>
              <w:rPr>
                <w:b/>
                <w:color w:val="FFFFFF"/>
                <w:sz w:val="18"/>
              </w:rPr>
            </w:r>
          </w:p>
        </w:tc>
      </w:tr>
      <w:tr>
        <w:tc>
          <w:tcPr>
            <w:tcW w:type="dxa" w:w="1584"/>
            <w:shd w:val="clear" w:color="auto" w:fill="FFF5F7"/>
          </w:tcPr>
          <w:p>
            <w:pPr>
              <w:jc w:val="left"/>
            </w:pPr>
            <w:r>
              <w:rPr>
                <w:b/>
                <w:i w:val="0"/>
                <w:color w:val="C0392B"/>
                <w:sz w:val="18"/>
              </w:rPr>
              <w:t>May 16</w:t>
            </w:r>
          </w:p>
        </w:tc>
        <w:tc>
          <w:tcPr>
            <w:tcW w:type="dxa" w:w="5040"/>
            <w:shd w:val="clear" w:color="auto" w:fill="FFF5F7"/>
          </w:tcPr>
          <w:p>
            <w:pPr>
              <w:jc w:val="left"/>
            </w:pPr>
            <w:r>
              <w:rPr>
                <w:b/>
                <w:i w:val="0"/>
                <w:color w:val="1A1A2E"/>
                <w:sz w:val="18"/>
              </w:rPr>
              <w:t>Country-Edition card artwork to printer</w:t>
            </w:r>
          </w:p>
        </w:tc>
        <w:tc>
          <w:tcPr>
            <w:tcW w:type="dxa" w:w="2160"/>
            <w:shd w:val="clear" w:color="auto" w:fill="FFF5F7"/>
          </w:tcPr>
          <w:p>
            <w:pPr>
              <w:jc w:val="left"/>
            </w:pPr>
            <w:r>
              <w:rPr>
                <w:b w:val="0"/>
                <w:i w:val="0"/>
                <w:color w:val="6B7280"/>
                <w:sz w:val="17"/>
              </w:rPr>
              <w:t>Surgence + Fulfillment partner</w:t>
            </w:r>
          </w:p>
        </w:tc>
        <w:tc>
          <w:tcPr>
            <w:tcW w:type="dxa" w:w="576"/>
            <w:shd w:val="clear" w:color="auto" w:fill="C0392B"/>
          </w:tcPr>
          <w:p>
            <w:pPr>
              <w:jc w:val="left"/>
            </w:pPr>
            <w:r>
              <w:rPr>
                <w:b/>
                <w:color w:val="FFFFFF"/>
                <w:sz w:val="18"/>
              </w:rPr>
            </w:r>
          </w:p>
        </w:tc>
      </w:tr>
      <w:tr>
        <w:tc>
          <w:tcPr>
            <w:tcW w:type="dxa" w:w="1584"/>
            <w:shd w:val="clear" w:color="auto" w:fill="FAFAFA"/>
          </w:tcPr>
          <w:p>
            <w:pPr>
              <w:jc w:val="left"/>
            </w:pPr>
            <w:r>
              <w:rPr>
                <w:b w:val="0"/>
                <w:i w:val="0"/>
                <w:color w:val="6B7280"/>
                <w:sz w:val="18"/>
              </w:rPr>
              <w:t>May 17</w:t>
            </w:r>
          </w:p>
        </w:tc>
        <w:tc>
          <w:tcPr>
            <w:tcW w:type="dxa" w:w="5040"/>
            <w:shd w:val="clear" w:color="auto" w:fill="FAFAFA"/>
          </w:tcPr>
          <w:p>
            <w:pPr>
              <w:jc w:val="left"/>
            </w:pPr>
            <w:r>
              <w:rPr>
                <w:b w:val="0"/>
                <w:i w:val="0"/>
                <w:color w:val="1A1A2E"/>
                <w:sz w:val="18"/>
              </w:rPr>
              <w:t>Landing page QA + mobile optimization complete</w:t>
            </w:r>
          </w:p>
        </w:tc>
        <w:tc>
          <w:tcPr>
            <w:tcW w:type="dxa" w:w="2160"/>
            <w:shd w:val="clear" w:color="auto" w:fill="FAFAFA"/>
          </w:tcPr>
          <w:p>
            <w:pPr>
              <w:jc w:val="left"/>
            </w:pPr>
            <w:r>
              <w:rPr>
                <w:b w:val="0"/>
                <w:i w:val="0"/>
                <w:color w:val="6B7280"/>
                <w:sz w:val="17"/>
              </w:rPr>
              <w:t>Web team</w:t>
            </w:r>
          </w:p>
        </w:tc>
        <w:tc>
          <w:tcPr>
            <w:tcW w:type="dxa" w:w="576"/>
            <w:shd w:val="clear" w:color="auto" w:fill="E67E22"/>
          </w:tcPr>
          <w:p>
            <w:pPr>
              <w:jc w:val="left"/>
            </w:pPr>
            <w:r>
              <w:rPr>
                <w:b/>
                <w:color w:val="FFFFFF"/>
                <w:sz w:val="18"/>
              </w:rPr>
            </w:r>
          </w:p>
        </w:tc>
      </w:tr>
      <w:tr>
        <w:tc>
          <w:tcPr>
            <w:tcW w:type="dxa" w:w="1584"/>
            <w:shd w:val="clear" w:color="auto" w:fill="FFF5F7"/>
          </w:tcPr>
          <w:p>
            <w:pPr>
              <w:jc w:val="left"/>
            </w:pPr>
            <w:r>
              <w:rPr>
                <w:b/>
                <w:i w:val="0"/>
                <w:color w:val="C0392B"/>
                <w:sz w:val="18"/>
              </w:rPr>
              <w:t>May 17</w:t>
            </w:r>
          </w:p>
        </w:tc>
        <w:tc>
          <w:tcPr>
            <w:tcW w:type="dxa" w:w="5040"/>
            <w:shd w:val="clear" w:color="auto" w:fill="FFF5F7"/>
          </w:tcPr>
          <w:p>
            <w:pPr>
              <w:jc w:val="left"/>
            </w:pPr>
            <w:r>
              <w:rPr>
                <w:b/>
                <w:i w:val="0"/>
                <w:color w:val="1A1A2E"/>
                <w:sz w:val="18"/>
              </w:rPr>
              <w:t>App Store submission deadline (7-day review buffer)</w:t>
            </w:r>
          </w:p>
        </w:tc>
        <w:tc>
          <w:tcPr>
            <w:tcW w:type="dxa" w:w="2160"/>
            <w:shd w:val="clear" w:color="auto" w:fill="FFF5F7"/>
          </w:tcPr>
          <w:p>
            <w:pPr>
              <w:jc w:val="left"/>
            </w:pPr>
            <w:r>
              <w:rPr>
                <w:b w:val="0"/>
                <w:i w:val="0"/>
                <w:color w:val="6B7280"/>
                <w:sz w:val="17"/>
              </w:rPr>
              <w:t>Product team</w:t>
            </w:r>
          </w:p>
        </w:tc>
        <w:tc>
          <w:tcPr>
            <w:tcW w:type="dxa" w:w="576"/>
            <w:shd w:val="clear" w:color="auto" w:fill="C0392B"/>
          </w:tcPr>
          <w:p>
            <w:pPr>
              <w:jc w:val="left"/>
            </w:pPr>
            <w:r>
              <w:rPr>
                <w:b/>
                <w:color w:val="FFFFFF"/>
                <w:sz w:val="18"/>
              </w:rPr>
            </w:r>
          </w:p>
        </w:tc>
      </w:tr>
      <w:tr>
        <w:tc>
          <w:tcPr>
            <w:tcW w:type="dxa" w:w="1584"/>
            <w:shd w:val="clear" w:color="auto" w:fill="FAFAFA"/>
          </w:tcPr>
          <w:p>
            <w:pPr>
              <w:jc w:val="left"/>
            </w:pPr>
            <w:r>
              <w:rPr>
                <w:b w:val="0"/>
                <w:i w:val="0"/>
                <w:color w:val="6B7280"/>
                <w:sz w:val="18"/>
              </w:rPr>
              <w:t>May 18</w:t>
            </w:r>
          </w:p>
        </w:tc>
        <w:tc>
          <w:tcPr>
            <w:tcW w:type="dxa" w:w="5040"/>
            <w:shd w:val="clear" w:color="auto" w:fill="FAFAFA"/>
          </w:tcPr>
          <w:p>
            <w:pPr>
              <w:jc w:val="left"/>
            </w:pPr>
            <w:r>
              <w:rPr>
                <w:b w:val="0"/>
                <w:i w:val="0"/>
                <w:color w:val="1A1A2E"/>
                <w:sz w:val="18"/>
              </w:rPr>
              <w:t>Press embargo placed with Bloomberg, FT, The Athletic, ESPN Brasil</w:t>
            </w:r>
          </w:p>
        </w:tc>
        <w:tc>
          <w:tcPr>
            <w:tcW w:type="dxa" w:w="2160"/>
            <w:shd w:val="clear" w:color="auto" w:fill="FAFAFA"/>
          </w:tcPr>
          <w:p>
            <w:pPr>
              <w:jc w:val="left"/>
            </w:pPr>
            <w:r>
              <w:rPr>
                <w:b w:val="0"/>
                <w:i w:val="0"/>
                <w:color w:val="6B7280"/>
                <w:sz w:val="17"/>
              </w:rPr>
              <w:t>PR team</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19</w:t>
            </w:r>
          </w:p>
        </w:tc>
        <w:tc>
          <w:tcPr>
            <w:tcW w:type="dxa" w:w="5040"/>
            <w:shd w:val="clear" w:color="auto" w:fill="FAFAFA"/>
          </w:tcPr>
          <w:p>
            <w:pPr>
              <w:jc w:val="left"/>
            </w:pPr>
            <w:r>
              <w:rPr>
                <w:b w:val="0"/>
                <w:i w:val="0"/>
                <w:color w:val="1A1A2E"/>
                <w:sz w:val="18"/>
              </w:rPr>
              <w:t>Loyalty Dividend mechanic tested with real CRM data sample</w:t>
            </w:r>
          </w:p>
        </w:tc>
        <w:tc>
          <w:tcPr>
            <w:tcW w:type="dxa" w:w="2160"/>
            <w:shd w:val="clear" w:color="auto" w:fill="FAFAFA"/>
          </w:tcPr>
          <w:p>
            <w:pPr>
              <w:jc w:val="left"/>
            </w:pPr>
            <w:r>
              <w:rPr>
                <w:b w:val="0"/>
                <w:i w:val="0"/>
                <w:color w:val="6B7280"/>
                <w:sz w:val="17"/>
              </w:rPr>
              <w:t>Product + FCB Data</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20</w:t>
            </w:r>
          </w:p>
        </w:tc>
        <w:tc>
          <w:tcPr>
            <w:tcW w:type="dxa" w:w="5040"/>
            <w:shd w:val="clear" w:color="auto" w:fill="FAFAFA"/>
          </w:tcPr>
          <w:p>
            <w:pPr>
              <w:jc w:val="left"/>
            </w:pPr>
            <w:r>
              <w:rPr>
                <w:b w:val="0"/>
                <w:i w:val="0"/>
                <w:color w:val="1A1A2E"/>
                <w:sz w:val="18"/>
              </w:rPr>
              <w:t>Press kit finalized and distributed to embargoing journalists</w:t>
            </w:r>
          </w:p>
        </w:tc>
        <w:tc>
          <w:tcPr>
            <w:tcW w:type="dxa" w:w="2160"/>
            <w:shd w:val="clear" w:color="auto" w:fill="FAFAFA"/>
          </w:tcPr>
          <w:p>
            <w:pPr>
              <w:jc w:val="left"/>
            </w:pPr>
            <w:r>
              <w:rPr>
                <w:b w:val="0"/>
                <w:i w:val="0"/>
                <w:color w:val="6B7280"/>
                <w:sz w:val="17"/>
              </w:rPr>
              <w:t>PR team</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20</w:t>
            </w:r>
          </w:p>
        </w:tc>
        <w:tc>
          <w:tcPr>
            <w:tcW w:type="dxa" w:w="5040"/>
            <w:shd w:val="clear" w:color="auto" w:fill="FAFAFA"/>
          </w:tcPr>
          <w:p>
            <w:pPr>
              <w:jc w:val="left"/>
            </w:pPr>
            <w:r>
              <w:rPr>
                <w:b w:val="0"/>
                <w:i w:val="0"/>
                <w:color w:val="1A1A2E"/>
                <w:sz w:val="18"/>
              </w:rPr>
              <w:t>Paid media campaigns loaded, reviewed, and approved</w:t>
            </w:r>
          </w:p>
        </w:tc>
        <w:tc>
          <w:tcPr>
            <w:tcW w:type="dxa" w:w="2160"/>
            <w:shd w:val="clear" w:color="auto" w:fill="FAFAFA"/>
          </w:tcPr>
          <w:p>
            <w:pPr>
              <w:jc w:val="left"/>
            </w:pPr>
            <w:r>
              <w:rPr>
                <w:b w:val="0"/>
                <w:i w:val="0"/>
                <w:color w:val="6B7280"/>
                <w:sz w:val="17"/>
              </w:rPr>
              <w:t>Media agency</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21</w:t>
            </w:r>
          </w:p>
        </w:tc>
        <w:tc>
          <w:tcPr>
            <w:tcW w:type="dxa" w:w="5040"/>
            <w:shd w:val="clear" w:color="auto" w:fill="FAFAFA"/>
          </w:tcPr>
          <w:p>
            <w:pPr>
              <w:jc w:val="left"/>
            </w:pPr>
            <w:r>
              <w:rPr>
                <w:b w:val="0"/>
                <w:i w:val="0"/>
                <w:color w:val="1A1A2E"/>
                <w:sz w:val="18"/>
              </w:rPr>
              <w:t>OOH remnant inventory booked in São Paulo + Mexico City (minimum)</w:t>
            </w:r>
          </w:p>
        </w:tc>
        <w:tc>
          <w:tcPr>
            <w:tcW w:type="dxa" w:w="2160"/>
            <w:shd w:val="clear" w:color="auto" w:fill="FAFAFA"/>
          </w:tcPr>
          <w:p>
            <w:pPr>
              <w:jc w:val="left"/>
            </w:pPr>
            <w:r>
              <w:rPr>
                <w:b w:val="0"/>
                <w:i w:val="0"/>
                <w:color w:val="6B7280"/>
                <w:sz w:val="17"/>
              </w:rPr>
              <w:t>Media agency</w:t>
            </w:r>
          </w:p>
        </w:tc>
        <w:tc>
          <w:tcPr>
            <w:tcW w:type="dxa" w:w="576"/>
            <w:shd w:val="clear" w:color="auto" w:fill="E67E22"/>
          </w:tcPr>
          <w:p>
            <w:pPr>
              <w:jc w:val="left"/>
            </w:pPr>
            <w:r>
              <w:rPr>
                <w:b/>
                <w:color w:val="FFFFFF"/>
                <w:sz w:val="18"/>
              </w:rPr>
            </w:r>
          </w:p>
        </w:tc>
      </w:tr>
      <w:tr>
        <w:tc>
          <w:tcPr>
            <w:tcW w:type="dxa" w:w="1584"/>
            <w:shd w:val="clear" w:color="auto" w:fill="FAFAFA"/>
          </w:tcPr>
          <w:p>
            <w:pPr>
              <w:jc w:val="left"/>
            </w:pPr>
            <w:r>
              <w:rPr>
                <w:b w:val="0"/>
                <w:i w:val="0"/>
                <w:color w:val="6B7280"/>
                <w:sz w:val="18"/>
              </w:rPr>
              <w:t>May 22</w:t>
            </w:r>
          </w:p>
        </w:tc>
        <w:tc>
          <w:tcPr>
            <w:tcW w:type="dxa" w:w="5040"/>
            <w:shd w:val="clear" w:color="auto" w:fill="FAFAFA"/>
          </w:tcPr>
          <w:p>
            <w:pPr>
              <w:jc w:val="left"/>
            </w:pPr>
            <w:r>
              <w:rPr>
                <w:b w:val="0"/>
                <w:i w:val="0"/>
                <w:color w:val="1A1A2E"/>
                <w:sz w:val="18"/>
              </w:rPr>
              <w:t>Full launch readiness review with FCB + Surgence</w:t>
            </w:r>
          </w:p>
        </w:tc>
        <w:tc>
          <w:tcPr>
            <w:tcW w:type="dxa" w:w="2160"/>
            <w:shd w:val="clear" w:color="auto" w:fill="FAFAFA"/>
          </w:tcPr>
          <w:p>
            <w:pPr>
              <w:jc w:val="left"/>
            </w:pPr>
            <w:r>
              <w:rPr>
                <w:b w:val="0"/>
                <w:i w:val="0"/>
                <w:color w:val="6B7280"/>
                <w:sz w:val="17"/>
              </w:rPr>
              <w:t>Walter</w:t>
            </w:r>
          </w:p>
        </w:tc>
        <w:tc>
          <w:tcPr>
            <w:tcW w:type="dxa" w:w="576"/>
            <w:shd w:val="clear" w:color="auto" w:fill="2D7D46"/>
          </w:tcPr>
          <w:p>
            <w:pPr>
              <w:jc w:val="left"/>
            </w:pPr>
            <w:r>
              <w:rPr>
                <w:b/>
                <w:color w:val="FFFFFF"/>
                <w:sz w:val="18"/>
              </w:rPr>
            </w:r>
          </w:p>
        </w:tc>
      </w:tr>
      <w:tr>
        <w:tc>
          <w:tcPr>
            <w:tcW w:type="dxa" w:w="1584"/>
            <w:shd w:val="clear" w:color="auto" w:fill="FAFAFA"/>
          </w:tcPr>
          <w:p>
            <w:pPr>
              <w:jc w:val="left"/>
            </w:pPr>
            <w:r>
              <w:rPr>
                <w:b w:val="0"/>
                <w:i w:val="0"/>
                <w:color w:val="6B7280"/>
                <w:sz w:val="18"/>
              </w:rPr>
              <w:t>May 23</w:t>
            </w:r>
          </w:p>
        </w:tc>
        <w:tc>
          <w:tcPr>
            <w:tcW w:type="dxa" w:w="5040"/>
            <w:shd w:val="clear" w:color="auto" w:fill="FAFAFA"/>
          </w:tcPr>
          <w:p>
            <w:pPr>
              <w:jc w:val="left"/>
            </w:pPr>
            <w:r>
              <w:rPr>
                <w:b w:val="0"/>
                <w:i w:val="0"/>
                <w:color w:val="1A1A2E"/>
                <w:sz w:val="18"/>
              </w:rPr>
              <w:t>Go / No-Go decision for May 24 announcement</w:t>
            </w:r>
          </w:p>
        </w:tc>
        <w:tc>
          <w:tcPr>
            <w:tcW w:type="dxa" w:w="2160"/>
            <w:shd w:val="clear" w:color="auto" w:fill="FAFAFA"/>
          </w:tcPr>
          <w:p>
            <w:pPr>
              <w:jc w:val="left"/>
            </w:pPr>
            <w:r>
              <w:rPr>
                <w:b w:val="0"/>
                <w:i w:val="0"/>
                <w:color w:val="6B7280"/>
                <w:sz w:val="17"/>
              </w:rPr>
              <w:t>FCB leadership</w:t>
            </w:r>
          </w:p>
        </w:tc>
        <w:tc>
          <w:tcPr>
            <w:tcW w:type="dxa" w:w="576"/>
            <w:shd w:val="clear" w:color="auto" w:fill="2D7D46"/>
          </w:tcPr>
          <w:p>
            <w:pPr>
              <w:jc w:val="left"/>
            </w:pPr>
            <w:r>
              <w:rPr>
                <w:b/>
                <w:color w:val="FFFFFF"/>
                <w:sz w:val="18"/>
              </w:rPr>
            </w:r>
          </w:p>
        </w:tc>
      </w:tr>
      <w:tr>
        <w:tc>
          <w:tcPr>
            <w:tcW w:type="dxa" w:w="1584"/>
            <w:shd w:val="clear" w:color="auto" w:fill="FAFAFA"/>
          </w:tcPr>
          <w:p>
            <w:pPr>
              <w:jc w:val="left"/>
            </w:pPr>
            <w:r>
              <w:rPr>
                <w:b w:val="0"/>
                <w:i w:val="0"/>
                <w:color w:val="6B7280"/>
                <w:sz w:val="18"/>
              </w:rPr>
              <w:t>May 24</w:t>
            </w:r>
          </w:p>
        </w:tc>
        <w:tc>
          <w:tcPr>
            <w:tcW w:type="dxa" w:w="5040"/>
            <w:shd w:val="clear" w:color="auto" w:fill="FAFAFA"/>
          </w:tcPr>
          <w:p>
            <w:pPr>
              <w:jc w:val="left"/>
            </w:pPr>
            <w:r>
              <w:rPr>
                <w:b w:val="0"/>
                <w:i w:val="0"/>
                <w:color w:val="1A1A2E"/>
                <w:sz w:val="18"/>
              </w:rPr>
              <w:t>ANNOUNCEMENT — Final La Liga match day</w:t>
            </w:r>
          </w:p>
        </w:tc>
        <w:tc>
          <w:tcPr>
            <w:tcW w:type="dxa" w:w="2160"/>
            <w:shd w:val="clear" w:color="auto" w:fill="FAFAFA"/>
          </w:tcPr>
          <w:p>
            <w:pPr>
              <w:jc w:val="left"/>
            </w:pPr>
            <w:r>
              <w:rPr>
                <w:b w:val="0"/>
                <w:i w:val="0"/>
                <w:color w:val="6B7280"/>
                <w:sz w:val="17"/>
              </w:rPr>
              <w:t>All</w:t>
            </w:r>
          </w:p>
        </w:tc>
        <w:tc>
          <w:tcPr>
            <w:tcW w:type="dxa" w:w="576"/>
            <w:shd w:val="clear" w:color="auto" w:fill="A50044"/>
          </w:tcPr>
          <w:p>
            <w:pPr>
              <w:jc w:val="left"/>
            </w:pPr>
            <w:r>
              <w:rPr>
                <w:b/>
                <w:color w:val="FFFFFF"/>
                <w:sz w:val="18"/>
              </w:rPr>
            </w:r>
          </w:p>
        </w:tc>
      </w:tr>
    </w:tbl>
    <w:p/>
    <w:p>
      <w:pPr>
        <w:spacing w:before="80" w:after="80"/>
        <w:pBdr>
          <w:bottom w:val="single" w:sz="4" w:space="1" w:color="A50044"/>
        </w:pBdr>
      </w:pPr>
    </w:p>
    <w:p>
      <w:pPr>
        <w:spacing w:before="360" w:after="80"/>
      </w:pPr>
      <w:r>
        <w:rPr>
          <w:b/>
          <w:color w:val="A50044"/>
          <w:sz w:val="32"/>
        </w:rPr>
        <w:t>09  WHAT THE PLAN GETS RIGHT</w:t>
      </w:r>
    </w:p>
    <w:p>
      <w:pPr>
        <w:spacing w:after="120"/>
      </w:pPr>
      <w:r>
        <w:rPr>
          <w:i w:val="0"/>
          <w:color w:val="1A1A2E"/>
          <w:sz w:val="20"/>
        </w:rPr>
        <w:t>This memo has focused on gaps. For completeness: the plan's strategic layer is strong. These elements should not be changed.</w:t>
      </w:r>
    </w:p>
    <w:p>
      <w:pPr>
        <w:spacing w:before="60" w:after="20"/>
      </w:pPr>
      <w:r>
        <w:rPr>
          <w:b/>
          <w:color w:val="27AE60"/>
          <w:sz w:val="20"/>
        </w:rPr>
        <w:t>✓  World Cup timing</w:t>
      </w:r>
    </w:p>
    <w:p>
      <w:pPr>
        <w:spacing w:after="140"/>
      </w:pPr>
      <w:r>
        <w:rPr>
          <w:color w:val="6B7280"/>
          <w:sz w:val="18"/>
        </w:rPr>
        <w:t>Anchoring to June 11–July 19 is the correct commercial decision. This is the single best window for a football-branded financial product in LatAm in a generation.</w:t>
      </w:r>
    </w:p>
    <w:p>
      <w:pPr>
        <w:spacing w:before="60" w:after="20"/>
      </w:pPr>
      <w:r>
        <w:rPr>
          <w:b/>
          <w:color w:val="27AE60"/>
          <w:sz w:val="20"/>
        </w:rPr>
        <w:t>✓  100% Web2 for Phase 1</w:t>
      </w:r>
    </w:p>
    <w:p>
      <w:pPr>
        <w:spacing w:after="140"/>
      </w:pPr>
      <w:r>
        <w:rPr>
          <w:color w:val="6B7280"/>
          <w:sz w:val="18"/>
        </w:rPr>
        <w:t>The decision to exclude all token/crypto language from Phase 1 is correct. It widens the addressable audience by an order of magnitude and removes regulatory exposure during the most critical window.</w:t>
      </w:r>
    </w:p>
    <w:p>
      <w:pPr>
        <w:spacing w:before="60" w:after="20"/>
      </w:pPr>
      <w:r>
        <w:rPr>
          <w:b/>
          <w:color w:val="27AE60"/>
          <w:sz w:val="20"/>
        </w:rPr>
        <w:t>✓  Loyalty Dividend mechanic</w:t>
      </w:r>
    </w:p>
    <w:p>
      <w:pPr>
        <w:spacing w:after="140"/>
      </w:pPr>
      <w:r>
        <w:rPr>
          <w:color w:val="6B7280"/>
          <w:sz w:val="18"/>
        </w:rPr>
        <w:t>The concept — a personalised card showing lifetime FCB spend vs. cashback earned — is genuinely differentiated. The ETHGas report (590K shares) and ORBT DeFi Score (70K shares) precedents validate the shareability thesis. This is the right hero mechanic.</w:t>
      </w:r>
    </w:p>
    <w:p>
      <w:pPr>
        <w:spacing w:before="60" w:after="20"/>
      </w:pPr>
      <w:r>
        <w:rPr>
          <w:b/>
          <w:color w:val="27AE60"/>
          <w:sz w:val="20"/>
        </w:rPr>
        <w:t>✓  Surgence community architecture</w:t>
      </w:r>
    </w:p>
    <w:p>
      <w:pPr>
        <w:spacing w:after="140"/>
      </w:pPr>
      <w:r>
        <w:rPr>
          <w:color w:val="6B7280"/>
          <w:sz w:val="18"/>
        </w:rPr>
        <w:t>Reddit sleeper agents, Facebook group admins, WhatsApp seeding — the playbook is sophisticated and appropriate for the fan-first audience. No other neobank is doing this.</w:t>
      </w:r>
    </w:p>
    <w:p>
      <w:pPr>
        <w:spacing w:before="60" w:after="20"/>
      </w:pPr>
      <w:r>
        <w:rPr>
          <w:b/>
          <w:color w:val="27AE60"/>
          <w:sz w:val="20"/>
        </w:rPr>
        <w:t>✓  Daily Player Drop cadence</w:t>
      </w:r>
    </w:p>
    <w:p>
      <w:pPr>
        <w:spacing w:after="140"/>
      </w:pPr>
      <w:r>
        <w:rPr>
          <w:color w:val="6B7280"/>
          <w:sz w:val="18"/>
        </w:rPr>
        <w:t>One player per day starting May 25 is the right format for Instagram Stories. It creates a reason to return daily and gives each market a moment without diluting the whole.</w:t>
      </w:r>
    </w:p>
    <w:p>
      <w:pPr>
        <w:spacing w:before="60" w:after="20"/>
      </w:pPr>
      <w:r>
        <w:rPr>
          <w:b/>
          <w:color w:val="27AE60"/>
          <w:sz w:val="20"/>
        </w:rPr>
        <w:t>✓  Phase 1 / Phase 2 sequencing</w:t>
      </w:r>
    </w:p>
    <w:p>
      <w:pPr>
        <w:spacing w:after="140"/>
      </w:pPr>
      <w:r>
        <w:rPr>
          <w:color w:val="6B7280"/>
          <w:sz w:val="18"/>
        </w:rPr>
        <w:t>Hard-separating the neobank launch from the TGE is strategically correct. Building 300K+ activated users before the token drop creates a real product beneath the token, not the reverse.</w:t>
      </w:r>
    </w:p>
    <w:p/>
    <w:p>
      <w:pPr>
        <w:spacing w:before="80" w:after="80"/>
        <w:pBdr>
          <w:bottom w:val="single" w:sz="4" w:space="1" w:color="A50044"/>
        </w:pBdr>
      </w:pPr>
    </w:p>
    <w:p>
      <w:pPr>
        <w:spacing w:before="240" w:after="80"/>
      </w:pPr>
      <w:r>
        <w:rPr>
          <w:b/>
          <w:color w:val="A50044"/>
          <w:sz w:val="24"/>
        </w:rPr>
        <w:t>BOTTOM LINE</w:t>
      </w:r>
    </w:p>
    <w:p>
      <w:pPr>
        <w:spacing w:after="120"/>
      </w:pPr>
      <w:r>
        <w:rPr>
          <w:b/>
          <w:color w:val="1A1A2E"/>
          <w:sz w:val="21"/>
        </w:rPr>
        <w:t>The plan is not the problem. The gap between the plan and the current state of readiness is the problem. As of May 10, the Surgence contract being unsigned is the only blocker that matters. Everything else is downstream of that signature. The question for today's leadership meeting is not strategic — it is operational: who signs, and when.</w:t>
      </w:r>
    </w:p>
    <w:p>
      <w:pPr>
        <w:spacing w:after="80"/>
      </w:pPr>
      <w:r>
        <w:rPr>
          <w:i/>
          <w:color w:val="6B7280"/>
          <w:sz w:val="17"/>
        </w:rPr>
        <w:t>Prepared by Surgence Labs for FC Barcelona Banc leadership review.  Document status: INTERNAL DRAFT.  Not for external distribution.</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