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0"/>
      </w:tblGrid>
      <w:tr>
        <w:tc>
          <w:tcPr>
            <w:tcW w:type="dxa" w:w="22320"/>
            <w:shd w:val="clear" w:color="auto" w:fill="A50044"/>
          </w:tcPr>
          <w:p>
            <w:pPr>
              <w:spacing w:before="200" w:after="40"/>
            </w:pPr>
            <w:r>
              <w:rPr>
                <w:b/>
                <w:color w:val="FFFFFF"/>
                <w:sz w:val="36"/>
              </w:rPr>
              <w:t>FC BARCELONA BANC — PHASE 1  ·  RACI MATRIX</w:t>
            </w:r>
          </w:p>
          <w:p>
            <w:pPr>
              <w:spacing w:after="200"/>
            </w:pPr>
            <w:r>
              <w:rPr>
                <w:color w:val="EDBB40"/>
                <w:sz w:val="18"/>
              </w:rPr>
              <w:t>R = Responsible (does the work)   ·   A = Accountable (owns the outcome)   ·   C = Consulted (input required before action)   ·   I = Informed (kept updated)   ·   May 10, 2026   ·   CONFIDENTIAL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1728"/>
        <w:gridCol w:w="1728"/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6"/>
              </w:rPr>
              <w:t>Workstream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Walter</w:t>
              <w:br/>
              <w:t>(CMO)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FCB</w:t>
              <w:br/>
              <w:t>Leadership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FCB</w:t>
              <w:br/>
              <w:t>Legal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FCB</w:t>
              <w:br/>
              <w:t>Product/Tech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FCB</w:t>
              <w:br/>
              <w:t>Data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Surgence</w:t>
              <w:br/>
              <w:t>Labs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Media</w:t>
              <w:br/>
              <w:t>Agency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PR</w:t>
              <w:br/>
              <w:t>Team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Web</w:t>
              <w:br/>
              <w:t>Agency</w:t>
            </w:r>
          </w:p>
        </w:tc>
        <w:tc>
          <w:tcPr>
            <w:tcW w:type="dxa" w:w="2029"/>
            <w:shd w:val="clear" w:color="auto" w:fill="1A1A2E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6"/>
              </w:rPr>
              <w:t>Legal Counsel</w:t>
              <w:br/>
              <w:t>(BR/MX/AR/CO)</w:t>
            </w:r>
          </w:p>
        </w:tc>
      </w:tr>
      <w:tr>
        <w:tc>
          <w:tcPr>
            <w:tcW w:type="dxa" w:w="22320"/>
            <w:gridSpan w:val="11"/>
            <w:shd w:val="clear" w:color="auto" w:fill="2D3748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PHASE 0 — GOVERNANCE &amp; SETUP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Sign Surgence contract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Appoint paid media agency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Appoint PR agency / team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Appoint web / dev agency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Identify legal counsel — 4 markets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Define Phase gate go/no-go criteria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Surgence entity decision confirmed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22320"/>
            <w:gridSpan w:val="11"/>
            <w:shd w:val="clear" w:color="auto" w:fill="7B341E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PHASE 1 — PRE-LAUNCH SPRINT  (May 10–24)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Brand identity system (logo, type, color, tone)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Country-Edition card artwork brief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Country-Edition card artwork to printer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Landing page / waitlist (design + build)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Landing page QA + mobile optimization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 Store + Google Play submission (4 markets)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 Store optimization (ASO) copy + assets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banc.fcbarcelona.com product pages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Analytics + attribution setup (UTM, funnels)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CRM data access + LGPD/privacy compliance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Loyalty Dividend integration + QA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Press kit assembly (assets, pitch, stats)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Press embargo placed — 10 journalists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Email onboarding sequence (6 emails written)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Email CRM platform configured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legal framework — disclosure language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brief template + NDA drafted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Sweepstakes legal compliance (VIP Draw)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Financial advertising compliance — 4 markets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WhatsApp community seeding — prep + launch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Facebook group admin outreach (30 admins)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Reddit sleeper agent accounts primed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Korea activation brief + local partner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Paid media plan + budget (by market)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Paid media creative brief + asset specs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Meta / Google / TikTok campaigns built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OOH remnant inventory booked — LatAm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Crisis response playbook written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Korea Web2-first content calendar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Full launch readiness review (all teams)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Go / No-Go decision — May 23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22320"/>
            <w:gridSpan w:val="11"/>
            <w:shd w:val="clear" w:color="auto" w:fill="A50044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PHASE 2 — LAUNCH DAY  (May 24)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Press embargo lift — coordinated 10:00 CET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FCB owned social posts (IG/TikTok/X/YouTube)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WhatsApp broadcast (50M fans)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Loyalty Dividend live — banc.fcbarcelona.com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Country-Edition card pre-order opens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Daily Player Drop — Day 1 (Instagram Stories)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Paid media campaigns go live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Reddit / community organic seeding — Day 1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Founder / CEO personal thread (X)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Wave 1 posts — Day 1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Real-time monitoring + response team on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22320"/>
            <w:gridSpan w:val="11"/>
            <w:shd w:val="clear" w:color="auto" w:fill="1A5276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PHASE 3 — WORLD CUP WINDOW  (June 11 – July 19)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 Boost Days — mechanic + push notifications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 Boost Days — content calendar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Win Bonus — real-time FIFA data trigger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Win Bonus — notification design + copy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MOTM Cashback — category mapping (32 matches)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MOTM Cashback — content + announcement per match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Country-Edition card — fulfillment + shipping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Country-Edition card — unboxing creator brief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Bracket Prediction Game — product live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Bracket Prediction Game — content + leaderboard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Final Ticket VIP Draw — legal compliance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Final Ticket VIP Draw — weekly sub-prizes announced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Wave 2 (60 Tier 2) — briefed + live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Wave 3 (110 Tier 3) — briefed + live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content compliance review — ongoing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Creator attribution + CPA tracking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Paid media optimization — weekly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OOH — World Cup opener placements live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Daily Player Drop — ongoing (daily)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WhatsApp seeding — ongoing match-by-match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Facebook group community management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Reddit organic amplification — ongoing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Phase 2 earned moment — World Cup opener PR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Real-time data press releases (Country Boost stats)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Weekly funnel report — all markets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CAC optimization — by market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22320"/>
            <w:gridSpan w:val="11"/>
            <w:shd w:val="clear" w:color="auto" w:fill="1A7A4A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PHASE 4 — POST-WORLD CUP RETENTION  (August onward)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Monthly Culer Report — Edition 1 (Aug 1)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Monthly Culer Report — template + design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La Liga 2026-27 season activation brief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Daily Player Drop — new season cadence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Culer Lane — owned community setup (Discord/TG)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Culer Lane — member perks program design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Referral engine — permanent product feature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Win-back email sequence — inactive users at Day 30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Post-WC analytics review — cohort analysis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TGE bridge narrative — Phase 2 story drafted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Phase 2 (TGE) team briefed and scoped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22320"/>
            <w:gridSpan w:val="11"/>
            <w:shd w:val="clear" w:color="auto" w:fill="4A1942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 STANDING — CRISIS &amp; COMPETITIVE RESPONSE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 crash / outage — response lead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App crash — customer comms (push + email)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20"/>
              </w:rPr>
              <w:t>I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Security / data incident — legal escalation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Security incident — public statement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Regulatory inquiry — market-specific response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Regulatory inquiry — advertising pause in market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Competitor counter-campaign — response brief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Negative viral moment — social listening alert</w:t>
            </w:r>
          </w:p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Negative viral moment — community response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20"/>
              </w:rPr>
              <w:t>C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  <w:tr>
        <w:tc>
          <w:tcPr>
            <w:tcW w:type="dxa" w:w="5040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7"/>
              </w:rPr>
              <w:t>Social listening tool — always on</w:t>
            </w:r>
          </w:p>
        </w:tc>
        <w:tc>
          <w:tcPr>
            <w:tcW w:type="dxa" w:w="1728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20"/>
              </w:rPr>
              <w:t>A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20"/>
              </w:rPr>
              <w:t>R</w:t>
            </w:r>
          </w:p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  <w:tc>
          <w:tcPr>
            <w:tcW w:type="dxa" w:w="1728"/>
            <w:shd w:val="clear" w:color="auto" w:fill="F9FAFB"/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  <w:shd w:val="clear" w:color="auto" w:fill="1A1A2E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LEGEND</w:t>
            </w:r>
          </w:p>
        </w:tc>
        <w:tc>
          <w:tcPr>
            <w:tcW w:type="dxa" w:w="4464"/>
            <w:shd w:val="clear" w:color="auto" w:fill="FFF0F4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A50044"/>
                <w:sz w:val="18"/>
              </w:rPr>
              <w:t>R</w:t>
            </w:r>
          </w:p>
        </w:tc>
        <w:tc>
          <w:tcPr>
            <w:tcW w:type="dxa" w:w="4464"/>
            <w:shd w:val="clear" w:color="auto" w:fill="FFFD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785A00"/>
                <w:sz w:val="18"/>
              </w:rPr>
              <w:t>A</w:t>
            </w:r>
          </w:p>
        </w:tc>
        <w:tc>
          <w:tcPr>
            <w:tcW w:type="dxa" w:w="4464"/>
            <w:shd w:val="clear" w:color="auto" w:fill="EFF6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5F99"/>
                <w:sz w:val="18"/>
              </w:rPr>
              <w:t>C</w:t>
            </w:r>
          </w:p>
        </w:tc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6B7280"/>
                <w:sz w:val="18"/>
              </w:rPr>
              <w:t>I</w:t>
            </w:r>
          </w:p>
        </w:tc>
      </w:tr>
      <w:tr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/>
                <w:color w:val="6B7280"/>
                <w:sz w:val="15"/>
              </w:rPr>
              <w:t>FC Barcelona Banc · Phase 1 RACI · May 10, 2026 · CONFIDENTIAL</w:t>
            </w:r>
          </w:p>
        </w:tc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6B7280"/>
                <w:sz w:val="16"/>
              </w:rPr>
              <w:t>Responsible — does the work</w:t>
            </w:r>
          </w:p>
        </w:tc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6B7280"/>
                <w:sz w:val="16"/>
              </w:rPr>
              <w:t>Accountable — owns the outcome, one per row</w:t>
            </w:r>
          </w:p>
        </w:tc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6B7280"/>
                <w:sz w:val="16"/>
              </w:rPr>
              <w:t>Consulted — input required before action</w:t>
            </w:r>
          </w:p>
        </w:tc>
        <w:tc>
          <w:tcPr>
            <w:tcW w:type="dxa" w:w="4464"/>
            <w:shd w:val="clear" w:color="auto" w:fill="F9FAFB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6B7280"/>
                <w:sz w:val="16"/>
              </w:rPr>
              <w:t>Informed — kept updated, no action required</w:t>
            </w:r>
          </w:p>
        </w:tc>
      </w:tr>
    </w:tbl>
    <w:sectPr w:rsidR="00FC693F" w:rsidRPr="0006063C" w:rsidSect="00034616">
      <w:pgSz w:w="23760" w:h="16848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