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120"/>
        <w:pBdr>
          <w:bottom w:val="single" w:sz="6" w:space="4" w:color="C9C9C2"/>
        </w:pBdr>
      </w:pPr>
      <w:r>
        <w:rPr>
          <w:rFonts w:ascii="Cambria" w:hAnsi="Cambria" w:cs="Cambria"/>
          <w:b/>
          <w:i w:val="0"/>
          <w:color w:val="1C1C1A"/>
          <w:sz w:val="32"/>
        </w:rPr>
        <w:t>Классификация ДУЧП 2-го порядка и приведение к каноническому виду</w:t>
      </w:r>
    </w:p>
    <w:p>
      <w:pPr>
        <w:spacing w:after="40" w:line="276" w:lineRule="auto"/>
      </w:pPr>
      <w:r>
        <w:rPr>
          <w:rFonts w:ascii="Cambria" w:hAnsi="Cambria" w:cs="Cambria"/>
          <w:b/>
          <w:i w:val="0"/>
          <w:color w:val="1C1C1A"/>
          <w:sz w:val="21"/>
        </w:rPr>
        <w:t xml:space="preserve">Состав группы: </w:t>
      </w:r>
      <w:r>
        <w:rPr>
          <w:rFonts w:ascii="Cambria" w:hAnsi="Cambria" w:cs="Cambria"/>
          <w:b w:val="0"/>
          <w:i w:val="0"/>
          <w:color w:val="1C1C1A"/>
          <w:sz w:val="21"/>
        </w:rPr>
        <w:t>______________________________</w:t>
      </w:r>
    </w:p>
    <w:p>
      <w:pPr>
        <w:spacing w:before="0" w:after="80" w:line="276" w:lineRule="auto"/>
      </w:pPr>
      <w:r>
        <w:rPr>
          <w:rFonts w:ascii="Cambria" w:hAnsi="Cambria" w:cs="Cambria"/>
          <w:b w:val="0"/>
          <w:i w:val="0"/>
          <w:color w:val="5A5A54"/>
          <w:sz w:val="21"/>
        </w:rPr>
        <w:t>Выполнены все три пункта — A, B и C. Ядро написано на Python 3, виджет — на JavaScript. Готовые функции, решающие саму задачу, не использовались; что именно сделано вручную — в конце отчёта.</w:t>
      </w:r>
    </w:p>
    <w:p>
      <w:pPr>
        <w:keepNext/>
        <w:spacing w:before="320" w:after="120"/>
        <w:pBdr>
          <w:bottom w:val="single" w:sz="6" w:space="4" w:color="C9C9C2"/>
        </w:pBdr>
      </w:pPr>
      <w:r>
        <w:rPr>
          <w:rFonts w:ascii="Cambria" w:hAnsi="Cambria" w:cs="Cambria"/>
          <w:b/>
          <w:i w:val="0"/>
          <w:color w:val="23408E"/>
          <w:sz w:val="26"/>
        </w:rPr>
        <w:t>A. Определение типа и замены переменных по коэффициентам</w:t>
      </w: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Реализованы два независимых метода — это заодно даёт взаимную проверку.</w:t>
      </w:r>
    </w:p>
    <w:p>
      <w:pPr>
        <w:keepNext/>
        <w:spacing w:before="240" w:after="120"/>
      </w:pPr>
      <w:r>
        <w:rPr>
          <w:rFonts w:ascii="Cambria" w:hAnsi="Cambria" w:cs="Cambria"/>
          <w:b/>
          <w:i w:val="0"/>
          <w:color w:val="23408E"/>
          <w:sz w:val="23"/>
        </w:rPr>
        <w:t>A.1. Произвольное число переменных — метод Лагранжа</w:t>
      </w: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Уравнение Σ aᵢⱼ·u_xᵢxⱼ + F = 0 задаёт характеристическую квадратичную форму Q(λ) = Σ aᵢⱼ λᵢλⱼ. Выделением полных квадратов она приводится к виду Σ βᵢ μᵢ² заменой μ = Cλ. Далее P = C⁻¹, а замена переменных в самом уравнении есть ξ = Pᵀx — уравнение принимает вид Σ βᵢ·u_ξᵢξᵢ + F̃ = 0.</w:t>
      </w:r>
    </w:p>
    <w:p>
      <w:pPr>
        <w:spacing w:before="0" w:after="8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Тип читается по набору 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386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Условие на β</w:t>
            </w:r>
          </w:p>
        </w:tc>
        <w:tc>
          <w:tcPr>
            <w:tcW w:type="dxa" w:w="3969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Тип уравнения</w:t>
            </w:r>
          </w:p>
        </w:tc>
      </w:tr>
      <w:tr>
        <w:tc>
          <w:tcPr>
            <w:tcW w:type="dxa" w:w="5386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все βᵢ ≠ 0, знаки не все одинаковы</w:t>
            </w:r>
          </w:p>
        </w:tc>
        <w:tc>
          <w:tcPr>
            <w:tcW w:type="dxa" w:w="3969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гиперболический</w:t>
            </w:r>
          </w:p>
        </w:tc>
      </w:tr>
      <w:tr>
        <w:tc>
          <w:tcPr>
            <w:tcW w:type="dxa" w:w="5386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есть βᵢ = 0</w:t>
            </w:r>
          </w:p>
        </w:tc>
        <w:tc>
          <w:tcPr>
            <w:tcW w:type="dxa" w:w="3969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параболический</w:t>
            </w:r>
          </w:p>
        </w:tc>
      </w:tr>
      <w:tr>
        <w:tc>
          <w:tcPr>
            <w:tcW w:type="dxa" w:w="5386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все βᵢ ≠ 0 и одного знака</w:t>
            </w:r>
          </w:p>
        </w:tc>
        <w:tc>
          <w:tcPr>
            <w:tcW w:type="dxa" w:w="3969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эллиптический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Тонкое место — форма без единого квадрата (например Q = λ₁λ₂): выделять нечего. Тогда сначала делается замена λᵢ = (νᵢ+νⱼ)/2, λⱼ = (νᵢ−νⱼ)/2, и только потом выделяются квадраты. Это ровно приём из Примера 1 разбора к лекции.</w:t>
      </w:r>
    </w:p>
    <w:p>
      <w:pPr>
        <w:spacing w:after="60" w:line="276" w:lineRule="auto"/>
      </w:pPr>
      <w:r>
        <w:rPr>
          <w:rFonts w:ascii="Cambria" w:hAnsi="Cambria" w:cs="Cambria"/>
          <w:b/>
          <w:i w:val="0"/>
          <w:color w:val="1C1C1A"/>
          <w:sz w:val="21"/>
        </w:rPr>
        <w:t xml:space="preserve">Пример 1. </w:t>
      </w:r>
      <w:r>
        <w:rPr>
          <w:rFonts w:ascii="Cambria" w:hAnsi="Cambria" w:cs="Cambria"/>
          <w:b w:val="0"/>
          <w:i w:val="0"/>
          <w:color w:val="1C1C1A"/>
          <w:sz w:val="21"/>
        </w:rPr>
        <w:t>u_xy − 2u_xz + u_yz + u_x + ½u_y = 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тип:  гиперболический,   beta = (1, -1, 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 xml:space="preserve">      [ 1/2   1/2  -1/2 ]           [ 1   1  -V2/2 ]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C  =  [ 1/2  -1/2   3/2 ]     P  =  [ 1  -1   V2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 xml:space="preserve">      [  0     0    V2  ]           [ 0   0   V2/2 ]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замена:  xi1 = x + y     xi2 = x - y     xi3 = V2*(-x + 2y + z)/2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канон:   u_xi1xi1 - u_xi2xi2 + u_xi3xi3 + F =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проверка P^T*A*P = diag(beta):  сходится        (V2 = корень из 2)</w:t>
            </w:r>
          </w:p>
        </w:tc>
      </w:tr>
    </w:tbl>
    <w:p>
      <w:pPr>
        <w:spacing w:before="0" w:after="80" w:line="276" w:lineRule="auto"/>
      </w:pPr>
    </w:p>
    <w:p>
      <w:pPr>
        <w:spacing w:after="60" w:line="276" w:lineRule="auto"/>
      </w:pPr>
      <w:r>
        <w:rPr>
          <w:rFonts w:ascii="Cambria" w:hAnsi="Cambria" w:cs="Cambria"/>
          <w:b/>
          <w:i w:val="0"/>
          <w:color w:val="1C1C1A"/>
          <w:sz w:val="21"/>
        </w:rPr>
        <w:t xml:space="preserve">Пример 2. </w:t>
      </w:r>
      <w:r>
        <w:rPr>
          <w:rFonts w:ascii="Cambria" w:hAnsi="Cambria" w:cs="Cambria"/>
          <w:b w:val="0"/>
          <w:i w:val="0"/>
          <w:color w:val="1C1C1A"/>
          <w:sz w:val="21"/>
        </w:rPr>
        <w:t>u_xx + 2u_xy + 5u_yy − 32u = 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тип:  эллиптический,   beta = (1, 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замена:  xi1 = x        xi2 = -x/2 + y/2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канон:   u_xi1xi1 + u_xi2xi2 + F = 0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Cambria" w:hAnsi="Cambria" w:cs="Cambria"/>
          <w:b w:val="0"/>
          <w:i/>
          <w:color w:val="5A5A54"/>
          <w:sz w:val="21"/>
        </w:rPr>
        <w:t>Оба ответа совпали с разбором к лекции посимвольно, включая радикалы.</w:t>
      </w:r>
    </w:p>
    <w:p>
      <w:pPr>
        <w:keepNext/>
        <w:spacing w:before="240" w:after="120"/>
      </w:pPr>
      <w:r>
        <w:rPr>
          <w:rFonts w:ascii="Cambria" w:hAnsi="Cambria" w:cs="Cambria"/>
          <w:b/>
          <w:i w:val="0"/>
          <w:color w:val="23408E"/>
          <w:sz w:val="23"/>
        </w:rPr>
        <w:t>A.2. Две переменные — метод характеристик</w:t>
      </w: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Для a₁₁u_xx + 2a₁₂u_xy + a₂₂u_yy + F = 0 характеристическое уравнение a₁₁dy² − 2a₁₂dxdy + a₂₂dx² = 0 имеет дискриминант D = a₁₂² − a₁₁a₂₂: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D &gt; 0 — две характеристики, ξ = φ, η = ψ, канонический вид u_ξη = Φ;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D = 0 — одна характеристика, ξ = φ, η — любая с ненулевым якобианом, u_ηη = Φ;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D &lt; 0 — корни комплексно сопряжены, ξ = Re φ, η = Im φ, u_ξξ + u_ηη = Φ.</w:t>
      </w:r>
    </w:p>
    <w:p>
      <w:pPr>
        <w:spacing w:before="0" w:after="80" w:line="276" w:lineRule="auto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835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Уравнение</w:t>
            </w:r>
          </w:p>
        </w:tc>
        <w:tc>
          <w:tcPr>
            <w:tcW w:type="dxa" w:w="567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D</w:t>
            </w:r>
          </w:p>
        </w:tc>
        <w:tc>
          <w:tcPr>
            <w:tcW w:type="dxa" w:w="1757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Тип</w:t>
            </w:r>
          </w:p>
        </w:tc>
        <w:tc>
          <w:tcPr>
            <w:tcW w:type="dxa" w:w="1871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Замена</w:t>
            </w:r>
          </w:p>
        </w:tc>
        <w:tc>
          <w:tcPr>
            <w:tcW w:type="dxa" w:w="2041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Новые A₁₁, A₁₂, A₂₂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u_xx − 2u_xy + u_yy + 9u_x + 9u_y − 9u = 0</w:t>
            </w:r>
          </w:p>
        </w:tc>
        <w:tc>
          <w:tcPr>
            <w:tcW w:type="dxa" w:w="567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0</w:t>
            </w:r>
          </w:p>
        </w:tc>
        <w:tc>
          <w:tcPr>
            <w:tcW w:type="dxa" w:w="1757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параболический</w:t>
            </w:r>
          </w:p>
        </w:tc>
        <w:tc>
          <w:tcPr>
            <w:tcW w:type="dxa" w:w="187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ξ = x+y, η = x</w:t>
            </w:r>
          </w:p>
        </w:tc>
        <w:tc>
          <w:tcPr>
            <w:tcW w:type="dxa" w:w="204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0, 0, 1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волновое  u_tt − u_xx = 0</w:t>
            </w:r>
          </w:p>
        </w:tc>
        <w:tc>
          <w:tcPr>
            <w:tcW w:type="dxa" w:w="567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1</w:t>
            </w:r>
          </w:p>
        </w:tc>
        <w:tc>
          <w:tcPr>
            <w:tcW w:type="dxa" w:w="1757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гиперболический</w:t>
            </w:r>
          </w:p>
        </w:tc>
        <w:tc>
          <w:tcPr>
            <w:tcW w:type="dxa" w:w="187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ξ = y−x, η = y+x</w:t>
            </w:r>
          </w:p>
        </w:tc>
        <w:tc>
          <w:tcPr>
            <w:tcW w:type="dxa" w:w="204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0, −2, 0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теплопроводности  u_t = u_xx</w:t>
            </w:r>
          </w:p>
        </w:tc>
        <w:tc>
          <w:tcPr>
            <w:tcW w:type="dxa" w:w="567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0</w:t>
            </w:r>
          </w:p>
        </w:tc>
        <w:tc>
          <w:tcPr>
            <w:tcW w:type="dxa" w:w="1757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параболический</w:t>
            </w:r>
          </w:p>
        </w:tc>
        <w:tc>
          <w:tcPr>
            <w:tcW w:type="dxa" w:w="187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ξ = y, η = x</w:t>
            </w:r>
          </w:p>
        </w:tc>
        <w:tc>
          <w:tcPr>
            <w:tcW w:type="dxa" w:w="204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0, 0, 1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Лапласа  u_xx + u_yy = 0</w:t>
            </w:r>
          </w:p>
        </w:tc>
        <w:tc>
          <w:tcPr>
            <w:tcW w:type="dxa" w:w="567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−1</w:t>
            </w:r>
          </w:p>
        </w:tc>
        <w:tc>
          <w:tcPr>
            <w:tcW w:type="dxa" w:w="1757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эллиптический</w:t>
            </w:r>
          </w:p>
        </w:tc>
        <w:tc>
          <w:tcPr>
            <w:tcW w:type="dxa" w:w="187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ξ = y, η = x</w:t>
            </w:r>
          </w:p>
        </w:tc>
        <w:tc>
          <w:tcPr>
            <w:tcW w:type="dxa" w:w="204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1, 0, 1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Отдельно разобран случай a₁₁ = 0, на котором формула dy/dx = (a₁₂ ± √D)/a₁₁ делится на ноль: характеристическое уравнение решается относительно dx/dy, а при a₁₁ = a₂₂ = 0 уравнение уже в первой канонической форме.</w:t>
      </w:r>
    </w:p>
    <w:p>
      <w:pPr>
        <w:spacing w:after="60" w:line="276" w:lineRule="auto"/>
      </w:pPr>
      <w:r>
        <w:rPr>
          <w:rFonts w:ascii="Cambria" w:hAnsi="Cambria" w:cs="Cambria"/>
          <w:b/>
          <w:i w:val="0"/>
          <w:color w:val="1C1C1A"/>
          <w:sz w:val="21"/>
        </w:rPr>
        <w:t xml:space="preserve">Как программа себя проверяет. </w:t>
      </w:r>
      <w:r>
        <w:rPr>
          <w:rFonts w:ascii="Cambria" w:hAnsi="Cambria" w:cs="Cambria"/>
          <w:b w:val="0"/>
          <w:i w:val="0"/>
          <w:color w:val="1C1C1A"/>
          <w:sz w:val="21"/>
        </w:rPr>
        <w:t>Найденные ξ и η подставляются обратно, и пересчитываются коэффициенты при старших производных: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A11 = a11*xi_x^2 + 2*a12*xi_x*xi_y + a22*xi_y^2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A12 = a11*xi_x*eta_x + a12*(xi_x*eta_y + xi_y*eta_x) + a22*xi_y*eta_y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A22 = a11*eta_x^2 + 2*a12*eta_x*eta_y + a22*eta_y^2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Для гиперболического типа обязаны занулиться A₁₁ и A₂₂, для параболического — A₁₁ и A₁₂, для эллиптического — A₁₂ при A₁₁ = A₂₂. Это не пересказ теории, а вычисляемый признак: именно он стоит в тестах.</w:t>
      </w:r>
    </w:p>
    <w:p>
      <w:pPr>
        <w:keepNext/>
        <w:spacing w:before="320" w:after="120"/>
        <w:pBdr>
          <w:bottom w:val="single" w:sz="6" w:space="4" w:color="C9C9C2"/>
        </w:pBdr>
      </w:pPr>
      <w:r>
        <w:rPr>
          <w:rFonts w:ascii="Cambria" w:hAnsi="Cambria" w:cs="Cambria"/>
          <w:b/>
          <w:i w:val="0"/>
          <w:color w:val="23408E"/>
          <w:sz w:val="26"/>
        </w:rPr>
        <w:t>B. Интерактивный виджет</w:t>
      </w:r>
    </w:p>
    <w:p>
      <w:pPr>
        <w:spacing w:before="0" w:after="4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Файл widget/index.html — открывается двойным щелчком, интернет и установка не нужны. Опубликованная версия:</w:t>
      </w:r>
    </w:p>
    <w:p>
      <w:pPr>
        <w:spacing w:before="0" w:after="160" w:line="276" w:lineRule="auto"/>
      </w:pPr>
      <w:r>
        <w:rPr>
          <w:rFonts w:ascii="Cambria" w:hAnsi="Cambria" w:cs="Cambria"/>
          <w:b w:val="0"/>
          <w:i w:val="0"/>
          <w:color w:val="23408E"/>
          <w:sz w:val="19"/>
        </w:rPr>
        <w:t>https://claude.ai/code/artifact/939246f8-6910-41a9-8687-2feded11c211</w:t>
      </w:r>
    </w:p>
    <w:p>
      <w:pPr>
        <w:spacing w:before="0" w:after="8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Три режима: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/>
          <w:i w:val="0"/>
          <w:color w:val="1C1C1A"/>
          <w:sz w:val="21"/>
        </w:rPr>
        <w:t xml:space="preserve">Две переменные. </w:t>
      </w:r>
      <w:r>
        <w:rPr>
          <w:rFonts w:ascii="Cambria" w:hAnsi="Cambria" w:cs="Cambria"/>
          <w:b w:val="0"/>
          <w:i w:val="0"/>
          <w:color w:val="1C1C1A"/>
          <w:sz w:val="21"/>
        </w:rPr>
        <w:t>Ползунки и числовые поля для a₁₁, a₁₂, a₂₂. При любом движении сразу пересчитываются D, тип, характеристики, замена ξ и η, якобиан, новые коэффициенты и канонический вид. Показан и ход решения.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/>
          <w:i w:val="0"/>
          <w:color w:val="1C1C1A"/>
          <w:sz w:val="21"/>
        </w:rPr>
        <w:t xml:space="preserve">Переменные коэффициенты. </w:t>
      </w:r>
      <w:r>
        <w:rPr>
          <w:rFonts w:ascii="Cambria" w:hAnsi="Cambria" w:cs="Cambria"/>
          <w:b w:val="0"/>
          <w:i w:val="0"/>
          <w:color w:val="1C1C1A"/>
          <w:sz w:val="21"/>
        </w:rPr>
        <w:t>Коэффициенты вводятся как выражения от x, y (y, x*y, 1-x^2, sqrt, sin). Строится карта областей; при наведении курсора виден тип в точке, по щелчку — полный разбор в ней.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/>
          <w:i w:val="0"/>
          <w:color w:val="1C1C1A"/>
          <w:sz w:val="21"/>
        </w:rPr>
        <w:t xml:space="preserve">n переменных. </w:t>
      </w:r>
      <w:r>
        <w:rPr>
          <w:rFonts w:ascii="Cambria" w:hAnsi="Cambria" w:cs="Cambria"/>
          <w:b w:val="0"/>
          <w:i w:val="0"/>
          <w:color w:val="1C1C1A"/>
          <w:sz w:val="21"/>
        </w:rPr>
        <w:t>Матрица aᵢⱼ до 5×5: метод Лагранжа, β, тип, замена ξ = Pᵀx и результат проверки PᵀAP = diag(β).</w:t>
      </w:r>
    </w:p>
    <w:p>
      <w:pPr>
        <w:spacing w:before="0" w:after="40" w:line="276" w:lineRule="auto"/>
      </w:pP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В каждом режиме есть готовые примеры: волновое, теплопроводности, Лапласа, Трикоми, все примеры из лекции. Виджет не обращается к Python — вся арифметика продублирована на JavaScript, причём в режиме n переменных она точная: дроби на BigInt, без потери разрядов. Разбор выражений a(x, y) — собственный рекурсивный парсер, без eval.</w:t>
      </w:r>
    </w:p>
    <w:p>
      <w:pPr>
        <w:keepNext/>
        <w:spacing w:before="320" w:after="120"/>
        <w:pBdr>
          <w:bottom w:val="single" w:sz="6" w:space="4" w:color="C9C9C2"/>
        </w:pBdr>
      </w:pPr>
      <w:r>
        <w:rPr>
          <w:rFonts w:ascii="Cambria" w:hAnsi="Cambria" w:cs="Cambria"/>
          <w:b/>
          <w:i w:val="0"/>
          <w:color w:val="23408E"/>
          <w:sz w:val="26"/>
        </w:rPr>
        <w:t>C. Уравнения с переменными коэффициентами: где какой тип</w:t>
      </w: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Если a₁₁, a₁₂, a₂₂ зависят от точки, то и D(x, y) = a₁₂² − a₁₁a₂₂ зависит от точки. Плоскость разбивается на области постоянства знака D, и в каждой уравнение приводится к своему каноническому виду.</w:t>
      </w: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Алгоритм: вычисляем D символьно → находим границы D = 0 → берём в каждой области пробную точку → по знаку D определяем тип → приводим к каноническому виду с учётом знака.</w:t>
      </w: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Знак переменной приходится сообщать явно: при y &lt; 0 подстановка y = −p с положительным p меняет знак дифференциала (dy = −dp), поэтому в характеристическом уравнении у a₁₂ меняется знак. Без этого радикалы вида √(−y) не упрощаются.</w:t>
      </w:r>
    </w:p>
    <w:p>
      <w:pPr>
        <w:keepNext/>
        <w:spacing w:before="240" w:after="120"/>
      </w:pPr>
      <w:r>
        <w:rPr>
          <w:rFonts w:ascii="Cambria" w:hAnsi="Cambria" w:cs="Cambria"/>
          <w:b/>
          <w:i w:val="0"/>
          <w:color w:val="23408E"/>
          <w:sz w:val="23"/>
        </w:rPr>
        <w:t>Уравнение Трикоми  y·u_xx + u_yy = 0</w:t>
      </w:r>
    </w:p>
    <w:p>
      <w:pPr>
        <w:spacing w:before="0" w:after="8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D = −y, и уравнение меняет тип трижды: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Область</w:t>
            </w:r>
          </w:p>
        </w:tc>
        <w:tc>
          <w:tcPr>
            <w:tcW w:type="dxa" w:w="1814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Тип</w:t>
            </w:r>
          </w:p>
        </w:tc>
        <w:tc>
          <w:tcPr>
            <w:tcW w:type="dxa" w:w="2835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Замена</w:t>
            </w:r>
          </w:p>
        </w:tc>
        <w:tc>
          <w:tcPr>
            <w:tcW w:type="dxa" w:w="1701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Новые A₁₁, A₁₂, A₂₂</w:t>
            </w:r>
          </w:p>
        </w:tc>
        <w:tc>
          <w:tcPr>
            <w:tcW w:type="dxa" w:w="1701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Канонический вид</w:t>
            </w:r>
          </w:p>
        </w:tc>
      </w:tr>
      <w:tr>
        <w:tc>
          <w:tcPr>
            <w:tcW w:type="dxa" w:w="1020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y &lt; 0</w:t>
            </w:r>
          </w:p>
        </w:tc>
        <w:tc>
          <w:tcPr>
            <w:tcW w:type="dxa" w:w="1814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гиперболический</w:t>
            </w:r>
          </w:p>
        </w:tc>
        <w:tc>
          <w:tcPr>
            <w:tcW w:type="dxa" w:w="2835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ξ = x + ⅔(−y)³ᐟ², η = x − ⅔(−y)³ᐟ²</w:t>
            </w:r>
          </w:p>
        </w:tc>
        <w:tc>
          <w:tcPr>
            <w:tcW w:type="dxa" w:w="170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0, 2y, 0</w:t>
            </w:r>
          </w:p>
        </w:tc>
        <w:tc>
          <w:tcPr>
            <w:tcW w:type="dxa" w:w="170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u_ξη = Φ</w:t>
            </w:r>
          </w:p>
        </w:tc>
      </w:tr>
      <w:tr>
        <w:tc>
          <w:tcPr>
            <w:tcW w:type="dxa" w:w="1020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y = 0</w:t>
            </w:r>
          </w:p>
        </w:tc>
        <w:tc>
          <w:tcPr>
            <w:tcW w:type="dxa" w:w="1814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параболический</w:t>
            </w:r>
          </w:p>
        </w:tc>
        <w:tc>
          <w:tcPr>
            <w:tcW w:type="dxa" w:w="2835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ξ = x, η = y</w:t>
            </w:r>
          </w:p>
        </w:tc>
        <w:tc>
          <w:tcPr>
            <w:tcW w:type="dxa" w:w="170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0, 0, 1</w:t>
            </w:r>
          </w:p>
        </w:tc>
        <w:tc>
          <w:tcPr>
            <w:tcW w:type="dxa" w:w="170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u_ηη = Φ</w:t>
            </w:r>
          </w:p>
        </w:tc>
      </w:tr>
      <w:tr>
        <w:tc>
          <w:tcPr>
            <w:tcW w:type="dxa" w:w="1020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y &gt; 0</w:t>
            </w:r>
          </w:p>
        </w:tc>
        <w:tc>
          <w:tcPr>
            <w:tcW w:type="dxa" w:w="1814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эллиптический</w:t>
            </w:r>
          </w:p>
        </w:tc>
        <w:tc>
          <w:tcPr>
            <w:tcW w:type="dxa" w:w="2835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ξ = x, η = ⅔·y³ᐟ²</w:t>
            </w:r>
          </w:p>
        </w:tc>
        <w:tc>
          <w:tcPr>
            <w:tcW w:type="dxa" w:w="170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y, 0, y</w:t>
            </w:r>
          </w:p>
        </w:tc>
        <w:tc>
          <w:tcPr>
            <w:tcW w:type="dxa" w:w="1701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u_ξξ + u_ηη = Φ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20" w:line="276" w:lineRule="auto"/>
      </w:pPr>
      <w:r>
        <w:rPr>
          <w:rFonts w:ascii="Cambria" w:hAnsi="Cambria" w:cs="Cambria"/>
          <w:b w:val="0"/>
          <w:i/>
          <w:color w:val="5A5A54"/>
          <w:sz w:val="21"/>
        </w:rPr>
        <w:t>Совпадает со слайдами 15–17 лекции.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s_tricom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mbria" w:hAnsi="Cambria" w:cs="Cambria"/>
          <w:b w:val="0"/>
          <w:i/>
          <w:color w:val="5A5A54"/>
          <w:sz w:val="18"/>
        </w:rPr>
        <w:t>Области уравнения Трикоми; тонкие линии — характеристики x ± ⅔(−y)³ᐟ² = C в гиперболической области.</w:t>
      </w:r>
    </w:p>
    <w:p>
      <w:pPr>
        <w:keepNext/>
        <w:spacing w:before="240" w:after="120"/>
      </w:pPr>
      <w:r>
        <w:rPr>
          <w:rFonts w:ascii="Cambria" w:hAnsi="Cambria" w:cs="Cambria"/>
          <w:b/>
          <w:i w:val="0"/>
          <w:color w:val="23408E"/>
          <w:sz w:val="23"/>
        </w:rPr>
        <w:t>Другие примеры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Уравнение</w:t>
            </w:r>
          </w:p>
        </w:tc>
        <w:tc>
          <w:tcPr>
            <w:tcW w:type="dxa" w:w="1020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D</w:t>
            </w:r>
          </w:p>
        </w:tc>
        <w:tc>
          <w:tcPr>
            <w:tcW w:type="dxa" w:w="5783"/>
            <w:shd w:val="clear" w:color="auto" w:fill="E8E8E2"/>
          </w:tcPr>
          <w:p>
            <w:pPr>
              <w:spacing w:before="60" w:after="60"/>
            </w:pPr>
            <w:r>
              <w:rPr>
                <w:rFonts w:ascii="Cambria" w:hAnsi="Cambria" w:cs="Cambria"/>
                <w:b/>
                <w:i w:val="0"/>
                <w:color w:val="1C1C1A"/>
                <w:sz w:val="19"/>
              </w:rPr>
              <w:t>Области</w:t>
            </w:r>
          </w:p>
        </w:tc>
      </w:tr>
      <w:tr>
        <w:tc>
          <w:tcPr>
            <w:tcW w:type="dxa" w:w="2608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u_xx + x·u_yy = 0</w:t>
            </w:r>
          </w:p>
        </w:tc>
        <w:tc>
          <w:tcPr>
            <w:tcW w:type="dxa" w:w="1020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−x</w:t>
            </w:r>
          </w:p>
        </w:tc>
        <w:tc>
          <w:tcPr>
            <w:tcW w:type="dxa" w:w="5783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x &lt; 0 гипербол., x = 0 парабол., x &gt; 0 эллипт.</w:t>
            </w:r>
          </w:p>
        </w:tc>
      </w:tr>
      <w:tr>
        <w:tc>
          <w:tcPr>
            <w:tcW w:type="dxa" w:w="2608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u_xx + xy·u_yy = 0</w:t>
            </w:r>
          </w:p>
        </w:tc>
        <w:tc>
          <w:tcPr>
            <w:tcW w:type="dxa" w:w="1020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−xy</w:t>
            </w:r>
          </w:p>
        </w:tc>
        <w:tc>
          <w:tcPr>
            <w:tcW w:type="dxa" w:w="5783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тип меняется по квадрантам</w:t>
            </w:r>
          </w:p>
        </w:tc>
      </w:tr>
      <w:tr>
        <w:tc>
          <w:tcPr>
            <w:tcW w:type="dxa" w:w="2608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(1 − x²)·u_xx + u_yy = 0</w:t>
            </w:r>
          </w:p>
        </w:tc>
        <w:tc>
          <w:tcPr>
            <w:tcW w:type="dxa" w:w="1020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x² − 1</w:t>
            </w:r>
          </w:p>
        </w:tc>
        <w:tc>
          <w:tcPr>
            <w:tcW w:type="dxa" w:w="5783"/>
          </w:tcPr>
          <w:p>
            <w:pPr>
              <w:spacing w:before="60" w:after="60" w:line="259" w:lineRule="auto"/>
            </w:pPr>
            <w:r>
              <w:rPr>
                <w:rFonts w:ascii="Cambria" w:hAnsi="Cambria" w:cs="Cambria"/>
                <w:b w:val="0"/>
                <w:i w:val="0"/>
                <w:color w:val="1C1C1A"/>
                <w:sz w:val="19"/>
              </w:rPr>
              <w:t>x &lt; −1 гипербол., x = −1 парабол., −1 &lt; x &lt; 1 эллипт., x = 1 парабол., x &gt; 1 гипербол.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Последний пример показывает, что областей может быть больше трёх: границ столько, сколько корней у 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s_gall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mbria" w:hAnsi="Cambria" w:cs="Cambria"/>
          <w:b w:val="0"/>
          <w:i/>
          <w:color w:val="5A5A54"/>
          <w:sz w:val="18"/>
        </w:rPr>
        <w:t>Карты областей: знак дискриминанта D = a₁₂² − a₁₁a₂₂ задаёт тип в каждой точке.</w:t>
      </w:r>
    </w:p>
    <w:p>
      <w:pPr>
        <w:keepNext/>
        <w:spacing w:before="320" w:after="120"/>
        <w:pBdr>
          <w:bottom w:val="single" w:sz="6" w:space="4" w:color="C9C9C2"/>
        </w:pBdr>
      </w:pPr>
      <w:r>
        <w:rPr>
          <w:rFonts w:ascii="Cambria" w:hAnsi="Cambria" w:cs="Cambria"/>
          <w:b/>
          <w:i w:val="0"/>
          <w:color w:val="23408E"/>
          <w:sz w:val="26"/>
        </w:rPr>
        <w:t>Проверка корректности</w:t>
      </w:r>
    </w:p>
    <w:p>
      <w:pPr>
        <w:spacing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 xml:space="preserve">python -m unittest discover -s tests -t .  →  </w:t>
      </w:r>
      <w:r>
        <w:rPr>
          <w:rFonts w:ascii="Cambria" w:hAnsi="Cambria" w:cs="Cambria"/>
          <w:b/>
          <w:i w:val="0"/>
          <w:color w:val="1C1C1A"/>
          <w:sz w:val="21"/>
        </w:rPr>
        <w:t>96 тестов, все проходят.</w:t>
      </w: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Тесты писались до кода, а эталонами служили ответы из лекции и разбора к ней: матрицы C и P Примера 1 сверяются посимвольно вместе с √2, характеристики Трикоми — с точностью до знака (φ и −φ задают одно семейство).</w:t>
      </w:r>
    </w:p>
    <w:p>
      <w:pPr>
        <w:spacing w:before="0" w:after="8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Помимо сверки с лекцией проверяются вычисляемые тождества, которые не зависят от способа решения: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PᵀAP = diag(β) — для каждого разобранного уравнения;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зануление нужных A₁₁, A₁₂, A₂₂ после подстановки найденной замены;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ненулевой якобиан замены — иначе замена вырождена;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согласие двух методов: для девяти наборов коэффициентов метод Лагранжа и метод характеристик обязаны дать один и тот же тип.</w:t>
      </w:r>
    </w:p>
    <w:p>
      <w:pPr>
        <w:spacing w:before="0" w:after="40" w:line="276" w:lineRule="auto"/>
      </w:pP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Отдельно покрыты случаи, на которых наивная реализация ломается: a₁₁ = 0, форма без квадратов, пустая старшая часть, нулевая форма.</w:t>
      </w:r>
    </w:p>
    <w:p>
      <w:pPr>
        <w:keepNext/>
        <w:spacing w:before="320" w:after="120"/>
        <w:pBdr>
          <w:bottom w:val="single" w:sz="6" w:space="4" w:color="C9C9C2"/>
        </w:pBdr>
      </w:pPr>
      <w:r>
        <w:rPr>
          <w:rFonts w:ascii="Cambria" w:hAnsi="Cambria" w:cs="Cambria"/>
          <w:b/>
          <w:i w:val="0"/>
          <w:color w:val="23408E"/>
          <w:sz w:val="26"/>
        </w:rPr>
        <w:t>Про запрет встроенных функций</w:t>
      </w:r>
    </w:p>
    <w:p>
      <w:pPr>
        <w:spacing w:before="0" w:after="8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Готовые классификаторы ДУЧП и решатели уравнений не используются. Руками написаны: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метод Лагранжа, включая замену при отсутствии квадратов;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обращение матрицы методом Гаусса-Жордана над точными числами (не numpy.linalg);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правило классификации по сигнатуре;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решение характеристического уравнения, включая вырождение a₁₁ = 0;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интегрирование характеристик разделением переменных;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разбиение плоскости на области и обход связных компонент для подписей;</w:t>
      </w:r>
    </w:p>
    <w:p>
      <w:pPr>
        <w:pStyle w:val="ListBullet"/>
        <w:spacing w:after="60" w:line="269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в виджете — точная арифметика дробей и парсер выражений.</w:t>
      </w:r>
    </w:p>
    <w:p>
      <w:pPr>
        <w:spacing w:before="0" w:after="40" w:line="276" w:lineRule="auto"/>
      </w:pPr>
    </w:p>
    <w:p>
      <w:pPr>
        <w:spacing w:before="0" w:after="12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sympy используется только как калькулятор точной арифметики — дроби, радикалы, производные, первообразные, корни многочлена. matplotlib — только рисование.</w:t>
      </w:r>
    </w:p>
    <w:p>
      <w:pPr>
        <w:keepNext/>
        <w:spacing w:before="320" w:after="120"/>
        <w:pBdr>
          <w:bottom w:val="single" w:sz="6" w:space="4" w:color="C9C9C2"/>
        </w:pBdr>
      </w:pPr>
      <w:r>
        <w:rPr>
          <w:rFonts w:ascii="Cambria" w:hAnsi="Cambria" w:cs="Cambria"/>
          <w:b/>
          <w:i w:val="0"/>
          <w:color w:val="23408E"/>
          <w:sz w:val="26"/>
        </w:rPr>
        <w:t>Как запустить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python demo.py                               # все примеры из лекции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python plot_regions.py                       # карты областей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1C1C1A"/>
                <w:sz w:val="18"/>
              </w:rPr>
              <w:t>python -m unittest discover -s tests -t .    # тесты</w:t>
            </w:r>
          </w:p>
        </w:tc>
      </w:tr>
    </w:tbl>
    <w:p>
      <w:pPr>
        <w:spacing w:before="0" w:after="80" w:line="276" w:lineRule="auto"/>
      </w:pPr>
    </w:p>
    <w:p>
      <w:pPr>
        <w:spacing w:before="0" w:after="0" w:line="276" w:lineRule="auto"/>
      </w:pPr>
      <w:r>
        <w:rPr>
          <w:rFonts w:ascii="Cambria" w:hAnsi="Cambria" w:cs="Cambria"/>
          <w:b w:val="0"/>
          <w:i w:val="0"/>
          <w:color w:val="1C1C1A"/>
          <w:sz w:val="21"/>
        </w:rPr>
        <w:t>Виджет — открыть widget/index.html в браузере.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