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8.png" ContentType="image/png"/>
  <Override PartName="/word/media/rId51.png" ContentType="image/png"/>
  <Override PartName="/word/media/rId54.png" ContentType="image/png"/>
  <Override PartName="/word/media/rId57.png" ContentType="image/png"/>
  <Override PartName="/word/media/rId60.png" ContentType="image/png"/>
  <Override PartName="/word/media/rId63.png" ContentType="image/png"/>
  <Override PartName="/word/media/rId66.png" ContentType="image/png"/>
  <Override PartName="/word/media/rId69.png" ContentType="image/png"/>
  <Override PartName="/word/media/rId72.png" ContentType="image/png"/>
  <Override PartName="/word/media/rId75.png" ContentType="image/png"/>
  <Override PartName="/word/media/rId78.png" ContentType="image/png"/>
  <Override PartName="/word/media/rId81.png" ContentType="image/png"/>
  <Override PartName="/word/media/rId84.png" ContentType="image/png"/>
  <Override PartName="/word/media/rId87.png" ContentType="image/png"/>
  <Override PartName="/word/media/rId90.png" ContentType="image/png"/>
  <Override PartName="/word/media/rId9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Limites</w:t>
      </w:r>
      <w:r>
        <w:t xml:space="preserve"> </w:t>
      </w:r>
      <w:r>
        <w:t xml:space="preserve">de</w:t>
      </w:r>
      <w:r>
        <w:t xml:space="preserve"> </w:t>
      </w:r>
      <w:r>
        <w:t xml:space="preserve">Informação</w:t>
      </w:r>
      <w:r>
        <w:t xml:space="preserve"> </w:t>
      </w:r>
      <w:r>
        <w:t xml:space="preserve">e</w:t>
      </w:r>
      <w:r>
        <w:t xml:space="preserve"> </w:t>
      </w:r>
      <w:r>
        <w:t xml:space="preserve">Decisão</w:t>
      </w:r>
      <w:r>
        <w:t xml:space="preserve"> </w:t>
      </w:r>
      <w:r>
        <w:t xml:space="preserve">no</w:t>
      </w:r>
      <w:r>
        <w:t xml:space="preserve"> </w:t>
      </w:r>
      <w:r>
        <w:t xml:space="preserve">Controle</w:t>
      </w:r>
      <w:r>
        <w:t xml:space="preserve"> </w:t>
      </w:r>
      <w:r>
        <w:t xml:space="preserve">Preditivo</w:t>
      </w:r>
      <w:r>
        <w:t xml:space="preserve"> </w:t>
      </w:r>
      <w:r>
        <w:t xml:space="preserve">Inferencial</w:t>
      </w:r>
      <w:r>
        <w:t xml:space="preserve"> </w:t>
      </w:r>
      <w:r>
        <w:t xml:space="preserve">de</w:t>
      </w:r>
      <w:r>
        <w:t xml:space="preserve"> </w:t>
      </w:r>
      <w:r>
        <w:t xml:space="preserve">um</w:t>
      </w:r>
      <w:r>
        <w:t xml:space="preserve"> </w:t>
      </w:r>
      <w:r>
        <w:t xml:space="preserve">Reator</w:t>
      </w:r>
      <w:r>
        <w:t xml:space="preserve"> </w:t>
      </w:r>
      <w:r>
        <w:t xml:space="preserve">Não</w:t>
      </w:r>
      <w:r>
        <w:t xml:space="preserve"> </w:t>
      </w:r>
      <w:r>
        <w:t xml:space="preserve">Linear</w:t>
      </w:r>
      <w:r>
        <w:t xml:space="preserve"> </w:t>
      </w:r>
      <w:r>
        <w:t xml:space="preserve">de</w:t>
      </w:r>
      <w:r>
        <w:t xml:space="preserve"> </w:t>
      </w:r>
      <w:r>
        <w:t xml:space="preserve">Propilenoglicol</w:t>
      </w:r>
    </w:p>
    <w:p>
      <w:pPr>
        <w:pStyle w:val="Author"/>
      </w:pPr>
      <w:r>
        <w:t xml:space="preserve">Walter</w:t>
      </w:r>
      <w:r>
        <w:t xml:space="preserve"> </w:t>
      </w:r>
      <w:r>
        <w:t xml:space="preserve">Yanko</w:t>
      </w:r>
      <w:r>
        <w:t xml:space="preserve"> </w:t>
      </w:r>
      <w:r>
        <w:t xml:space="preserve">de</w:t>
      </w:r>
      <w:r>
        <w:t xml:space="preserve"> </w:t>
      </w:r>
      <w:r>
        <w:t xml:space="preserve">Aragão</w:t>
      </w:r>
      <w:r>
        <w:t xml:space="preserve"> </w:t>
      </w:r>
      <w:r>
        <w:t xml:space="preserve">Brandão</w:t>
      </w:r>
    </w:p>
    <w:p>
      <w:pPr>
        <w:pStyle w:val="Date"/>
      </w:pPr>
      <w:r>
        <w:t xml:space="preserve">20</w:t>
      </w:r>
      <w:r>
        <w:t xml:space="preserve"> </w:t>
      </w:r>
      <w:r>
        <w:t xml:space="preserve">de</w:t>
      </w:r>
      <w:r>
        <w:t xml:space="preserve"> </w:t>
      </w:r>
      <w:r>
        <w:t xml:space="preserve">outubro</w:t>
      </w:r>
      <w:r>
        <w:t xml:space="preserve"> </w:t>
      </w:r>
      <w:r>
        <w:t xml:space="preserve">de</w:t>
      </w:r>
      <w:r>
        <w:t xml:space="preserve"> </w:t>
      </w:r>
      <w:r>
        <w:t xml:space="preserve">2026</w:t>
      </w:r>
    </w:p>
    <w:bookmarkStart w:id="20" w:name="resumo"/>
    <w:p>
      <w:pPr>
        <w:pStyle w:val="Heading1"/>
      </w:pPr>
      <w:r>
        <w:rPr>
          <w:rStyle w:val="SectionNumber"/>
        </w:rPr>
        <w:t xml:space="preserve">1</w:t>
      </w:r>
      <w:r>
        <w:tab/>
      </w:r>
      <w:r>
        <w:t xml:space="preserve">Resumo</w:t>
      </w:r>
    </w:p>
    <w:p>
      <w:pPr>
        <w:pStyle w:val="FirstParagraph"/>
      </w:pPr>
      <w:r>
        <w:t xml:space="preserve">Este estudo computacional investiga limites de informação e decisão em um modelo recuperado de reator de propilenoglicol de seis estados. Existe uma classe química exatamente indistinguível de dimensão dois sob capacidades caloríficas constantes e cinética de primeira ordem. Acrescentar realimentação térmica da camisa não a elimina. O posto funcional das capacidades caloríficas caracteriza uma ambiguidade suficiente remanescente; exemplos com propriedades dependentes de temperatura examinam a separabilidade prática. A suíte principal executou 5320 trajetórias, com 400 trajetórias de confirmação em sementes independentes e 18 verificações de grade. Na diluição nominal, separação inicial de produto de 0,8 kmol/m3 implica limite inferior de 0.060376 kmol h/m3 para o pior IAE entre dois mundos em 0,9 h. Há conflito decisório positivo em 51 dos 80 casos finitos examinados. Os ganhos médios adicionais por ambiguidade foram 0,63% e 0,66%, com intervalos pareados incluindo zero; compartilhar a correção com o preditor reduziu IAE em 39,91% frente à correção somente do estimador. Não se demonstrou superioridade sobre todo NMPC contínuo. As alternativas físicas não foram calibradas, e os números históricos ICAC não foram reproduzidos independentemente. Trata-se de manuscrito parcial de pesquisa, ainda não validado para submissão.</w:t>
      </w:r>
    </w:p>
    <w:bookmarkEnd w:id="20"/>
    <w:bookmarkStart w:id="21" w:name="introdução"/>
    <w:p>
      <w:pPr>
        <w:pStyle w:val="Heading1"/>
      </w:pPr>
      <w:r>
        <w:rPr>
          <w:rStyle w:val="SectionNumber"/>
        </w:rPr>
        <w:t xml:space="preserve">2</w:t>
      </w:r>
      <w:r>
        <w:tab/>
      </w:r>
      <w:r>
        <w:t xml:space="preserve">Introdução</w:t>
      </w:r>
    </w:p>
    <w:p>
      <w:pPr>
        <w:pStyle w:val="FirstParagraph"/>
      </w:pPr>
      <w:r>
        <w:t xml:space="preserve">O controle inferencial de qualidade depende da informação carregada pelos sensores e das previsões usadas na escolha das ações. Reduzir o RMSE de concentração não garante diminuir a perda de controle em malha fechada. Este estudo audita um CSTR de propilenoglicol de seis estados antes de testar maior complexidade. Separam-se duas perguntas: existe ambiguidade química demonstrável quando somente temperaturas são medidas? Representar essa ambiguidade melhora o controle contra comparadores igualmente informados?</w:t>
      </w:r>
    </w:p>
    <w:p>
      <w:pPr>
        <w:pStyle w:val="BodyText"/>
      </w:pPr>
      <w:r>
        <w:t xml:space="preserve">O manuscrito interno ICAC já descrevia gêmeos calorimétricos e conflitos de decisão. Seus percentuais permanecem evidência histórica. A branch e o arquivo completo de reprodução ICAC não estavam disponíveis. O presente manuscrito registra um núcleo computacional independente, com pendências explícitas para publicação.</w:t>
      </w:r>
    </w:p>
    <w:bookmarkEnd w:id="21"/>
    <w:bookmarkStart w:id="22" w:name="trabalhos-relacionados"/>
    <w:p>
      <w:pPr>
        <w:pStyle w:val="Heading1"/>
      </w:pPr>
      <w:r>
        <w:rPr>
          <w:rStyle w:val="SectionNumber"/>
        </w:rPr>
        <w:t xml:space="preserve">3</w:t>
      </w:r>
      <w:r>
        <w:tab/>
      </w:r>
      <w:r>
        <w:t xml:space="preserve">Trabalhos relacionados</w:t>
      </w:r>
    </w:p>
    <w:p>
      <w:pPr>
        <w:pStyle w:val="FirstParagraph"/>
      </w:pPr>
      <w:r>
        <w:t xml:space="preserve">Observabilidade e identificabilidade não lineares distinguem perda de informação de dificuldade numérica</w:t>
      </w:r>
      <w:r>
        <w:t xml:space="preserve"> </w:t>
      </w:r>
      <w:r>
        <w:t xml:space="preserve">(Hermann e Krener 1977; Villaverde, Barreiro, e Papachristodoulou 2016)</w:t>
      </w:r>
      <w:r>
        <w:t xml:space="preserve">. Ambiguidade de concentração em reatores já aparece em estudos de cinética não monotônica e controle por saída</w:t>
      </w:r>
      <w:r>
        <w:t xml:space="preserve"> </w:t>
      </w:r>
      <w:r>
        <w:t xml:space="preserve">(Schaum et al. 2007)</w:t>
      </w:r>
      <w:r>
        <w:t xml:space="preserve">. Sensibilidades empíricas revelam direções fracas sem demonstrar observabilidade estrutural global</w:t>
      </w:r>
      <w:r>
        <w:t xml:space="preserve"> </w:t>
      </w:r>
      <w:r>
        <w:t xml:space="preserve">(Lall, Marsden, e Glavaski 2002)</w:t>
      </w:r>
      <w:r>
        <w:t xml:space="preserve">.</w:t>
      </w:r>
    </w:p>
    <w:p>
      <w:pPr>
        <w:pStyle w:val="BodyText"/>
      </w:pPr>
      <w:r>
        <w:t xml:space="preserve">MHE com restrições e MPC por realimentação de saída possuem fundamentação consolidada</w:t>
      </w:r>
      <w:r>
        <w:t xml:space="preserve"> </w:t>
      </w:r>
      <w:r>
        <w:t xml:space="preserve">(Rao, Rawlings, e Mayne 2003; Rawlings, Mayne, e Diehl 2017)</w:t>
      </w:r>
      <w:r>
        <w:t xml:space="preserve">. Regret sob medições possui antecedentes com comparadores diferentes, em sistemas lineares</w:t>
      </w:r>
      <w:r>
        <w:t xml:space="preserve"> </w:t>
      </w:r>
      <w:r>
        <w:t xml:space="preserve">(Goel e Hassibi 2021)</w:t>
      </w:r>
      <w:r>
        <w:t xml:space="preserve">. Predição orientada à decisão e controle dual também antecedem a campanha</w:t>
      </w:r>
      <w:r>
        <w:t xml:space="preserve"> </w:t>
      </w:r>
      <w:r>
        <w:t xml:space="preserve">(Elmachtoub e Grigas 2022; Klenske e Hennig 2016)</w:t>
      </w:r>
      <w:r>
        <w:t xml:space="preserve">. Preprints recentes investigam medições dependentes de entrada e risco de parâmetros latentes</w:t>
      </w:r>
      <w:r>
        <w:t xml:space="preserve"> </w:t>
      </w:r>
      <w:r>
        <w:t xml:space="preserve">(Cao et al. 2026; Enwerem, Baras, e Belta 2026)</w:t>
      </w:r>
      <w:r>
        <w:t xml:space="preserve">. A contribuição candidata aqui é a classificação específica pela capacidade calorífica, com proveniência rastreável e experimentos de decisão no PG.</w:t>
      </w:r>
    </w:p>
    <w:bookmarkEnd w:id="22"/>
    <w:bookmarkStart w:id="24" w:name="modelo-físico-do-processo"/>
    <w:p>
      <w:pPr>
        <w:pStyle w:val="Heading1"/>
      </w:pPr>
      <w:r>
        <w:rPr>
          <w:rStyle w:val="SectionNumber"/>
        </w:rPr>
        <w:t xml:space="preserve">4</w:t>
      </w:r>
      <w:r>
        <w:tab/>
      </w:r>
      <w:r>
        <w:t xml:space="preserve">Modelo físico do processo</w:t>
      </w:r>
    </w:p>
    <w:p>
      <w:pPr>
        <w:pStyle w:val="FirstParagraph"/>
      </w:pPr>
      <w:r>
        <w:t xml:space="preserve">As fontes são a dissertação de Brandão e seu modelo MATLAB recuperado</w:t>
      </w:r>
      <w:r>
        <w:t xml:space="preserve"> </w:t>
      </w:r>
      <w:r>
        <w:t xml:space="preserve">(Brandao 2019)</w:t>
      </w:r>
      <w:r>
        <w:t xml:space="preserve">. A reação é A+B para C; metanol M é tratado como inerte. O volume é constante, com saída regulada pelo nível. Usam-se kmol/m3, kelvin, horas e kJ:</w:t>
      </w:r>
    </w:p>
    <w:p>
      <w:pPr>
        <w:pStyle w:val="BodyText"/>
      </w:pPr>
      <m:oMathPara>
        <m:oMathParaPr>
          <m:jc m:val="center"/>
        </m:oMathParaPr>
        <m:oMath>
          <m:r>
            <m:t>v</m:t>
          </m:r>
          <m:r>
            <m:rPr>
              <m:sty m:val="p"/>
            </m:rPr>
            <m:t>=</m:t>
          </m:r>
          <m:sSub>
            <m:e>
              <m:r>
                <m:t>F</m:t>
              </m:r>
            </m:e>
            <m:sub>
              <m:r>
                <m:t>A</m:t>
              </m:r>
            </m:sub>
          </m:sSub>
          <m:r>
            <m:rPr>
              <m:sty m:val="p"/>
            </m:rPr>
            <m:t>/</m:t>
          </m:r>
          <m:sSub>
            <m:e>
              <m:r>
                <m:t>ρ</m:t>
              </m:r>
            </m:e>
            <m:sub>
              <m:r>
                <m:t>A</m:t>
              </m:r>
            </m:sub>
          </m:sSub>
          <m:r>
            <m:rPr>
              <m:sty m:val="p"/>
            </m:rPr>
            <m:t>+</m:t>
          </m:r>
          <m:sSub>
            <m:e>
              <m:r>
                <m:t>F</m:t>
              </m:r>
            </m:e>
            <m:sub>
              <m:r>
                <m:t>B</m:t>
              </m:r>
            </m:sub>
          </m:sSub>
          <m:r>
            <m:rPr>
              <m:sty m:val="p"/>
            </m:rPr>
            <m:t>/</m:t>
          </m:r>
          <m:sSub>
            <m:e>
              <m:r>
                <m:t>ρ</m:t>
              </m:r>
            </m:e>
            <m:sub>
              <m:r>
                <m:t>B</m:t>
              </m:r>
            </m:sub>
          </m:sSub>
          <m:r>
            <m:rPr>
              <m:sty m:val="p"/>
            </m:rPr>
            <m:t>+</m:t>
          </m:r>
          <m:sSub>
            <m:e>
              <m:r>
                <m:t>F</m:t>
              </m:r>
            </m:e>
            <m:sub>
              <m:r>
                <m:t>M</m:t>
              </m:r>
            </m:sub>
          </m:sSub>
          <m:r>
            <m:rPr>
              <m:sty m:val="p"/>
            </m:rPr>
            <m:t>/</m:t>
          </m:r>
          <m:sSub>
            <m:e>
              <m:r>
                <m:t>ρ</m:t>
              </m:r>
            </m:e>
            <m:sub>
              <m:r>
                <m:t>M</m:t>
              </m:r>
            </m:sub>
          </m:sSub>
          <m:r>
            <m:rPr>
              <m:sty m:val="p"/>
            </m:rPr>
            <m:t>,</m:t>
          </m:r>
          <m:r>
            <m:t> </m:t>
          </m:r>
          <m:r>
            <m:t>D</m:t>
          </m:r>
          <m:r>
            <m:rPr>
              <m:sty m:val="p"/>
            </m:rPr>
            <m:t>=</m:t>
          </m:r>
          <m:r>
            <m:t>v</m:t>
          </m:r>
          <m:r>
            <m:rPr>
              <m:sty m:val="p"/>
            </m:rPr>
            <m:t>/</m:t>
          </m:r>
          <m:r>
            <m:t>V</m:t>
          </m:r>
          <m:r>
            <m:rPr>
              <m:sty m:val="p"/>
            </m:rPr>
            <m:t>,</m:t>
          </m:r>
          <m:r>
            <m:t> </m:t>
          </m:r>
          <m:r>
            <m:t>r</m:t>
          </m:r>
          <m:r>
            <m:rPr>
              <m:sty m:val="p"/>
            </m:rPr>
            <m:t>=</m:t>
          </m:r>
          <m:sSub>
            <m:e>
              <m:r>
                <m:t>k</m:t>
              </m:r>
            </m:e>
            <m:sub>
              <m:r>
                <m:t>0</m:t>
              </m:r>
            </m:sub>
          </m:sSub>
          <m:r>
            <m:rPr>
              <m:sty m:val="p"/>
            </m:rPr>
            <m:t>exp</m:t>
          </m:r>
          <m:d>
            <m:dPr>
              <m:begChr m:val="["/>
              <m:endChr m:val="]"/>
              <m:sepChr m:val=""/>
              <m:grow/>
            </m:dPr>
            <m:e>
              <m:r>
                <m:rPr>
                  <m:sty m:val="p"/>
                </m:rPr>
                <m:t>−</m:t>
              </m:r>
              <m:r>
                <m:t>E</m:t>
              </m:r>
              <m:r>
                <m:rPr>
                  <m:sty m:val="p"/>
                </m:rPr>
                <m:t>/</m:t>
              </m:r>
              <m:d>
                <m:dPr>
                  <m:begChr m:val="("/>
                  <m:endChr m:val=")"/>
                  <m:sepChr m:val=""/>
                  <m:grow/>
                </m:dPr>
                <m:e>
                  <m:r>
                    <m:t>R</m:t>
                  </m:r>
                  <m:d>
                    <m:dPr>
                      <m:begChr m:val="("/>
                      <m:endChr m:val=")"/>
                      <m:sepChr m:val=""/>
                      <m:grow/>
                    </m:dPr>
                    <m:e>
                      <m:r>
                        <m:t>T</m:t>
                      </m:r>
                      <m:r>
                        <m:rPr>
                          <m:sty m:val="p"/>
                        </m:rPr>
                        <m:t>+</m:t>
                      </m:r>
                      <m:r>
                        <m:t>0.183333333333</m:t>
                      </m:r>
                    </m:e>
                  </m:d>
                </m:e>
              </m:d>
            </m:e>
          </m:d>
          <m:sSub>
            <m:e>
              <m:r>
                <m:t>C</m:t>
              </m:r>
            </m:e>
            <m:sub>
              <m:r>
                <m:t>A</m:t>
              </m:r>
            </m:sub>
          </m:sSub>
          <m:r>
            <m:rPr>
              <m:sty m:val="p"/>
            </m:rPr>
            <m:t>.</m:t>
          </m:r>
        </m:oMath>
      </m:oMathPara>
    </w:p>
    <w:p>
      <w:pPr>
        <w:pStyle w:val="FirstParagraph"/>
      </w:pPr>
      <w:r>
        <w:t xml:space="preserve">Os balanços são</w:t>
      </w:r>
    </w:p>
    <w:p>
      <w:pPr>
        <w:pStyle w:val="BodyText"/>
      </w:pPr>
      <m:oMathPara>
        <m:oMathParaPr>
          <m:jc m:val="center"/>
        </m:oMathParaPr>
        <m:oMath>
          <m:sSub>
            <m:e>
              <m:acc>
                <m:accPr>
                  <m:chr m:val="̇"/>
                </m:accPr>
                <m:e>
                  <m:r>
                    <m:t>C</m:t>
                  </m:r>
                </m:e>
              </m:acc>
            </m:e>
            <m:sub>
              <m:r>
                <m:t>A</m:t>
              </m:r>
            </m:sub>
          </m:sSub>
          <m:r>
            <m:rPr>
              <m:sty m:val="p"/>
            </m:rPr>
            <m:t>=</m:t>
          </m:r>
          <m:sSub>
            <m:e>
              <m:r>
                <m:t>F</m:t>
              </m:r>
            </m:e>
            <m:sub>
              <m:r>
                <m:t>A</m:t>
              </m:r>
            </m:sub>
          </m:sSub>
          <m:r>
            <m:rPr>
              <m:sty m:val="p"/>
            </m:rPr>
            <m:t>/</m:t>
          </m:r>
          <m:r>
            <m:t>V</m:t>
          </m:r>
          <m:r>
            <m:rPr>
              <m:sty m:val="p"/>
            </m:rPr>
            <m:t>−</m:t>
          </m:r>
          <m:r>
            <m:t>D</m:t>
          </m:r>
          <m:sSub>
            <m:e>
              <m:r>
                <m:t>C</m:t>
              </m:r>
            </m:e>
            <m:sub>
              <m:r>
                <m:t>A</m:t>
              </m:r>
            </m:sub>
          </m:sSub>
          <m:r>
            <m:rPr>
              <m:sty m:val="p"/>
            </m:rPr>
            <m:t>−</m:t>
          </m:r>
          <m:r>
            <m:t>r</m:t>
          </m:r>
          <m:r>
            <m:rPr>
              <m:sty m:val="p"/>
            </m:rPr>
            <m:t>,</m:t>
          </m:r>
          <m:r>
            <m:t>  </m:t>
          </m:r>
          <m:sSub>
            <m:e>
              <m:acc>
                <m:accPr>
                  <m:chr m:val="̇"/>
                </m:accPr>
                <m:e>
                  <m:r>
                    <m:t>C</m:t>
                  </m:r>
                </m:e>
              </m:acc>
            </m:e>
            <m:sub>
              <m:r>
                <m:t>B</m:t>
              </m:r>
            </m:sub>
          </m:sSub>
          <m:r>
            <m:rPr>
              <m:sty m:val="p"/>
            </m:rPr>
            <m:t>=</m:t>
          </m:r>
          <m:sSub>
            <m:e>
              <m:r>
                <m:t>F</m:t>
              </m:r>
            </m:e>
            <m:sub>
              <m:r>
                <m:t>B</m:t>
              </m:r>
            </m:sub>
          </m:sSub>
          <m:r>
            <m:rPr>
              <m:sty m:val="p"/>
            </m:rPr>
            <m:t>/</m:t>
          </m:r>
          <m:r>
            <m:t>V</m:t>
          </m:r>
          <m:r>
            <m:rPr>
              <m:sty m:val="p"/>
            </m:rPr>
            <m:t>−</m:t>
          </m:r>
          <m:r>
            <m:t>D</m:t>
          </m:r>
          <m:sSub>
            <m:e>
              <m:r>
                <m:t>C</m:t>
              </m:r>
            </m:e>
            <m:sub>
              <m:r>
                <m:t>B</m:t>
              </m:r>
            </m:sub>
          </m:sSub>
          <m:r>
            <m:rPr>
              <m:sty m:val="p"/>
            </m:rPr>
            <m:t>−</m:t>
          </m:r>
          <m:r>
            <m:t>r</m:t>
          </m:r>
          <m:r>
            <m:rPr>
              <m:sty m:val="p"/>
            </m:rPr>
            <m:t>,</m:t>
          </m:r>
        </m:oMath>
      </m:oMathPara>
    </w:p>
    <w:p>
      <w:pPr>
        <w:pStyle w:val="FirstParagraph"/>
      </w:pPr>
      <m:oMathPara>
        <m:oMathParaPr>
          <m:jc m:val="center"/>
        </m:oMathParaPr>
        <m:oMath>
          <m:sSub>
            <m:e>
              <m:acc>
                <m:accPr>
                  <m:chr m:val="̇"/>
                </m:accPr>
                <m:e>
                  <m:r>
                    <m:t>C</m:t>
                  </m:r>
                </m:e>
              </m:acc>
            </m:e>
            <m:sub>
              <m:r>
                <m:t>C</m:t>
              </m:r>
            </m:sub>
          </m:sSub>
          <m:r>
            <m:rPr>
              <m:sty m:val="p"/>
            </m:rPr>
            <m:t>=</m:t>
          </m:r>
          <m:r>
            <m:rPr>
              <m:sty m:val="p"/>
            </m:rPr>
            <m:t>−</m:t>
          </m:r>
          <m:r>
            <m:t>D</m:t>
          </m:r>
          <m:sSub>
            <m:e>
              <m:r>
                <m:t>C</m:t>
              </m:r>
            </m:e>
            <m:sub>
              <m:r>
                <m:t>C</m:t>
              </m:r>
            </m:sub>
          </m:sSub>
          <m:r>
            <m:rPr>
              <m:sty m:val="p"/>
            </m:rPr>
            <m:t>+</m:t>
          </m:r>
          <m:r>
            <m:t>r</m:t>
          </m:r>
          <m:r>
            <m:rPr>
              <m:sty m:val="p"/>
            </m:rPr>
            <m:t>,</m:t>
          </m:r>
          <m:r>
            <m:t>  </m:t>
          </m:r>
          <m:sSub>
            <m:e>
              <m:acc>
                <m:accPr>
                  <m:chr m:val="̇"/>
                </m:accPr>
                <m:e>
                  <m:r>
                    <m:t>C</m:t>
                  </m:r>
                </m:e>
              </m:acc>
            </m:e>
            <m:sub>
              <m:r>
                <m:t>M</m:t>
              </m:r>
            </m:sub>
          </m:sSub>
          <m:r>
            <m:rPr>
              <m:sty m:val="p"/>
            </m:rPr>
            <m:t>=</m:t>
          </m:r>
          <m:sSub>
            <m:e>
              <m:r>
                <m:t>F</m:t>
              </m:r>
            </m:e>
            <m:sub>
              <m:r>
                <m:t>M</m:t>
              </m:r>
            </m:sub>
          </m:sSub>
          <m:r>
            <m:rPr>
              <m:sty m:val="p"/>
            </m:rPr>
            <m:t>/</m:t>
          </m:r>
          <m:r>
            <m:t>V</m:t>
          </m:r>
          <m:r>
            <m:rPr>
              <m:sty m:val="p"/>
            </m:rPr>
            <m:t>−</m:t>
          </m:r>
          <m:r>
            <m:t>D</m:t>
          </m:r>
          <m:sSub>
            <m:e>
              <m:r>
                <m:t>C</m:t>
              </m:r>
            </m:e>
            <m:sub>
              <m:r>
                <m:t>M</m:t>
              </m:r>
            </m:sub>
          </m:sSub>
          <m:r>
            <m:rPr>
              <m:sty m:val="p"/>
            </m:rPr>
            <m:t>.</m:t>
          </m:r>
        </m:oMath>
      </m:oMathPara>
    </w:p>
    <w:p>
      <w:pPr>
        <w:pStyle w:val="FirstParagraph"/>
      </w:pPr>
      <w:r>
        <w:t xml:space="preserve">Definindo</w:t>
      </w:r>
      <w:r>
        <w:t xml:space="preserve"> </w:t>
      </w:r>
      <m:oMath>
        <m:r>
          <m:t>W</m:t>
        </m:r>
        <m:r>
          <m:rPr>
            <m:sty m:val="p"/>
          </m:rPr>
          <m:t>=</m:t>
        </m:r>
        <m:nary>
          <m:naryPr>
            <m:chr m:val="∑"/>
            <m:limLoc m:val="undOvr"/>
            <m:subHide m:val="off"/>
            <m:supHide m:val="on"/>
          </m:naryPr>
          <m:sub>
            <m:r>
              <m:t>i</m:t>
            </m:r>
          </m:sub>
          <m:sup>
            <m:r>
              <m:t>​</m:t>
            </m:r>
          </m:sup>
          <m:e>
            <m:sSub>
              <m:e>
                <m:r>
                  <m:t>c</m:t>
                </m:r>
              </m:e>
              <m:sub>
                <m:r>
                  <m:t>p</m:t>
                </m:r>
                <m:r>
                  <m:rPr>
                    <m:sty m:val="p"/>
                  </m:rPr>
                  <m:t>,</m:t>
                </m:r>
                <m:r>
                  <m:t>i</m:t>
                </m:r>
              </m:sub>
            </m:sSub>
          </m:e>
        </m:nary>
        <m:sSub>
          <m:e>
            <m:r>
              <m:t>C</m:t>
            </m:r>
          </m:e>
          <m:sub>
            <m:r>
              <m:t>i</m:t>
            </m:r>
          </m:sub>
        </m:sSub>
      </m:oMath>
      <w:r>
        <w:t xml:space="preserve"> </w:t>
      </w:r>
      <w:r>
        <w:t xml:space="preserve">e</w:t>
      </w:r>
      <w:r>
        <w:t xml:space="preserve"> </w:t>
      </w:r>
      <m:oMath>
        <m:sSub>
          <m:e>
            <m:r>
              <m:t>F</m:t>
            </m:r>
          </m:e>
          <m:sub>
            <m:r>
              <m:t>c</m:t>
            </m:r>
            <m:r>
              <m:t>p</m:t>
            </m:r>
          </m:sub>
        </m:sSub>
        <m:r>
          <m:rPr>
            <m:sty m:val="p"/>
          </m:rPr>
          <m:t>=</m:t>
        </m:r>
        <m:sSub>
          <m:e>
            <m:r>
              <m:t>F</m:t>
            </m:r>
          </m:e>
          <m:sub>
            <m:r>
              <m:t>A</m:t>
            </m:r>
          </m:sub>
        </m:sSub>
        <m:sSub>
          <m:e>
            <m:r>
              <m:t>c</m:t>
            </m:r>
          </m:e>
          <m:sub>
            <m:r>
              <m:t>p</m:t>
            </m:r>
            <m:r>
              <m:rPr>
                <m:sty m:val="p"/>
              </m:rPr>
              <m:t>,</m:t>
            </m:r>
            <m:r>
              <m:t>A</m:t>
            </m:r>
          </m:sub>
        </m:sSub>
        <m:r>
          <m:rPr>
            <m:sty m:val="p"/>
          </m:rPr>
          <m:t>+</m:t>
        </m:r>
        <m:sSub>
          <m:e>
            <m:r>
              <m:t>F</m:t>
            </m:r>
          </m:e>
          <m:sub>
            <m:r>
              <m:t>B</m:t>
            </m:r>
          </m:sub>
        </m:sSub>
        <m:sSub>
          <m:e>
            <m:r>
              <m:t>c</m:t>
            </m:r>
          </m:e>
          <m:sub>
            <m:r>
              <m:t>p</m:t>
            </m:r>
            <m:r>
              <m:rPr>
                <m:sty m:val="p"/>
              </m:rPr>
              <m:t>,</m:t>
            </m:r>
            <m:r>
              <m:t>B</m:t>
            </m:r>
          </m:sub>
        </m:sSub>
        <m:r>
          <m:rPr>
            <m:sty m:val="p"/>
          </m:rPr>
          <m:t>+</m:t>
        </m:r>
        <m:sSub>
          <m:e>
            <m:r>
              <m:t>F</m:t>
            </m:r>
          </m:e>
          <m:sub>
            <m:r>
              <m:t>M</m:t>
            </m:r>
          </m:sub>
        </m:sSub>
        <m:sSub>
          <m:e>
            <m:r>
              <m:t>c</m:t>
            </m:r>
          </m:e>
          <m:sub>
            <m:r>
              <m:t>p</m:t>
            </m:r>
            <m:r>
              <m:rPr>
                <m:sty m:val="p"/>
              </m:rPr>
              <m:t>,</m:t>
            </m:r>
            <m:r>
              <m:t>M</m:t>
            </m:r>
          </m:sub>
        </m:sSub>
      </m:oMath>
      <w:r>
        <w:t xml:space="preserve">:</w:t>
      </w:r>
    </w:p>
    <w:p>
      <w:pPr>
        <w:pStyle w:val="BodyText"/>
      </w:pPr>
      <m:oMathPara>
        <m:oMathParaPr>
          <m:jc m:val="center"/>
        </m:oMathParaPr>
        <m:oMath>
          <m:r>
            <m:t>Q</m:t>
          </m:r>
          <m:r>
            <m:rPr>
              <m:sty m:val="p"/>
            </m:rPr>
            <m:t>=</m:t>
          </m:r>
          <m:sSub>
            <m:e>
              <m:r>
                <m:t>m</m:t>
              </m:r>
            </m:e>
            <m:sub>
              <m:r>
                <m:t>w</m:t>
              </m:r>
            </m:sub>
          </m:sSub>
          <m:sSub>
            <m:e>
              <m:r>
                <m:t>c</m:t>
              </m:r>
            </m:e>
            <m:sub>
              <m:r>
                <m:t>p</m:t>
              </m:r>
              <m:r>
                <m:rPr>
                  <m:sty m:val="p"/>
                </m:rPr>
                <m:t>,</m:t>
              </m:r>
              <m:r>
                <m:t>B</m:t>
              </m:r>
            </m:sub>
          </m:sSub>
          <m:d>
            <m:dPr>
              <m:begChr m:val="("/>
              <m:endChr m:val=")"/>
              <m:sepChr m:val=""/>
              <m:grow/>
            </m:dPr>
            <m:e>
              <m:sSub>
                <m:e>
                  <m:r>
                    <m:t>T</m:t>
                  </m:r>
                </m:e>
                <m:sub>
                  <m:r>
                    <m:t>a</m:t>
                  </m:r>
                </m:sub>
              </m:sSub>
              <m:r>
                <m:rPr>
                  <m:sty m:val="p"/>
                </m:rPr>
                <m:t>−</m:t>
              </m:r>
              <m:r>
                <m:t>T</m:t>
              </m:r>
            </m:e>
          </m:d>
          <m:d>
            <m:dPr>
              <m:begChr m:val="["/>
              <m:endChr m:val="]"/>
              <m:sepChr m:val=""/>
              <m:grow/>
            </m:dPr>
            <m:e>
              <m:r>
                <m:t>1</m:t>
              </m:r>
              <m:r>
                <m:rPr>
                  <m:sty m:val="p"/>
                </m:rPr>
                <m:t>−</m:t>
              </m:r>
              <m:sSup>
                <m:e>
                  <m:r>
                    <m:t>e</m:t>
                  </m:r>
                </m:e>
                <m:sup>
                  <m:r>
                    <m:rPr>
                      <m:sty m:val="p"/>
                    </m:rPr>
                    <m:t>−</m:t>
                  </m:r>
                  <m:r>
                    <m:t>U</m:t>
                  </m:r>
                  <m:r>
                    <m:t>A</m:t>
                  </m:r>
                  <m:r>
                    <m:rPr>
                      <m:sty m:val="p"/>
                    </m:rPr>
                    <m:t>/</m:t>
                  </m:r>
                  <m:d>
                    <m:dPr>
                      <m:begChr m:val="("/>
                      <m:endChr m:val=")"/>
                      <m:sepChr m:val=""/>
                      <m:grow/>
                    </m:dPr>
                    <m:e>
                      <m:sSub>
                        <m:e>
                          <m:r>
                            <m:t>m</m:t>
                          </m:r>
                        </m:e>
                        <m:sub>
                          <m:r>
                            <m:t>w</m:t>
                          </m:r>
                        </m:sub>
                      </m:sSub>
                      <m:sSub>
                        <m:e>
                          <m:r>
                            <m:t>c</m:t>
                          </m:r>
                        </m:e>
                        <m:sub>
                          <m:r>
                            <m:t>p</m:t>
                          </m:r>
                          <m:r>
                            <m:rPr>
                              <m:sty m:val="p"/>
                            </m:rPr>
                            <m:t>,</m:t>
                          </m:r>
                          <m:r>
                            <m:t>B</m:t>
                          </m:r>
                        </m:sub>
                      </m:sSub>
                    </m:e>
                  </m:d>
                </m:sup>
              </m:sSup>
            </m:e>
          </m:d>
          <m:r>
            <m:rPr>
              <m:sty m:val="p"/>
            </m:rPr>
            <m:t>,</m:t>
          </m:r>
        </m:oMath>
      </m:oMathPara>
    </w:p>
    <w:p>
      <w:pPr>
        <w:pStyle w:val="FirstParagraph"/>
      </w:pPr>
      <m:oMathPara>
        <m:oMathParaPr>
          <m:jc m:val="center"/>
        </m:oMathParaPr>
        <m:oMath>
          <m:acc>
            <m:accPr>
              <m:chr m:val="̇"/>
            </m:accPr>
            <m:e>
              <m:r>
                <m:t>T</m:t>
              </m:r>
            </m:e>
          </m:acc>
          <m:r>
            <m:rPr>
              <m:sty m:val="p"/>
            </m:rPr>
            <m:t>=</m:t>
          </m:r>
          <m:f>
            <m:fPr>
              <m:type m:val="bar"/>
            </m:fPr>
            <m:num>
              <m:r>
                <m:t>Q</m:t>
              </m:r>
              <m:r>
                <m:rPr>
                  <m:sty m:val="p"/>
                </m:rPr>
                <m:t>+</m:t>
              </m:r>
              <m:sSub>
                <m:e>
                  <m:r>
                    <m:t>F</m:t>
                  </m:r>
                </m:e>
                <m:sub>
                  <m:r>
                    <m:t>c</m:t>
                  </m:r>
                  <m:r>
                    <m:t>p</m:t>
                  </m:r>
                </m:sub>
              </m:sSub>
              <m:d>
                <m:dPr>
                  <m:begChr m:val="("/>
                  <m:endChr m:val=")"/>
                  <m:sepChr m:val=""/>
                  <m:grow/>
                </m:dPr>
                <m:e>
                  <m:sSub>
                    <m:e>
                      <m:r>
                        <m:t>T</m:t>
                      </m:r>
                    </m:e>
                    <m:sub>
                      <m:r>
                        <m:t>0</m:t>
                      </m:r>
                    </m:sub>
                  </m:sSub>
                  <m:r>
                    <m:rPr>
                      <m:sty m:val="p"/>
                    </m:rPr>
                    <m:t>−</m:t>
                  </m:r>
                  <m:r>
                    <m:t>T</m:t>
                  </m:r>
                </m:e>
              </m:d>
              <m:r>
                <m:rPr>
                  <m:sty m:val="p"/>
                </m:rPr>
                <m:t>−</m:t>
              </m:r>
              <m:r>
                <m:t>Δ</m:t>
              </m:r>
              <m:sSub>
                <m:e>
                  <m:r>
                    <m:t>H</m:t>
                  </m:r>
                </m:e>
                <m:sub>
                  <m:r>
                    <m:t>r</m:t>
                  </m:r>
                </m:sub>
              </m:sSub>
              <m:r>
                <m:t>r</m:t>
              </m:r>
              <m:r>
                <m:t>V</m:t>
              </m:r>
            </m:num>
            <m:den>
              <m:r>
                <m:t>V</m:t>
              </m:r>
              <m:r>
                <m:t>W</m:t>
              </m:r>
            </m:den>
          </m:f>
          <m:r>
            <m:rPr>
              <m:sty m:val="p"/>
            </m:rPr>
            <m:t>,</m:t>
          </m:r>
          <m:r>
            <m:t>  </m:t>
          </m:r>
          <m:sSub>
            <m:e>
              <m:acc>
                <m:accPr>
                  <m:chr m:val="̇"/>
                </m:accPr>
                <m:e>
                  <m:r>
                    <m:t>T</m:t>
                  </m:r>
                </m:e>
              </m:acc>
            </m:e>
            <m:sub>
              <m:r>
                <m:t>t</m:t>
              </m:r>
            </m:sub>
          </m:sSub>
          <m:r>
            <m:rPr>
              <m:sty m:val="p"/>
            </m:rPr>
            <m:t>=</m:t>
          </m:r>
          <m:f>
            <m:fPr>
              <m:type m:val="bar"/>
            </m:fPr>
            <m:num>
              <m:sSub>
                <m:e>
                  <m:r>
                    <m:t>m</m:t>
                  </m:r>
                </m:e>
                <m:sub>
                  <m:r>
                    <m:t>w</m:t>
                  </m:r>
                </m:sub>
              </m:sSub>
              <m:sSub>
                <m:e>
                  <m:r>
                    <m:t>c</m:t>
                  </m:r>
                </m:e>
                <m:sub>
                  <m:r>
                    <m:t>p</m:t>
                  </m:r>
                  <m:r>
                    <m:rPr>
                      <m:sty m:val="p"/>
                    </m:rPr>
                    <m:t>,</m:t>
                  </m:r>
                  <m:r>
                    <m:t>B</m:t>
                  </m:r>
                </m:sub>
              </m:sSub>
              <m:d>
                <m:dPr>
                  <m:begChr m:val="("/>
                  <m:endChr m:val=")"/>
                  <m:sepChr m:val=""/>
                  <m:grow/>
                </m:dPr>
                <m:e>
                  <m:sSub>
                    <m:e>
                      <m:r>
                        <m:t>T</m:t>
                      </m:r>
                    </m:e>
                    <m:sub>
                      <m:r>
                        <m:t>a</m:t>
                      </m:r>
                    </m:sub>
                  </m:sSub>
                  <m:r>
                    <m:rPr>
                      <m:sty m:val="p"/>
                    </m:rPr>
                    <m:t>−</m:t>
                  </m:r>
                  <m:sSub>
                    <m:e>
                      <m:r>
                        <m:t>T</m:t>
                      </m:r>
                    </m:e>
                    <m:sub>
                      <m:r>
                        <m:t>t</m:t>
                      </m:r>
                    </m:sub>
                  </m:sSub>
                </m:e>
              </m:d>
              <m:r>
                <m:rPr>
                  <m:sty m:val="p"/>
                </m:rPr>
                <m:t>−</m:t>
              </m:r>
              <m:r>
                <m:t>Q</m:t>
              </m:r>
            </m:num>
            <m:den>
              <m:sSub>
                <m:e>
                  <m:r>
                    <m:t>ρ</m:t>
                  </m:r>
                </m:e>
                <m:sub>
                  <m:r>
                    <m:t>B</m:t>
                  </m:r>
                </m:sub>
              </m:sSub>
              <m:sSub>
                <m:e>
                  <m:r>
                    <m:t>V</m:t>
                  </m:r>
                </m:e>
                <m:sub>
                  <m:r>
                    <m:t>t</m:t>
                  </m:r>
                </m:sub>
              </m:sSub>
              <m:sSub>
                <m:e>
                  <m:r>
                    <m:t>c</m:t>
                  </m:r>
                </m:e>
                <m:sub>
                  <m:r>
                    <m:t>p</m:t>
                  </m:r>
                  <m:r>
                    <m:rPr>
                      <m:sty m:val="p"/>
                    </m:rPr>
                    <m:t>,</m:t>
                  </m:r>
                  <m:r>
                    <m:t>B</m:t>
                  </m:r>
                </m:sub>
              </m:sSub>
            </m:den>
          </m:f>
          <m:r>
            <m:rPr>
              <m:sty m:val="p"/>
            </m:rPr>
            <m:t>.</m:t>
          </m:r>
        </m:oMath>
      </m:oMathPara>
    </w:p>
    <w:p>
      <w:pPr>
        <w:pStyle w:val="FirstParagraph"/>
      </w:pPr>
      <w:r>
        <w:t xml:space="preserve">Somente</w:t>
      </w:r>
      <w:r>
        <w:t xml:space="preserve"> </w:t>
      </w:r>
      <m:oMath>
        <m:r>
          <m:t>T</m:t>
        </m:r>
        <m:r>
          <m:rPr>
            <m:sty m:val="p"/>
          </m:rPr>
          <m:t>,</m:t>
        </m:r>
        <m:sSub>
          <m:e>
            <m:r>
              <m:t>T</m:t>
            </m:r>
          </m:e>
          <m:sub>
            <m:r>
              <m:t>t</m:t>
            </m:r>
          </m:sub>
        </m:sSub>
      </m:oMath>
      <w:r>
        <w:t xml:space="preserve"> </w:t>
      </w:r>
      <w:r>
        <w:t xml:space="preserve">são medidas. A entrada otimizada é</w:t>
      </w:r>
      <w:r>
        <w:t xml:space="preserve"> </w:t>
      </w:r>
      <m:oMath>
        <m:sSub>
          <m:e>
            <m:r>
              <m:t>m</m:t>
            </m:r>
          </m:e>
          <m:sub>
            <m:r>
              <m:t>w</m:t>
            </m:r>
          </m:sub>
        </m:sSub>
        <m:r>
          <m:rPr>
            <m:sty m:val="p"/>
          </m:rPr>
          <m:t>=</m:t>
        </m:r>
        <m:r>
          <m:t>q</m:t>
        </m:r>
        <m:r>
          <m:t> </m:t>
        </m:r>
        <m:r>
          <m:t>453.59237</m:t>
        </m:r>
      </m:oMath>
      <w:r>
        <w:t xml:space="preserve"> </w:t>
      </w:r>
      <w:r>
        <w:t xml:space="preserve">kmol/h; as alimentações atuais são conhecidas, sem antecipação de perturbações. Preserva-se a assimetria histórica:</w:t>
      </w:r>
      <w:r>
        <w:t xml:space="preserve"> </w:t>
      </w:r>
      <m:oMath>
        <m:sSub>
          <m:e>
            <m:r>
              <m:t>T</m:t>
            </m:r>
          </m:e>
          <m:sub>
            <m:r>
              <m:t>t</m:t>
            </m:r>
          </m:sub>
        </m:sSub>
      </m:oMath>
      <w:r>
        <w:t xml:space="preserve"> </w:t>
      </w:r>
      <w:r>
        <w:t xml:space="preserve">não aparece em</w:t>
      </w:r>
      <w:r>
        <w:t xml:space="preserve"> </w:t>
      </w:r>
      <m:oMath>
        <m:r>
          <m:t>Q</m:t>
        </m:r>
      </m:oMath>
      <w:r>
        <w:t xml:space="preserve">.</w:t>
      </w:r>
    </w:p>
    <w:p>
      <w:pPr>
        <w:pStyle w:val="BodyText"/>
      </w:pPr>
      <w:r>
        <w:t xml:space="preserve">A entalpia executável é -83736 kJ/kmol, enquanto a tabela da dissertação informa -91556.90. A conversão imperial arredondada e o deslocamento de Arrhenius são convenções preservadas para reprodução. O exemplo público de Fogler contém correção da entalpia com temperatura, mas utiliza outras condições operacionais</w:t>
      </w:r>
      <w:r>
        <w:t xml:space="preserve"> </w:t>
      </w:r>
      <w:r>
        <w:t xml:space="preserve">(Fogler, s.d.)</w:t>
      </w:r>
      <w:r>
        <w:t xml:space="preserve">; não autoriza substituir constantes sem calibração.</w:t>
      </w:r>
    </w:p>
    <w:p>
      <w:pPr>
        <w:pStyle w:val="BodyText"/>
      </w:pPr>
      <w:r>
        <w:t xml:space="preserve">Um caso didático relacionado utiliza cinética de primeira ordem com água em excesso e líquido não ideal</w:t>
      </w:r>
      <w:r>
        <w:t xml:space="preserve"> </w:t>
      </w:r>
      <w:r>
        <w:t xml:space="preserve">(Chan e Seider 2004)</w:t>
      </w:r>
      <w:r>
        <w:t xml:space="preserve">. Isso sustenta a aproximação cinética como benchmark, mas impede tratar apenas a calorimetria ideal como validação da equivalência física de inventários reais.</w:t>
      </w:r>
    </w:p>
    <w:p>
      <w:pPr>
        <w:pStyle w:val="BodyText"/>
      </w:pPr>
      <w:r>
        <w:t xml:space="preserve">O benchmark de volume constante calcula a vazão volumétrica de saída pelas densidades das alimentações, mas não impõe equação de estado dependente da composição nem fechamento por volumes molares parciais a cada inventário candidato. Positividade representa admissibilidade no modelo, não admissibilidade física completa da mistura líquida. Restrições exatas adicionais de composição e volume intersectariam o subespaço invisível e poderiam reduzi-lo. Variação de volume pela reação e entalpia não ideal permanecem fora das reconciliações testadas.</w:t>
      </w:r>
    </w:p>
    <w:bookmarkStart w:id="23" w:name="alternativas-físicas-explícitas"/>
    <w:p>
      <w:pPr>
        <w:pStyle w:val="Heading2"/>
      </w:pPr>
      <w:r>
        <w:rPr>
          <w:rStyle w:val="SectionNumber"/>
        </w:rPr>
        <w:t xml:space="preserve">4.1</w:t>
      </w:r>
      <w:r>
        <w:tab/>
      </w:r>
      <w:r>
        <w:t xml:space="preserve">Alternativas físicas explícitas</w:t>
      </w:r>
    </w:p>
    <w:p>
      <w:pPr>
        <w:pStyle w:val="FirstParagraph"/>
      </w:pPr>
      <w:r>
        <w:t xml:space="preserve">M1H introduz consistência de Kirchhoff:</w:t>
      </w:r>
      <w:r>
        <w:t xml:space="preserve"> </w:t>
      </w:r>
      <m:oMath>
        <m:r>
          <m:t>Δ</m:t>
        </m:r>
        <m:sSub>
          <m:e>
            <m:r>
              <m:t>H</m:t>
            </m:r>
          </m:e>
          <m:sub>
            <m:r>
              <m:t>r</m:t>
            </m:r>
          </m:sub>
        </m:sSub>
        <m:d>
          <m:dPr>
            <m:begChr m:val="("/>
            <m:endChr m:val=")"/>
            <m:sepChr m:val=""/>
            <m:grow/>
          </m:dPr>
          <m:e>
            <m:r>
              <m:t>T</m:t>
            </m:r>
          </m:e>
        </m:d>
        <m:r>
          <m:rPr>
            <m:sty m:val="p"/>
          </m:rPr>
          <m:t>=</m:t>
        </m:r>
        <m:r>
          <m:t>Δ</m:t>
        </m:r>
        <m:sSub>
          <m:e>
            <m:r>
              <m:t>H</m:t>
            </m:r>
          </m:e>
          <m:sub>
            <m:r>
              <m:t>r</m:t>
            </m:r>
          </m:sub>
        </m:sSub>
        <m:d>
          <m:dPr>
            <m:begChr m:val="("/>
            <m:endChr m:val=")"/>
            <m:sepChr m:val=""/>
            <m:grow/>
          </m:dPr>
          <m:e>
            <m:sSub>
              <m:e>
                <m:r>
                  <m:t>T</m:t>
                </m:r>
              </m:e>
              <m:sub>
                <m:r>
                  <m:t>r</m:t>
                </m:r>
              </m:sub>
            </m:sSub>
          </m:e>
        </m:d>
        <m:r>
          <m:rPr>
            <m:sty m:val="p"/>
          </m:rPr>
          <m:t>+</m:t>
        </m:r>
        <m:nary>
          <m:naryPr>
            <m:chr m:val="∫"/>
            <m:limLoc m:val="subSup"/>
            <m:subHide m:val="off"/>
            <m:supHide m:val="off"/>
          </m:naryPr>
          <m:sub>
            <m:sSub>
              <m:e>
                <m:r>
                  <m:t>T</m:t>
                </m:r>
              </m:e>
              <m:sub>
                <m:r>
                  <m:t>r</m:t>
                </m:r>
              </m:sub>
            </m:sSub>
          </m:sub>
          <m:sup>
            <m:r>
              <m:t>T</m:t>
            </m:r>
          </m:sup>
          <m:e>
            <m:d>
              <m:dPr>
                <m:begChr m:val="("/>
                <m:endChr m:val=")"/>
                <m:sepChr m:val=""/>
                <m:grow/>
              </m:dPr>
              <m:e>
                <m:sSub>
                  <m:e>
                    <m:r>
                      <m:t>c</m:t>
                    </m:r>
                  </m:e>
                  <m:sub>
                    <m:r>
                      <m:t>p</m:t>
                    </m:r>
                    <m:r>
                      <m:rPr>
                        <m:sty m:val="p"/>
                      </m:rPr>
                      <m:t>,</m:t>
                    </m:r>
                    <m:r>
                      <m:t>C</m:t>
                    </m:r>
                  </m:sub>
                </m:sSub>
                <m:r>
                  <m:rPr>
                    <m:sty m:val="p"/>
                  </m:rPr>
                  <m:t>−</m:t>
                </m:r>
                <m:sSub>
                  <m:e>
                    <m:r>
                      <m:t>c</m:t>
                    </m:r>
                  </m:e>
                  <m:sub>
                    <m:r>
                      <m:t>p</m:t>
                    </m:r>
                    <m:r>
                      <m:rPr>
                        <m:sty m:val="p"/>
                      </m:rPr>
                      <m:t>,</m:t>
                    </m:r>
                    <m:r>
                      <m:t>A</m:t>
                    </m:r>
                  </m:sub>
                </m:sSub>
                <m:r>
                  <m:rPr>
                    <m:sty m:val="p"/>
                  </m:rPr>
                  <m:t>−</m:t>
                </m:r>
                <m:sSub>
                  <m:e>
                    <m:r>
                      <m:t>c</m:t>
                    </m:r>
                  </m:e>
                  <m:sub>
                    <m:r>
                      <m:t>p</m:t>
                    </m:r>
                    <m:r>
                      <m:rPr>
                        <m:sty m:val="p"/>
                      </m:rPr>
                      <m:t>,</m:t>
                    </m:r>
                    <m:r>
                      <m:t>B</m:t>
                    </m:r>
                  </m:sub>
                </m:sSub>
              </m:e>
            </m:d>
          </m:e>
        </m:nary>
        <m:r>
          <m:t> </m:t>
        </m:r>
        <m:r>
          <m:t>d</m:t>
        </m:r>
        <m:r>
          <m:t>θ</m:t>
        </m:r>
      </m:oMath>
      <w:r>
        <w:t xml:space="preserve">,</w:t>
      </w:r>
      <w:r>
        <w:t xml:space="preserve"> </w:t>
      </w:r>
      <w:r>
        <w:t xml:space="preserve">assumindo a entalpia histórica na temperatura nominal</w:t>
      </w:r>
      <w:r>
        <w:t xml:space="preserve"> </w:t>
      </w:r>
      <m:oMath>
        <m:sSub>
          <m:e>
            <m:r>
              <m:t>T</m:t>
            </m:r>
          </m:e>
          <m:sub>
            <m:r>
              <m:t>r</m:t>
            </m:r>
          </m:sub>
        </m:sSub>
        <m:r>
          <m:rPr>
            <m:sty m:val="p"/>
          </m:rPr>
          <m:t>=</m:t>
        </m:r>
        <m:r>
          <m:t>332.333618020</m:t>
        </m:r>
      </m:oMath>
      <w:r>
        <w:t xml:space="preserve"> </w:t>
      </w:r>
      <w:r>
        <w:t xml:space="preserve">K. Essa referência não é conhecida independentemente. M1J acrescenta</w:t>
      </w:r>
      <w:r>
        <w:t xml:space="preserve"> </w:t>
      </w:r>
      <m:oMath>
        <m:r>
          <m:t>Q</m:t>
        </m:r>
        <m:r>
          <m:rPr>
            <m:sty m:val="p"/>
          </m:rPr>
          <m:t>=</m:t>
        </m:r>
        <m:r>
          <m:t>G</m:t>
        </m:r>
        <m:d>
          <m:dPr>
            <m:begChr m:val="("/>
            <m:endChr m:val=")"/>
            <m:sepChr m:val=""/>
            <m:grow/>
          </m:dPr>
          <m:e>
            <m:sSub>
              <m:e>
                <m:r>
                  <m:t>T</m:t>
                </m:r>
              </m:e>
              <m:sub>
                <m:r>
                  <m:t>t</m:t>
                </m:r>
              </m:sub>
            </m:sSub>
            <m:r>
              <m:rPr>
                <m:sty m:val="p"/>
              </m:rPr>
              <m:t>−</m:t>
            </m:r>
            <m:r>
              <m:t>T</m:t>
            </m:r>
          </m:e>
        </m:d>
      </m:oMath>
      <w:r>
        <w:t xml:space="preserve"> </w:t>
      </w:r>
      <w:r>
        <w:t xml:space="preserve">com armazenamento térmico da camisa. Escolhe-se</w:t>
      </w:r>
      <w:r>
        <w:t xml:space="preserve"> </w:t>
      </w:r>
      <m:oMath>
        <m:r>
          <m:t>G</m:t>
        </m:r>
        <m:r>
          <m:rPr>
            <m:sty m:val="p"/>
          </m:rPr>
          <m:t>=</m:t>
        </m:r>
        <m:sSub>
          <m:e>
            <m:r>
              <m:t>m</m:t>
            </m:r>
          </m:e>
          <m:sub>
            <m:r>
              <m:t>w</m:t>
            </m:r>
            <m:r>
              <m:t>0</m:t>
            </m:r>
          </m:sub>
        </m:sSub>
        <m:sSub>
          <m:e>
            <m:r>
              <m:t>c</m:t>
            </m:r>
          </m:e>
          <m:sub>
            <m:r>
              <m:t>p</m:t>
            </m:r>
            <m:r>
              <m:rPr>
                <m:sty m:val="p"/>
              </m:rPr>
              <m:t>,</m:t>
            </m:r>
            <m:r>
              <m:t>B</m:t>
            </m:r>
          </m:sub>
        </m:sSub>
        <m:d>
          <m:dPr>
            <m:begChr m:val="["/>
            <m:endChr m:val="]"/>
            <m:sepChr m:val=""/>
            <m:grow/>
          </m:dPr>
          <m:e>
            <m:r>
              <m:rPr>
                <m:sty m:val="p"/>
              </m:rPr>
              <m:t>exp</m:t>
            </m:r>
            <m:d>
              <m:dPr>
                <m:begChr m:val="("/>
                <m:endChr m:val=")"/>
                <m:sepChr m:val=""/>
                <m:grow/>
              </m:dPr>
              <m:e>
                <m:r>
                  <m:t>U</m:t>
                </m:r>
                <m:r>
                  <m:t>A</m:t>
                </m:r>
                <m:r>
                  <m:rPr>
                    <m:sty m:val="p"/>
                  </m:rPr>
                  <m:t>/</m:t>
                </m:r>
                <m:d>
                  <m:dPr>
                    <m:begChr m:val="("/>
                    <m:endChr m:val=")"/>
                    <m:sepChr m:val=""/>
                    <m:grow/>
                  </m:dPr>
                  <m:e>
                    <m:sSub>
                      <m:e>
                        <m:r>
                          <m:t>m</m:t>
                        </m:r>
                      </m:e>
                      <m:sub>
                        <m:r>
                          <m:t>w</m:t>
                        </m:r>
                        <m:r>
                          <m:t>0</m:t>
                        </m:r>
                      </m:sub>
                    </m:sSub>
                    <m:sSub>
                      <m:e>
                        <m:r>
                          <m:t>c</m:t>
                        </m:r>
                      </m:e>
                      <m:sub>
                        <m:r>
                          <m:t>p</m:t>
                        </m:r>
                        <m:r>
                          <m:rPr>
                            <m:sty m:val="p"/>
                          </m:rPr>
                          <m:t>,</m:t>
                        </m:r>
                        <m:r>
                          <m:t>B</m:t>
                        </m:r>
                      </m:sub>
                    </m:sSub>
                  </m:e>
                </m:d>
              </m:e>
            </m:d>
            <m:r>
              <m:rPr>
                <m:sty m:val="p"/>
              </m:rPr>
              <m:t>−</m:t>
            </m:r>
            <m:r>
              <m:t>1</m:t>
            </m:r>
          </m:e>
        </m:d>
      </m:oMath>
      <w:r>
        <w:t xml:space="preserve"> </w:t>
      </w:r>
      <w:r>
        <w:t xml:space="preserve">para igualar a remoção estacionária nominal. Não se confunde UA de uma serpentina com condutância de uma camisa perfeitamente misturada.</w:t>
      </w:r>
    </w:p>
    <w:p>
      <w:pPr>
        <w:pStyle w:val="BodyText"/>
      </w:pPr>
      <w:r>
        <w:t xml:space="preserve">M2L e M2Q adotam</w:t>
      </w:r>
      <w:r>
        <w:t xml:space="preserve"> </w:t>
      </w:r>
      <m:oMath>
        <m:sSub>
          <m:e>
            <m:r>
              <m:t>c</m:t>
            </m:r>
          </m:e>
          <m:sub>
            <m:r>
              <m:t>p</m:t>
            </m:r>
            <m:r>
              <m:rPr>
                <m:sty m:val="p"/>
              </m:rPr>
              <m:t>,</m:t>
            </m:r>
            <m:r>
              <m:t>i</m:t>
            </m:r>
          </m:sub>
        </m:sSub>
        <m:d>
          <m:dPr>
            <m:begChr m:val="("/>
            <m:endChr m:val=")"/>
            <m:sepChr m:val=""/>
            <m:grow/>
          </m:dPr>
          <m:e>
            <m:r>
              <m:t>T</m:t>
            </m:r>
          </m:e>
        </m:d>
        <m:r>
          <m:rPr>
            <m:sty m:val="p"/>
          </m:rPr>
          <m:t>=</m:t>
        </m:r>
        <m:sSub>
          <m:e>
            <m:r>
              <m:t>a</m:t>
            </m:r>
          </m:e>
          <m:sub>
            <m:r>
              <m:t>i</m:t>
            </m:r>
          </m:sub>
        </m:sSub>
        <m:r>
          <m:rPr>
            <m:sty m:val="p"/>
          </m:rPr>
          <m:t>+</m:t>
        </m:r>
        <m:sSub>
          <m:e>
            <m:r>
              <m:t>b</m:t>
            </m:r>
          </m:e>
          <m:sub>
            <m:r>
              <m:t>i</m:t>
            </m:r>
          </m:sub>
        </m:sSub>
        <m:d>
          <m:dPr>
            <m:begChr m:val="("/>
            <m:endChr m:val=")"/>
            <m:sepChr m:val=""/>
            <m:grow/>
          </m:dPr>
          <m:e>
            <m:r>
              <m:t>T</m:t>
            </m:r>
            <m:r>
              <m:rPr>
                <m:sty m:val="p"/>
              </m:rPr>
              <m:t>−</m:t>
            </m:r>
            <m:sSub>
              <m:e>
                <m:r>
                  <m:t>T</m:t>
                </m:r>
              </m:e>
              <m:sub>
                <m:r>
                  <m:t>r</m:t>
                </m:r>
              </m:sub>
            </m:sSub>
          </m:e>
        </m:d>
        <m:r>
          <m:rPr>
            <m:sty m:val="p"/>
          </m:rPr>
          <m:t>+</m:t>
        </m:r>
        <m:sSub>
          <m:e>
            <m:r>
              <m:t>c</m:t>
            </m:r>
          </m:e>
          <m:sub>
            <m:r>
              <m:t>i</m:t>
            </m:r>
          </m:sub>
        </m:sSub>
        <m:sSup>
          <m:e>
            <m:d>
              <m:dPr>
                <m:begChr m:val="("/>
                <m:endChr m:val=")"/>
                <m:sepChr m:val=""/>
                <m:grow/>
              </m:dPr>
              <m:e>
                <m:r>
                  <m:t>T</m:t>
                </m:r>
                <m:r>
                  <m:rPr>
                    <m:sty m:val="p"/>
                  </m:rPr>
                  <m:t>−</m:t>
                </m:r>
                <m:sSub>
                  <m:e>
                    <m:r>
                      <m:t>T</m:t>
                    </m:r>
                  </m:e>
                  <m:sub>
                    <m:r>
                      <m:t>r</m:t>
                    </m:r>
                  </m:sub>
                </m:sSub>
              </m:e>
            </m:d>
          </m:e>
          <m:sup>
            <m:r>
              <m:t>2</m:t>
            </m:r>
          </m:sup>
        </m:sSup>
      </m:oMath>
      <w:r>
        <w:t xml:space="preserve">, com</w:t>
      </w:r>
      <w:r>
        <w:t xml:space="preserve"> </w:t>
      </w:r>
      <m:oMath>
        <m:sSub>
          <m:e>
            <m:r>
              <m:t>a</m:t>
            </m:r>
          </m:e>
          <m:sub>
            <m:r>
              <m:t>i</m:t>
            </m:r>
          </m:sub>
        </m:sSub>
      </m:oMath>
      <w:r>
        <w:t xml:space="preserve"> </w:t>
      </w:r>
      <w:r>
        <w:t xml:space="preserve">históricos. As inclinações relativas são (0.0015,0.0002,0.0025,0.0010) por K; as curvaturas relativas são (0.000010,0.000002,0.000016,-0.000003) por K ao quadrado. M2L anula as curvaturas. Entalpias sensíveis e de reação são integradas consistentemente. São modelos sintéticos de sensibilidade, sem calibração de propriedades; nenhum constitui o M1 fisicamente validado solicitado na missão integral.</w:t>
      </w:r>
    </w:p>
    <w:bookmarkEnd w:id="23"/>
    <w:bookmarkEnd w:id="24"/>
    <w:bookmarkStart w:id="25" w:name="arquiteturas-de-estimação-e-controle"/>
    <w:p>
      <w:pPr>
        <w:pStyle w:val="Heading1"/>
      </w:pPr>
      <w:r>
        <w:rPr>
          <w:rStyle w:val="SectionNumber"/>
        </w:rPr>
        <w:t xml:space="preserve">5</w:t>
      </w:r>
      <w:r>
        <w:tab/>
      </w:r>
      <w:r>
        <w:t xml:space="preserve">Arquiteturas de estimação e controle</w:t>
      </w:r>
    </w:p>
    <w:p>
      <w:pPr>
        <w:pStyle w:val="FirstParagraph"/>
      </w:pPr>
      <w:r>
        <w:t xml:space="preserve">B1 combina UKF de seis estados e preditor nominal. B2_estimator acrescenta fatores logarítmicos de cinética e troca térmica ao UKF, preservando o preditor nominal. B2_both transmite esses fatores estimados ao preditor. Nenhum recebe parâmetros verdadeiros. B0 é um PI documentado sobre concentração inferida, com ganhos 4 e 2 e antiwindup; não é reprodução de uma cascata histórica otimamente sintonizada.</w:t>
      </w:r>
    </w:p>
    <w:p>
      <w:pPr>
        <w:pStyle w:val="BodyText"/>
      </w:pPr>
      <w:r>
        <w:t xml:space="preserve">B3_assumed_inventory impõe inventários iniciais nominais. B3_known_inventory recebe os inventários verdadeiros uma única vez e dispõe de informação adicional. Os estados reduzidos são</w:t>
      </w:r>
      <w:r>
        <w:t xml:space="preserve"> </w:t>
      </w:r>
      <m:oMath>
        <m:d>
          <m:dPr>
            <m:begChr m:val="("/>
            <m:endChr m:val=")"/>
            <m:sepChr m:val=""/>
            <m:grow/>
          </m:dPr>
          <m:e>
            <m:sSub>
              <m:e>
                <m:r>
                  <m:t>C</m:t>
                </m:r>
              </m:e>
              <m:sub>
                <m:r>
                  <m:t>C</m:t>
                </m:r>
              </m:sub>
            </m:sSub>
            <m:r>
              <m:rPr>
                <m:sty m:val="p"/>
              </m:rPr>
              <m:t>,</m:t>
            </m:r>
            <m:r>
              <m:t>T</m:t>
            </m:r>
            <m:r>
              <m:rPr>
                <m:sty m:val="p"/>
              </m:rPr>
              <m:t>,</m:t>
            </m:r>
            <m:sSub>
              <m:e>
                <m:r>
                  <m:t>T</m:t>
                </m:r>
              </m:e>
              <m:sub>
                <m:r>
                  <m:t>t</m:t>
                </m:r>
              </m:sub>
            </m:sSub>
          </m:e>
        </m:d>
      </m:oMath>
      <w:r>
        <w:t xml:space="preserve">, com totais propagados pelos balanços de alimentação e diluição. B4 é MHE determinístico de seis passos, prior aproximado de chegada, sem variáveis de ruído de processo e orçamento de 18 avaliações. B5 usa estado atual verdadeiro somente como oráculo diagnóstico, mantendo parâmetros nominais no preditor.</w:t>
      </w:r>
    </w:p>
    <w:p>
      <w:pPr>
        <w:pStyle w:val="BodyText"/>
      </w:pPr>
      <w:r>
        <w:t xml:space="preserve">P1 minimiza custo médio de três representantes. P2 minimiza seu maior regret. P3 combina essa regra com adaptação causal de parâmetros. P4 aplica ação robusta quando os representantes discordam em pelo menos 0,2 unidade nominal de refrigeração; caso contrário utiliza política nominal adaptada. Os representantes são o ponto do UKF e compensações calorimétricas de produto de mais/menos</w:t>
      </w:r>
      <w:r>
        <w:t xml:space="preserve"> </w:t>
      </w:r>
      <m:oMath>
        <m:r>
          <m:t>0.4</m:t>
        </m:r>
        <m:sSup>
          <m:e>
            <m:r>
              <m:t>e</m:t>
            </m:r>
          </m:e>
          <m:sup>
            <m:r>
              <m:rPr>
                <m:sty m:val="p"/>
              </m:rPr>
              <m:t>−</m:t>
            </m:r>
            <m:r>
              <m:rPr>
                <m:sty m:val="p"/>
              </m:rPr>
              <m:t>∫</m:t>
            </m:r>
            <m:r>
              <m:t>D</m:t>
            </m:r>
            <m:r>
              <m:t>d</m:t>
            </m:r>
            <m:r>
              <m:t>t</m:t>
            </m:r>
          </m:sup>
        </m:sSup>
      </m:oMath>
      <w:r>
        <w:t xml:space="preserve">. Não constituem conjunto envolvente certificado nem amostragem posterior completa.</w:t>
      </w:r>
    </w:p>
    <w:p>
      <w:pPr>
        <w:pStyle w:val="BodyText"/>
      </w:pPr>
      <w:r>
        <w:t xml:space="preserve">As variantes P5 mantêm controle nominal e acrescentam amostra inicial; quatro amostras periódicas; coleta por evento com cota quatro; atraso de três passos; ruído ampliado; ou até oito amostras frequentes. O desvio padrão de composição é 0,03 kmol/m3, ampliado para 0,15 no caso ruidoso. Inovações atrasadas são transportadas aproximadamente pela diluição, com incremento explícito de variância. Não há suavizador completo de medições fora de sequência. Pedidos por evento usam largura da crença e desacordo decisório disponíveis, sem observações futuras.</w:t>
      </w:r>
    </w:p>
    <w:p>
      <w:pPr>
        <w:pStyle w:val="BodyText"/>
      </w:pPr>
      <w:r>
        <w:t xml:space="preserve">A política padrão enumera até 25 sequências de dois blocos: primeira ação por três passos, segunda por onze. Incrementos pertencem a cinco pontos entre -0,4 e 0,4. Todos compartilham</w:t>
      </w:r>
      <w:r>
        <w:t xml:space="preserve"> </w:t>
      </w:r>
      <m:oMath>
        <m:r>
          <m:t>0.05</m:t>
        </m:r>
        <m:r>
          <m:rPr>
            <m:sty m:val="p"/>
          </m:rPr>
          <m:t>≤</m:t>
        </m:r>
        <m:r>
          <m:t>q</m:t>
        </m:r>
        <m:r>
          <m:rPr>
            <m:sty m:val="p"/>
          </m:rPr>
          <m:t>≤</m:t>
        </m:r>
        <m:r>
          <m:t>3</m:t>
        </m:r>
      </m:oMath>
      <w:r>
        <w:t xml:space="preserve"> </w:t>
      </w:r>
      <w:r>
        <w:t xml:space="preserve">e variação máxima 0,4; no cenário de saturação, o mesmo teto reduzido 1,3 vale para todos. A restrição amostrada é</w:t>
      </w:r>
      <w:r>
        <w:t xml:space="preserve"> </w:t>
      </w:r>
      <m:oMath>
        <m:r>
          <m:t>T</m:t>
        </m:r>
        <m:r>
          <m:rPr>
            <m:sty m:val="p"/>
          </m:rPr>
          <m:t>≤</m:t>
        </m:r>
        <m:r>
          <m:t>344.261111</m:t>
        </m:r>
      </m:oMath>
      <w:r>
        <w:t xml:space="preserve"> </w:t>
      </w:r>
      <w:r>
        <w:t xml:space="preserve">K. Ausência de plano conjuntamente viável ativa contingência explícita de menor violação prevista. Isso não estabelece segurança garantida.</w:t>
      </w:r>
    </w:p>
    <w:p>
      <w:pPr>
        <w:pStyle w:val="BodyText"/>
      </w:pPr>
      <w:r>
        <w:t xml:space="preserve">O custo adimensional é</w:t>
      </w:r>
    </w:p>
    <w:p>
      <w:pPr>
        <w:pStyle w:val="BodyText"/>
      </w:pPr>
      <w:r>
        <w:t xml:space="preserve">$$J=\sum_{j=1}^{14}\left[0.8\left(\frac{C_{C,j}-r_k}{2.295764605}\right)^2+
1000\left(\frac{\max(T_j-344.261111,0)}{160/1.8}\right)^2\right]
+0.2[(q_1-q_{\rm prev})^2+(q_2-q_1)^2].$$</w:t>
      </w:r>
    </w:p>
    <w:p>
      <w:pPr>
        <w:pStyle w:val="FirstParagraph"/>
      </w:pPr>
      <w:r>
        <w:t xml:space="preserve">Esse objetivo difere do IAE. B1_continuous otimiza o mesmo problema de dois blocos por SLSQP, iniciado na solução da grade. É um comparador local; não equivale ao NMPC histórico completo de horizonte 57 e seis movimentos.</w:t>
      </w:r>
    </w:p>
    <w:bookmarkEnd w:id="25"/>
    <w:bookmarkStart w:id="26" w:name="metodologia-experimental"/>
    <w:p>
      <w:pPr>
        <w:pStyle w:val="Heading1"/>
      </w:pPr>
      <w:r>
        <w:rPr>
          <w:rStyle w:val="SectionNumber"/>
        </w:rPr>
        <w:t xml:space="preserve">6</w:t>
      </w:r>
      <w:r>
        <w:tab/>
      </w:r>
      <w:r>
        <w:t xml:space="preserve">Metodologia experimental</w:t>
      </w:r>
    </w:p>
    <w:p>
      <w:pPr>
        <w:pStyle w:val="FirstParagraph"/>
      </w:pPr>
      <w:r>
        <w:t xml:space="preserve">O protocolo congelado prevê 14 cenários, 19 métodos e 20 sementes pareadas por combinação. Cada trajetória contém 60 intervalos de 0,015 h, totalizando 0,9 h. Incluem-se nominal, servo, erros cinético e térmico, inventários com sinais opostos, perturbação de alimentação, erro de capacidade calorífica, ruído correlacionado, perda de medição, saturação, perturbações combinadas, estado fora do conjunto inicial e referência inalcançável. As variantes físicas estruturais são analisadas separadamente do benchmark de controle M0.</w:t>
      </w:r>
    </w:p>
    <w:p>
      <w:pPr>
        <w:pStyle w:val="BodyText"/>
      </w:pPr>
      <w:r>
        <w:t xml:space="preserve">Os desvios padrão iniciais do UKF são (0,15;0,8;0,4;0,3;0,5;0,5). A diagonal de Q é (2e-6;2e-5;2e-6;1e-7;0,015;0,006). Os ruídos térmicos possuem desvios (1,385;1,062)/1,8 K. Fatores adaptativos têm variância inicial 0,15 ao quadrado, variância de processo 1e-5 e limites [-0,5;0,5]. Usam-se alpha=0,5 e beta=2. Nenhuma sintonia utiliza desfechos reservados.</w:t>
      </w:r>
    </w:p>
    <w:p>
      <w:pPr>
        <w:pStyle w:val="BodyText"/>
      </w:pPr>
      <w:r>
        <w:t xml:space="preserve">As sementes principais são 4100–4119; a confirmação 8100–8119 cobre quatro cenários declarados e cinco métodos. As sementes 101–103 avaliam uma grade mais densa; a semente 11 serve ao piloto de custo. Os ruídos são pareados entre métodos. O bootstrap reamostra sementes; para a suíte finita, cada semente é primeiro agregada entre cenários. A incerteza descreve essa suíte, sem representar uma população industrial. Três contrastes primários recebem ajuste de Holm; os demais permanecem exploratórios.</w:t>
      </w:r>
    </w:p>
    <w:p>
      <w:pPr>
        <w:pStyle w:val="BodyText"/>
      </w:pPr>
      <w:r>
        <w:t xml:space="preserve">A planta usa RK4 com 12 subpassos, comparado ao DOP853 do SciPy com rtol 2e-11 e atol 1e-12. Predição usa três subpassos e filtro quatro. Estados físicos não são recortados. Reparos de positividade e covariância do estimador são contabilizados. Métricas escalares são recalculadas independentemente das trajetórias salvas. Os tempos pertencem a CPU Linux hospedada, sem certificação no Ryzen de destino.</w:t>
      </w:r>
    </w:p>
    <w:bookmarkEnd w:id="26"/>
    <w:bookmarkStart w:id="27" w:name="parâmetros-e-condição-inicial"/>
    <w:p>
      <w:pPr>
        <w:pStyle w:val="Heading1"/>
      </w:pPr>
      <w:r>
        <w:rPr>
          <w:rStyle w:val="SectionNumber"/>
        </w:rPr>
        <w:t xml:space="preserve">7</w:t>
      </w:r>
      <w:r>
        <w:tab/>
      </w:r>
      <w:r>
        <w:t xml:space="preserve">Parâmetros e condição inicial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Unit</w:t>
            </w:r>
          </w:p>
        </w:tc>
      </w:tr>
      <w:tr>
        <w:tc>
          <w:tcPr/>
          <w:p>
            <w:pPr>
              <w:pStyle w:val="Compact"/>
              <w:jc w:val="left"/>
            </w:pPr>
            <w:r>
              <w:t xml:space="preserve">V</w:t>
            </w:r>
          </w:p>
        </w:tc>
        <w:tc>
          <w:tcPr/>
          <w:p>
            <w:pPr>
              <w:pStyle w:val="Compact"/>
              <w:jc w:val="left"/>
            </w:pPr>
            <w:r>
              <w:t xml:space="preserve">1.8918</w:t>
            </w:r>
          </w:p>
        </w:tc>
        <w:tc>
          <w:tcPr/>
          <w:p>
            <w:pPr>
              <w:pStyle w:val="Compact"/>
              <w:jc w:val="left"/>
            </w:pPr>
            <w:r>
              <w:t xml:space="preserve">m3</w:t>
            </w:r>
          </w:p>
        </w:tc>
      </w:tr>
      <w:tr>
        <w:tc>
          <w:tcPr/>
          <w:p>
            <w:pPr>
              <w:pStyle w:val="Compact"/>
              <w:jc w:val="left"/>
            </w:pPr>
            <w:r>
              <w:t xml:space="preserve">Vt</w:t>
            </w:r>
          </w:p>
        </w:tc>
        <w:tc>
          <w:tcPr/>
          <w:p>
            <w:pPr>
              <w:pStyle w:val="Compact"/>
              <w:jc w:val="left"/>
            </w:pPr>
            <w:r>
              <w:t xml:space="preserve">1.1001</w:t>
            </w:r>
          </w:p>
        </w:tc>
        <w:tc>
          <w:tcPr/>
          <w:p>
            <w:pPr>
              <w:pStyle w:val="Compact"/>
              <w:jc w:val="left"/>
            </w:pPr>
            <w:r>
              <w:t xml:space="preserve">m3</w:t>
            </w:r>
          </w:p>
        </w:tc>
      </w:tr>
      <w:tr>
        <w:tc>
          <w:tcPr/>
          <w:p>
            <w:pPr>
              <w:pStyle w:val="Compact"/>
              <w:jc w:val="left"/>
            </w:pPr>
            <w:r>
              <w:t xml:space="preserve">UA</w:t>
            </w:r>
          </w:p>
        </w:tc>
        <w:tc>
          <w:tcPr/>
          <w:p>
            <w:pPr>
              <w:pStyle w:val="Compact"/>
              <w:jc w:val="left"/>
            </w:pPr>
            <w:r>
              <w:t xml:space="preserve">30386</w:t>
            </w:r>
          </w:p>
        </w:tc>
        <w:tc>
          <w:tcPr/>
          <w:p>
            <w:pPr>
              <w:pStyle w:val="Compact"/>
              <w:jc w:val="left"/>
            </w:pPr>
            <w:r>
              <w:t xml:space="preserve">kJ/(h K)</w:t>
            </w:r>
          </w:p>
        </w:tc>
      </w:tr>
      <w:tr>
        <w:tc>
          <w:tcPr/>
          <w:p>
            <w:pPr>
              <w:pStyle w:val="Compact"/>
              <w:jc w:val="left"/>
            </w:pPr>
            <w:r>
              <w:t xml:space="preserve">CpA</w:t>
            </w:r>
          </w:p>
        </w:tc>
        <w:tc>
          <w:tcPr/>
          <w:p>
            <w:pPr>
              <w:pStyle w:val="Compact"/>
              <w:jc w:val="left"/>
            </w:pPr>
            <w:r>
              <w:t xml:space="preserve">146.54</w:t>
            </w:r>
          </w:p>
        </w:tc>
        <w:tc>
          <w:tcPr/>
          <w:p>
            <w:pPr>
              <w:pStyle w:val="Compact"/>
              <w:jc w:val="left"/>
            </w:pPr>
            <w:r>
              <w:t xml:space="preserve">kJ/(kmol K)</w:t>
            </w:r>
          </w:p>
        </w:tc>
      </w:tr>
      <w:tr>
        <w:tc>
          <w:tcPr/>
          <w:p>
            <w:pPr>
              <w:pStyle w:val="Compact"/>
              <w:jc w:val="left"/>
            </w:pPr>
            <w:r>
              <w:t xml:space="preserve">CpB</w:t>
            </w:r>
          </w:p>
        </w:tc>
        <w:tc>
          <w:tcPr/>
          <w:p>
            <w:pPr>
              <w:pStyle w:val="Compact"/>
              <w:jc w:val="left"/>
            </w:pPr>
            <w:r>
              <w:t xml:space="preserve">75.362</w:t>
            </w:r>
          </w:p>
        </w:tc>
        <w:tc>
          <w:tcPr/>
          <w:p>
            <w:pPr>
              <w:pStyle w:val="Compact"/>
              <w:jc w:val="left"/>
            </w:pPr>
            <w:r>
              <w:t xml:space="preserve">kJ/(kmol K)</w:t>
            </w:r>
          </w:p>
        </w:tc>
      </w:tr>
      <w:tr>
        <w:tc>
          <w:tcPr/>
          <w:p>
            <w:pPr>
              <w:pStyle w:val="Compact"/>
              <w:jc w:val="left"/>
            </w:pPr>
            <w:r>
              <w:t xml:space="preserve">CpC</w:t>
            </w:r>
          </w:p>
        </w:tc>
        <w:tc>
          <w:tcPr/>
          <w:p>
            <w:pPr>
              <w:pStyle w:val="Compact"/>
              <w:jc w:val="left"/>
            </w:pPr>
            <w:r>
              <w:t xml:space="preserve">192.59</w:t>
            </w:r>
          </w:p>
        </w:tc>
        <w:tc>
          <w:tcPr/>
          <w:p>
            <w:pPr>
              <w:pStyle w:val="Compact"/>
              <w:jc w:val="left"/>
            </w:pPr>
            <w:r>
              <w:t xml:space="preserve">kJ/(kmol K)</w:t>
            </w:r>
          </w:p>
        </w:tc>
      </w:tr>
      <w:tr>
        <w:tc>
          <w:tcPr/>
          <w:p>
            <w:pPr>
              <w:pStyle w:val="Compact"/>
              <w:jc w:val="left"/>
            </w:pPr>
            <w:r>
              <w:t xml:space="preserve">CpM</w:t>
            </w:r>
          </w:p>
        </w:tc>
        <w:tc>
          <w:tcPr/>
          <w:p>
            <w:pPr>
              <w:pStyle w:val="Compact"/>
              <w:jc w:val="left"/>
            </w:pPr>
            <w:r>
              <w:t xml:space="preserve">81.643</w:t>
            </w:r>
          </w:p>
        </w:tc>
        <w:tc>
          <w:tcPr/>
          <w:p>
            <w:pPr>
              <w:pStyle w:val="Compact"/>
              <w:jc w:val="left"/>
            </w:pPr>
            <w:r>
              <w:t xml:space="preserve">kJ/(kmol K)</w:t>
            </w:r>
          </w:p>
        </w:tc>
      </w:tr>
      <w:tr>
        <w:tc>
          <w:tcPr/>
          <w:p>
            <w:pPr>
              <w:pStyle w:val="Compact"/>
              <w:jc w:val="left"/>
            </w:pPr>
            <w:r>
              <w:t xml:space="preserve">E</w:t>
            </w:r>
          </w:p>
        </w:tc>
        <w:tc>
          <w:tcPr/>
          <w:p>
            <w:pPr>
              <w:pStyle w:val="Compact"/>
              <w:jc w:val="left"/>
            </w:pPr>
            <w:r>
              <w:t xml:space="preserve">75362</w:t>
            </w:r>
          </w:p>
        </w:tc>
        <w:tc>
          <w:tcPr/>
          <w:p>
            <w:pPr>
              <w:pStyle w:val="Compact"/>
              <w:jc w:val="left"/>
            </w:pPr>
            <w:r>
              <w:t xml:space="preserve">kJ/kmol</w:t>
            </w:r>
          </w:p>
        </w:tc>
      </w:tr>
      <w:tr>
        <w:tc>
          <w:tcPr/>
          <w:p>
            <w:pPr>
              <w:pStyle w:val="Compact"/>
              <w:jc w:val="left"/>
            </w:pPr>
            <w:r>
              <w:t xml:space="preserve">R</w:t>
            </w:r>
          </w:p>
        </w:tc>
        <w:tc>
          <w:tcPr/>
          <w:p>
            <w:pPr>
              <w:pStyle w:val="Compact"/>
              <w:jc w:val="left"/>
            </w:pPr>
            <w:r>
              <w:t xml:space="preserve">8.3192</w:t>
            </w:r>
          </w:p>
        </w:tc>
        <w:tc>
          <w:tcPr/>
          <w:p>
            <w:pPr>
              <w:pStyle w:val="Compact"/>
              <w:jc w:val="left"/>
            </w:pPr>
            <w:r>
              <w:t xml:space="preserve">kJ/(kmol K)</w:t>
            </w:r>
          </w:p>
        </w:tc>
      </w:tr>
      <w:tr>
        <w:tc>
          <w:tcPr/>
          <w:p>
            <w:pPr>
              <w:pStyle w:val="Compact"/>
              <w:jc w:val="left"/>
            </w:pPr>
            <w:r>
              <w:t xml:space="preserve">k0</w:t>
            </w:r>
          </w:p>
        </w:tc>
        <w:tc>
          <w:tcPr/>
          <w:p>
            <w:pPr>
              <w:pStyle w:val="Compact"/>
              <w:jc w:val="left"/>
            </w:pPr>
            <w:r>
              <w:t xml:space="preserve">1.696e+13</w:t>
            </w:r>
          </w:p>
        </w:tc>
        <w:tc>
          <w:tcPr/>
          <w:p>
            <w:pPr>
              <w:pStyle w:val="Compact"/>
              <w:jc w:val="left"/>
            </w:pPr>
            <w:r>
              <w:t xml:space="preserve">1/h</w:t>
            </w:r>
          </w:p>
        </w:tc>
      </w:tr>
      <w:tr>
        <w:tc>
          <w:tcPr/>
          <w:p>
            <w:pPr>
              <w:pStyle w:val="Compact"/>
              <w:jc w:val="left"/>
            </w:pPr>
            <w:r>
              <w:t xml:space="preserve">DeltaH</w:t>
            </w:r>
          </w:p>
        </w:tc>
        <w:tc>
          <w:tcPr/>
          <w:p>
            <w:pPr>
              <w:pStyle w:val="Compact"/>
              <w:jc w:val="left"/>
            </w:pPr>
            <w:r>
              <w:t xml:space="preserve">-83736</w:t>
            </w:r>
          </w:p>
        </w:tc>
        <w:tc>
          <w:tcPr/>
          <w:p>
            <w:pPr>
              <w:pStyle w:val="Compact"/>
              <w:jc w:val="left"/>
            </w:pPr>
            <w:r>
              <w:t xml:space="preserve">kJ/kmol</w:t>
            </w:r>
          </w:p>
        </w:tc>
      </w:tr>
      <w:tr>
        <w:tc>
          <w:tcPr/>
          <w:p>
            <w:pPr>
              <w:pStyle w:val="Compact"/>
              <w:jc w:val="left"/>
            </w:pPr>
            <w:r>
              <w:t xml:space="preserve">FA</w:t>
            </w:r>
          </w:p>
        </w:tc>
        <w:tc>
          <w:tcPr/>
          <w:p>
            <w:pPr>
              <w:pStyle w:val="Compact"/>
              <w:jc w:val="left"/>
            </w:pPr>
            <w:r>
              <w:t xml:space="preserve">36.287</w:t>
            </w:r>
          </w:p>
        </w:tc>
        <w:tc>
          <w:tcPr/>
          <w:p>
            <w:pPr>
              <w:pStyle w:val="Compact"/>
              <w:jc w:val="left"/>
            </w:pPr>
            <w:r>
              <w:t xml:space="preserve">kmol/h</w:t>
            </w:r>
          </w:p>
        </w:tc>
      </w:tr>
      <w:tr>
        <w:tc>
          <w:tcPr/>
          <w:p>
            <w:pPr>
              <w:pStyle w:val="Compact"/>
              <w:jc w:val="left"/>
            </w:pPr>
            <w:r>
              <w:t xml:space="preserve">FB</w:t>
            </w:r>
          </w:p>
        </w:tc>
        <w:tc>
          <w:tcPr/>
          <w:p>
            <w:pPr>
              <w:pStyle w:val="Compact"/>
              <w:jc w:val="left"/>
            </w:pPr>
            <w:r>
              <w:t xml:space="preserve">453.59</w:t>
            </w:r>
          </w:p>
        </w:tc>
        <w:tc>
          <w:tcPr/>
          <w:p>
            <w:pPr>
              <w:pStyle w:val="Compact"/>
              <w:jc w:val="left"/>
            </w:pPr>
            <w:r>
              <w:t xml:space="preserve">kmol/h</w:t>
            </w:r>
          </w:p>
        </w:tc>
      </w:tr>
      <w:tr>
        <w:tc>
          <w:tcPr/>
          <w:p>
            <w:pPr>
              <w:pStyle w:val="Compact"/>
              <w:jc w:val="left"/>
            </w:pPr>
            <w:r>
              <w:t xml:space="preserve">FM</w:t>
            </w:r>
          </w:p>
        </w:tc>
        <w:tc>
          <w:tcPr/>
          <w:p>
            <w:pPr>
              <w:pStyle w:val="Compact"/>
              <w:jc w:val="left"/>
            </w:pPr>
            <w:r>
              <w:t xml:space="preserve">45.359</w:t>
            </w:r>
          </w:p>
        </w:tc>
        <w:tc>
          <w:tcPr/>
          <w:p>
            <w:pPr>
              <w:pStyle w:val="Compact"/>
              <w:jc w:val="left"/>
            </w:pPr>
            <w:r>
              <w:t xml:space="preserve">kmol/h</w:t>
            </w:r>
          </w:p>
        </w:tc>
      </w:tr>
      <w:tr>
        <w:tc>
          <w:tcPr/>
          <w:p>
            <w:pPr>
              <w:pStyle w:val="Compact"/>
              <w:jc w:val="left"/>
            </w:pPr>
            <w:r>
              <w:t xml:space="preserve">mw0</w:t>
            </w:r>
          </w:p>
        </w:tc>
        <w:tc>
          <w:tcPr/>
          <w:p>
            <w:pPr>
              <w:pStyle w:val="Compact"/>
              <w:jc w:val="left"/>
            </w:pPr>
            <w:r>
              <w:t xml:space="preserve">453.59</w:t>
            </w:r>
          </w:p>
        </w:tc>
        <w:tc>
          <w:tcPr/>
          <w:p>
            <w:pPr>
              <w:pStyle w:val="Compact"/>
              <w:jc w:val="left"/>
            </w:pPr>
            <w:r>
              <w:t xml:space="preserve">kmol/h</w:t>
            </w:r>
          </w:p>
        </w:tc>
      </w:tr>
      <w:tr>
        <w:tc>
          <w:tcPr/>
          <w:p>
            <w:pPr>
              <w:pStyle w:val="Compact"/>
              <w:jc w:val="left"/>
            </w:pPr>
            <w:r>
              <w:t xml:space="preserve">T0</w:t>
            </w:r>
          </w:p>
        </w:tc>
        <w:tc>
          <w:tcPr/>
          <w:p>
            <w:pPr>
              <w:pStyle w:val="Compact"/>
              <w:jc w:val="left"/>
            </w:pPr>
            <w:r>
              <w:t xml:space="preserve">297.04</w:t>
            </w:r>
          </w:p>
        </w:tc>
        <w:tc>
          <w:tcPr/>
          <w:p>
            <w:pPr>
              <w:pStyle w:val="Compact"/>
              <w:jc w:val="left"/>
            </w:pPr>
            <w:r>
              <w:t xml:space="preserve">K</w:t>
            </w:r>
          </w:p>
        </w:tc>
      </w:tr>
      <w:tr>
        <w:tc>
          <w:tcPr/>
          <w:p>
            <w:pPr>
              <w:pStyle w:val="Compact"/>
              <w:jc w:val="left"/>
            </w:pPr>
            <w:r>
              <w:t xml:space="preserve">Ta</w:t>
            </w:r>
          </w:p>
        </w:tc>
        <w:tc>
          <w:tcPr/>
          <w:p>
            <w:pPr>
              <w:pStyle w:val="Compact"/>
              <w:jc w:val="left"/>
            </w:pPr>
            <w:r>
              <w:t xml:space="preserve">288.71</w:t>
            </w:r>
          </w:p>
        </w:tc>
        <w:tc>
          <w:tcPr/>
          <w:p>
            <w:pPr>
              <w:pStyle w:val="Compact"/>
              <w:jc w:val="left"/>
            </w:pPr>
            <w:r>
              <w:t xml:space="preserve">K</w:t>
            </w:r>
          </w:p>
        </w:tc>
      </w:tr>
    </w:tbl>
    <w:p>
      <w:pPr>
        <w:pStyle w:val="BodyText"/>
      </w:pPr>
      <w:r>
        <w:t xml:space="preserve">Equilíbrio nominal: 0.607024732, 33.989102107, 2.295764605, 3.628486671, 332.333618020, 314.397585330.</w:t>
      </w:r>
    </w:p>
    <w:bookmarkEnd w:id="27"/>
    <w:bookmarkStart w:id="36" w:name="escopo-matemático-e-demonstrações"/>
    <w:p>
      <w:pPr>
        <w:pStyle w:val="Heading1"/>
      </w:pPr>
      <w:r>
        <w:rPr>
          <w:rStyle w:val="SectionNumber"/>
        </w:rPr>
        <w:t xml:space="preserve">8</w:t>
      </w:r>
      <w:r>
        <w:tab/>
      </w:r>
      <w:r>
        <w:t xml:space="preserve">Escopo matemático e demonstrações</w:t>
      </w:r>
    </w:p>
    <w:p>
      <w:pPr>
        <w:pStyle w:val="FirstParagraph"/>
      </w:pPr>
      <w:r>
        <w:t xml:space="preserve">Os resultados seguintes descrevem a classe de modelos explicitada, sem estabelecer validação de uma instalação industrial. O tempo é medido em horas. Os mundos comparados compartilham alimentações conhecidas, parâmetros, referência, restrições de atuação e temperaturas iniciais medidas. As condições químicas iniciais pertencem ao domínio positivo aberto admitido pelo benchmark de seis estados, sem impor uma equação de estado validada da mistura. Restrições exatas adicionais de admissibilidade devem ser intersectadas com a classe construída e podem reduzir sua dimensão. Supõem-se existência e unicidade das soluções no horizonte considerado. As entradas podem depender causalmente das temperaturas medidas. As afirmações de informação exata usam medições sem ruído ou acoplamento com a mesma realização aditiva de ruído.</w:t>
      </w:r>
    </w:p>
    <w:bookmarkStart w:id="28" w:name="X2d174ec7f6b9097eae5ab5cd4f44ec9f6bd38e4"/>
    <w:p>
      <w:pPr>
        <w:pStyle w:val="Heading2"/>
      </w:pPr>
      <w:r>
        <w:rPr>
          <w:rStyle w:val="SectionNumber"/>
        </w:rPr>
        <w:t xml:space="preserve">8.1</w:t>
      </w:r>
      <w:r>
        <w:tab/>
      </w:r>
      <w:r>
        <w:t xml:space="preserve">Proposição 1: classe de equivalência calorimétrica</w:t>
      </w:r>
    </w:p>
    <w:p>
      <w:pPr>
        <w:pStyle w:val="FirstParagraph"/>
      </w:pPr>
      <w:r>
        <w:t xml:space="preserve">Considere</w:t>
      </w:r>
      <w:r>
        <w:t xml:space="preserve"> </w:t>
      </w:r>
      <m:oMath>
        <m:acc>
          <m:accPr>
            <m:chr m:val="̇"/>
          </m:accPr>
          <m:e>
            <m:r>
              <m:t>c</m:t>
            </m:r>
          </m:e>
        </m:acc>
        <m:r>
          <m:rPr>
            <m:sty m:val="p"/>
          </m:rPr>
          <m:t>=</m:t>
        </m:r>
        <m:r>
          <m:t>F</m:t>
        </m:r>
        <m:r>
          <m:rPr>
            <m:sty m:val="p"/>
          </m:rPr>
          <m:t>/</m:t>
        </m:r>
        <m:r>
          <m:t>V</m:t>
        </m:r>
        <m:r>
          <m:rPr>
            <m:sty m:val="p"/>
          </m:rPr>
          <m:t>−</m:t>
        </m:r>
        <m:r>
          <m:t>D</m:t>
        </m:r>
        <m:d>
          <m:dPr>
            <m:begChr m:val="("/>
            <m:endChr m:val=")"/>
            <m:sepChr m:val=""/>
            <m:grow/>
          </m:dPr>
          <m:e>
            <m:r>
              <m:t>t</m:t>
            </m:r>
          </m:e>
        </m:d>
        <m:r>
          <m:t>c</m:t>
        </m:r>
        <m:r>
          <m:rPr>
            <m:sty m:val="p"/>
          </m:rPr>
          <m:t>+</m:t>
        </m:r>
        <m:r>
          <m:t>ν</m:t>
        </m:r>
        <m:r>
          <m:t>r</m:t>
        </m:r>
      </m:oMath>
      <w:r>
        <w:t xml:space="preserve">, com</w:t>
      </w:r>
      <w:r>
        <w:t xml:space="preserve"> </w:t>
      </w:r>
      <m:oMath>
        <m:r>
          <m:t>ν</m:t>
        </m:r>
        <m:r>
          <m:rPr>
            <m:sty m:val="p"/>
          </m:rPr>
          <m:t>=</m:t>
        </m:r>
        <m:sSup>
          <m:e>
            <m:d>
              <m:dPr>
                <m:begChr m:val="("/>
                <m:endChr m:val=")"/>
                <m:sepChr m:val=""/>
                <m:grow/>
              </m:dPr>
              <m:e>
                <m:r>
                  <m:rPr>
                    <m:sty m:val="p"/>
                  </m:rPr>
                  <m:t>−</m:t>
                </m:r>
                <m:r>
                  <m:t>1</m:t>
                </m:r>
                <m:r>
                  <m:rPr>
                    <m:sty m:val="p"/>
                  </m:rPr>
                  <m:t>,</m:t>
                </m:r>
                <m:r>
                  <m:rPr>
                    <m:sty m:val="p"/>
                  </m:rPr>
                  <m:t>−</m:t>
                </m:r>
                <m:r>
                  <m:t>1</m:t>
                </m:r>
                <m:r>
                  <m:rPr>
                    <m:sty m:val="p"/>
                  </m:rPr>
                  <m:t>,</m:t>
                </m:r>
                <m:r>
                  <m:t>1</m:t>
                </m:r>
                <m:r>
                  <m:rPr>
                    <m:sty m:val="p"/>
                  </m:rPr>
                  <m:t>,</m:t>
                </m:r>
                <m:r>
                  <m:t>0</m:t>
                </m:r>
              </m:e>
            </m:d>
          </m:e>
          <m:sup>
            <m:r>
              <m:t>T</m:t>
            </m:r>
          </m:sup>
        </m:sSup>
      </m:oMath>
      <w:r>
        <w:t xml:space="preserve"> </w:t>
      </w:r>
      <w:r>
        <w:t xml:space="preserve">e</w:t>
      </w:r>
      <w:r>
        <w:t xml:space="preserve"> </w:t>
      </w:r>
      <m:oMath>
        <m:r>
          <m:t>r</m:t>
        </m:r>
        <m:r>
          <m:rPr>
            <m:sty m:val="p"/>
          </m:rPr>
          <m:t>=</m:t>
        </m:r>
        <m:r>
          <m:t>k</m:t>
        </m:r>
        <m:d>
          <m:dPr>
            <m:begChr m:val="("/>
            <m:endChr m:val=")"/>
            <m:sepChr m:val=""/>
            <m:grow/>
          </m:dPr>
          <m:e>
            <m:r>
              <m:t>T</m:t>
            </m:r>
          </m:e>
        </m:d>
        <m:sSub>
          <m:e>
            <m:r>
              <m:t>C</m:t>
            </m:r>
          </m:e>
          <m:sub>
            <m:r>
              <m:t>A</m:t>
            </m:r>
          </m:sub>
        </m:sSub>
      </m:oMath>
      <w:r>
        <w:t xml:space="preserve">. Suponha que a composição afete a dinâmica térmica somente por</w:t>
      </w:r>
      <w:r>
        <w:t xml:space="preserve"> </w:t>
      </w:r>
      <m:oMath>
        <m:sSub>
          <m:e>
            <m:r>
              <m:t>C</m:t>
            </m:r>
          </m:e>
          <m:sub>
            <m:r>
              <m:t>A</m:t>
            </m:r>
          </m:sub>
        </m:sSub>
      </m:oMath>
      <w:r>
        <w:t xml:space="preserve"> </w:t>
      </w:r>
      <w:r>
        <w:t xml:space="preserve">e</w:t>
      </w:r>
      <w:r>
        <w:t xml:space="preserve"> </w:t>
      </w:r>
      <m:oMath>
        <m:r>
          <m:t>W</m:t>
        </m:r>
        <m:d>
          <m:dPr>
            <m:begChr m:val="("/>
            <m:endChr m:val=")"/>
            <m:sepChr m:val=""/>
            <m:grow/>
          </m:dPr>
          <m:e>
            <m:r>
              <m:t>T</m:t>
            </m:r>
            <m:r>
              <m:rPr>
                <m:sty m:val="p"/>
              </m:rPr>
              <m:t>,</m:t>
            </m:r>
            <m:r>
              <m:t>c</m:t>
            </m:r>
          </m:e>
        </m:d>
        <m:r>
          <m:rPr>
            <m:sty m:val="p"/>
          </m:rPr>
          <m:t>=</m:t>
        </m:r>
        <m:nary>
          <m:naryPr>
            <m:chr m:val="∑"/>
            <m:limLoc m:val="undOvr"/>
            <m:subHide m:val="off"/>
            <m:supHide m:val="on"/>
          </m:naryPr>
          <m:sub>
            <m:r>
              <m:t>i</m:t>
            </m:r>
          </m:sub>
          <m:sup>
            <m:r>
              <m:t>​</m:t>
            </m:r>
          </m:sup>
          <m:e>
            <m:sSub>
              <m:e>
                <m:r>
                  <m:t>c</m:t>
                </m:r>
              </m:e>
              <m:sub>
                <m:r>
                  <m:t>p</m:t>
                </m:r>
                <m:r>
                  <m:rPr>
                    <m:sty m:val="p"/>
                  </m:rPr>
                  <m:t>,</m:t>
                </m:r>
                <m:r>
                  <m:t>i</m:t>
                </m:r>
              </m:sub>
            </m:sSub>
          </m:e>
        </m:nary>
        <m:d>
          <m:dPr>
            <m:begChr m:val="("/>
            <m:endChr m:val=")"/>
            <m:sepChr m:val=""/>
            <m:grow/>
          </m:dPr>
          <m:e>
            <m:r>
              <m:t>T</m:t>
            </m:r>
          </m:e>
        </m:d>
        <m:sSub>
          <m:e>
            <m:r>
              <m:t>C</m:t>
            </m:r>
          </m:e>
          <m:sub>
            <m:r>
              <m:t>i</m:t>
            </m:r>
          </m:sub>
        </m:sSub>
      </m:oMath>
      <w:r>
        <w:t xml:space="preserve">. A troca térmica pode ser qualquer função localmente Lipschitz de</w:t>
      </w:r>
      <w:r>
        <w:t xml:space="preserve"> </w:t>
      </w:r>
      <m:oMath>
        <m:r>
          <m:t>T</m:t>
        </m:r>
        <m:r>
          <m:rPr>
            <m:sty m:val="p"/>
          </m:rPr>
          <m:t>,</m:t>
        </m:r>
        <m:sSub>
          <m:e>
            <m:r>
              <m:t>T</m:t>
            </m:r>
          </m:e>
          <m:sub>
            <m:r>
              <m:t>t</m:t>
            </m:r>
          </m:sub>
        </m:sSub>
        <m:r>
          <m:rPr>
            <m:sty m:val="p"/>
          </m:rPr>
          <m:t>,</m:t>
        </m:r>
        <m:r>
          <m:t>u</m:t>
        </m:r>
      </m:oMath>
      <w:r>
        <w:t xml:space="preserve">, independente das demais coordenadas químicas. A entalpia de reação pode depender da temperatura.</w:t>
      </w:r>
    </w:p>
    <w:p>
      <w:pPr>
        <w:pStyle w:val="BodyText"/>
      </w:pPr>
      <w:r>
        <w:t xml:space="preserve">Para capacidades caloríficas constantes, dois estados iniciais que satisfaçam</w:t>
      </w:r>
    </w:p>
    <w:p>
      <w:pPr>
        <w:pStyle w:val="BodyText"/>
      </w:pPr>
      <m:oMathPara>
        <m:oMathParaPr>
          <m:jc m:val="center"/>
        </m:oMathParaPr>
        <m:oMath>
          <m:r>
            <m:t>δ</m:t>
          </m:r>
          <m:sSub>
            <m:e>
              <m:r>
                <m:t>C</m:t>
              </m:r>
            </m:e>
            <m:sub>
              <m:r>
                <m:t>A</m:t>
              </m:r>
            </m:sub>
          </m:sSub>
          <m:r>
            <m:rPr>
              <m:sty m:val="p"/>
            </m:rPr>
            <m:t>=</m:t>
          </m:r>
          <m:r>
            <m:t>0</m:t>
          </m:r>
          <m:r>
            <m:rPr>
              <m:sty m:val="p"/>
            </m:rPr>
            <m:t>,</m:t>
          </m:r>
          <m:r>
            <m:t> </m:t>
          </m:r>
          <m:r>
            <m:t>δ</m:t>
          </m:r>
          <m:r>
            <m:t>T</m:t>
          </m:r>
          <m:r>
            <m:rPr>
              <m:sty m:val="p"/>
            </m:rPr>
            <m:t>=</m:t>
          </m:r>
          <m:r>
            <m:t>δ</m:t>
          </m:r>
          <m:sSub>
            <m:e>
              <m:r>
                <m:t>T</m:t>
              </m:r>
            </m:e>
            <m:sub>
              <m:r>
                <m:t>t</m:t>
              </m:r>
            </m:sub>
          </m:sSub>
          <m:r>
            <m:rPr>
              <m:sty m:val="p"/>
            </m:rPr>
            <m:t>=</m:t>
          </m:r>
          <m:r>
            <m:t>0</m:t>
          </m:r>
          <m:r>
            <m:rPr>
              <m:sty m:val="p"/>
            </m:rPr>
            <m:t>,</m:t>
          </m:r>
          <m:r>
            <m:t>  </m:t>
          </m:r>
          <m:sSub>
            <m:e>
              <m:r>
                <m:t>c</m:t>
              </m:r>
            </m:e>
            <m:sub>
              <m:r>
                <m:t>p</m:t>
              </m:r>
              <m:r>
                <m:rPr>
                  <m:sty m:val="p"/>
                </m:rPr>
                <m:t>,</m:t>
              </m:r>
              <m:r>
                <m:t>B</m:t>
              </m:r>
            </m:sub>
          </m:sSub>
          <m:r>
            <m:t>δ</m:t>
          </m:r>
          <m:sSub>
            <m:e>
              <m:r>
                <m:t>C</m:t>
              </m:r>
            </m:e>
            <m:sub>
              <m:r>
                <m:t>B</m:t>
              </m:r>
            </m:sub>
          </m:sSub>
          <m:r>
            <m:rPr>
              <m:sty m:val="p"/>
            </m:rPr>
            <m:t>+</m:t>
          </m:r>
          <m:sSub>
            <m:e>
              <m:r>
                <m:t>c</m:t>
              </m:r>
            </m:e>
            <m:sub>
              <m:r>
                <m:t>p</m:t>
              </m:r>
              <m:r>
                <m:rPr>
                  <m:sty m:val="p"/>
                </m:rPr>
                <m:t>,</m:t>
              </m:r>
              <m:r>
                <m:t>C</m:t>
              </m:r>
            </m:sub>
          </m:sSub>
          <m:r>
            <m:t>δ</m:t>
          </m:r>
          <m:sSub>
            <m:e>
              <m:r>
                <m:t>C</m:t>
              </m:r>
            </m:e>
            <m:sub>
              <m:r>
                <m:t>C</m:t>
              </m:r>
            </m:sub>
          </m:sSub>
          <m:r>
            <m:rPr>
              <m:sty m:val="p"/>
            </m:rPr>
            <m:t>+</m:t>
          </m:r>
          <m:sSub>
            <m:e>
              <m:r>
                <m:t>c</m:t>
              </m:r>
            </m:e>
            <m:sub>
              <m:r>
                <m:t>p</m:t>
              </m:r>
              <m:r>
                <m:rPr>
                  <m:sty m:val="p"/>
                </m:rPr>
                <m:t>,</m:t>
              </m:r>
              <m:r>
                <m:t>M</m:t>
              </m:r>
            </m:sub>
          </m:sSub>
          <m:r>
            <m:t>δ</m:t>
          </m:r>
          <m:sSub>
            <m:e>
              <m:r>
                <m:t>C</m:t>
              </m:r>
            </m:e>
            <m:sub>
              <m:r>
                <m:t>M</m:t>
              </m:r>
            </m:sub>
          </m:sSub>
          <m:r>
            <m:rPr>
              <m:sty m:val="p"/>
            </m:rPr>
            <m:t>=</m:t>
          </m:r>
          <m:r>
            <m:t>0</m:t>
          </m:r>
        </m:oMath>
      </m:oMathPara>
    </w:p>
    <w:p>
      <w:pPr>
        <w:pStyle w:val="FirstParagraph"/>
      </w:pPr>
      <w:r>
        <w:t xml:space="preserve">produzem temperaturas idênticas sob toda entrada comum admissível, enquanto ambas as trajetórias permanecerem no domínio físico. Suas diferenças químicas obedecem a</w:t>
      </w:r>
    </w:p>
    <w:p>
      <w:pPr>
        <w:pStyle w:val="BodyText"/>
      </w:pPr>
      <m:oMathPara>
        <m:oMathParaPr>
          <m:jc m:val="center"/>
        </m:oMathParaPr>
        <m:oMath>
          <m:r>
            <m:t>δ</m:t>
          </m:r>
          <m:r>
            <m:t>c</m:t>
          </m:r>
          <m:d>
            <m:dPr>
              <m:begChr m:val="("/>
              <m:endChr m:val=")"/>
              <m:sepChr m:val=""/>
              <m:grow/>
            </m:dPr>
            <m:e>
              <m:r>
                <m:t>t</m:t>
              </m:r>
            </m:e>
          </m:d>
          <m:r>
            <m:rPr>
              <m:sty m:val="p"/>
            </m:rPr>
            <m:t>=</m:t>
          </m:r>
          <m:sSup>
            <m:e>
              <m:r>
                <m:t>e</m:t>
              </m:r>
            </m:e>
            <m:sup>
              <m:r>
                <m:rPr>
                  <m:sty m:val="p"/>
                </m:rPr>
                <m:t>−</m:t>
              </m:r>
              <m:nary>
                <m:naryPr>
                  <m:chr m:val="∫"/>
                  <m:limLoc m:val="subSup"/>
                  <m:subHide m:val="off"/>
                  <m:supHide m:val="off"/>
                </m:naryPr>
                <m:sub>
                  <m:r>
                    <m:t>0</m:t>
                  </m:r>
                </m:sub>
                <m:sup>
                  <m:r>
                    <m:t>t</m:t>
                  </m:r>
                </m:sup>
                <m:e>
                  <m:r>
                    <m:t>D</m:t>
                  </m:r>
                </m:e>
              </m:nary>
              <m:d>
                <m:dPr>
                  <m:begChr m:val="("/>
                  <m:endChr m:val=")"/>
                  <m:sepChr m:val=""/>
                  <m:grow/>
                </m:dPr>
                <m:e>
                  <m:r>
                    <m:t>s</m:t>
                  </m:r>
                </m:e>
              </m:d>
              <m:r>
                <m:t> </m:t>
              </m:r>
              <m:r>
                <m:t>d</m:t>
              </m:r>
              <m:r>
                <m:t>s</m:t>
              </m:r>
            </m:sup>
          </m:sSup>
          <m:r>
            <m:t>δ</m:t>
          </m:r>
          <m:r>
            <m:t>c</m:t>
          </m:r>
          <m:d>
            <m:dPr>
              <m:begChr m:val="("/>
              <m:endChr m:val=")"/>
              <m:sepChr m:val=""/>
              <m:grow/>
            </m:dPr>
            <m:e>
              <m:r>
                <m:t>0</m:t>
              </m:r>
            </m:e>
          </m:d>
          <m:r>
            <m:rPr>
              <m:sty m:val="p"/>
            </m:rPr>
            <m:t>.</m:t>
          </m:r>
        </m:oMath>
      </m:oMathPara>
    </w:p>
    <w:p>
      <w:pPr>
        <w:pStyle w:val="FirstParagraph"/>
      </w:pPr>
      <w:r>
        <w:t xml:space="preserve">Demonstração. A igualdade de</w:t>
      </w:r>
      <w:r>
        <w:t xml:space="preserve"> </w:t>
      </w:r>
      <m:oMath>
        <m:sSub>
          <m:e>
            <m:r>
              <m:t>C</m:t>
            </m:r>
          </m:e>
          <m:sub>
            <m:r>
              <m:t>A</m:t>
            </m:r>
          </m:sub>
        </m:sSub>
        <m:r>
          <m:rPr>
            <m:sty m:val="p"/>
          </m:rPr>
          <m:t>,</m:t>
        </m:r>
        <m:r>
          <m:t>T</m:t>
        </m:r>
      </m:oMath>
      <w:r>
        <w:t xml:space="preserve"> </w:t>
      </w:r>
      <w:r>
        <w:t xml:space="preserve">implica igualdade das taxas de reação. A subtração dos balanços de espécies deixa somente diluição homogênea. A combinação calorimétrica das diferenças permanece nula; portanto as derivadas térmicas coincidem. A unicidade das soluções completa a demonstração. Em realimentação causal, históricos idênticos produzem ações seguintes idênticas. Existem duas direções químicas independentes nesse núcleo. Os seis estados livres não podem ser reconstruídos integralmente; o subsistema que produz temperaturas possui no máximo quatro coordenadas</w:t>
      </w:r>
      <w:r>
        <w:t xml:space="preserve"> </w:t>
      </w:r>
      <m:oMath>
        <m:d>
          <m:dPr>
            <m:begChr m:val="("/>
            <m:endChr m:val=")"/>
            <m:sepChr m:val=""/>
            <m:grow/>
          </m:dPr>
          <m:e>
            <m:sSub>
              <m:e>
                <m:r>
                  <m:t>C</m:t>
                </m:r>
              </m:e>
              <m:sub>
                <m:r>
                  <m:t>A</m:t>
                </m:r>
              </m:sub>
            </m:sSub>
            <m:r>
              <m:rPr>
                <m:sty m:val="p"/>
              </m:rPr>
              <m:t>,</m:t>
            </m:r>
            <m:r>
              <m:t>W</m:t>
            </m:r>
            <m:r>
              <m:rPr>
                <m:sty m:val="p"/>
              </m:rPr>
              <m:t>,</m:t>
            </m:r>
            <m:r>
              <m:t>T</m:t>
            </m:r>
            <m:r>
              <m:rPr>
                <m:sty m:val="p"/>
              </m:rPr>
              <m:t>,</m:t>
            </m:r>
            <m:sSub>
              <m:e>
                <m:r>
                  <m:t>T</m:t>
                </m:r>
              </m:e>
              <m:sub>
                <m:r>
                  <m:t>t</m:t>
                </m:r>
              </m:sub>
            </m:sSub>
          </m:e>
        </m:d>
      </m:oMath>
      <w:r>
        <w:t xml:space="preserve">. A construção é suficiente para demonstrar indistinguibilidade; não caracteriza necessariamente todos os pares indistinguíveis.</w:t>
      </w:r>
    </w:p>
    <w:p>
      <w:pPr>
        <w:pStyle w:val="BodyText"/>
      </w:pPr>
      <w:r>
        <w:t xml:space="preserve">O resultado permanece com troca térmica recíproca entre camisa e reator. Portanto a ausência de realimentação de</w:t>
      </w:r>
      <w:r>
        <w:t xml:space="preserve"> </w:t>
      </w:r>
      <m:oMath>
        <m:sSub>
          <m:e>
            <m:r>
              <m:t>T</m:t>
            </m:r>
          </m:e>
          <m:sub>
            <m:r>
              <m:t>t</m:t>
            </m:r>
          </m:sub>
        </m:sSub>
      </m:oMath>
      <w:r>
        <w:t xml:space="preserve"> </w:t>
      </w:r>
      <w:r>
        <w:t xml:space="preserve">não explica, isoladamente, a ambiguidade química bidimensional.</w:t>
      </w:r>
    </w:p>
    <w:bookmarkEnd w:id="28"/>
    <w:bookmarkStart w:id="29" w:name="X6ae9455b2b5dadd42ca6b939033393eba0ef5ab"/>
    <w:p>
      <w:pPr>
        <w:pStyle w:val="Heading2"/>
      </w:pPr>
      <w:r>
        <w:rPr>
          <w:rStyle w:val="SectionNumber"/>
        </w:rPr>
        <w:t xml:space="preserve">8.2</w:t>
      </w:r>
      <w:r>
        <w:tab/>
      </w:r>
      <w:r>
        <w:t xml:space="preserve">Proposição 1b: posto funcional das capacidades caloríficas</w:t>
      </w:r>
    </w:p>
    <w:p>
      <w:pPr>
        <w:pStyle w:val="FirstParagraph"/>
      </w:pPr>
      <w:r>
        <w:t xml:space="preserve">Defina</w:t>
      </w:r>
    </w:p>
    <w:p>
      <w:pPr>
        <w:pStyle w:val="BodyText"/>
      </w:pPr>
      <m:oMathPara>
        <m:oMathParaPr>
          <m:jc m:val="center"/>
        </m:oMathParaPr>
        <m:oMath>
          <m:r>
            <m:rPr>
              <m:sty m:val="p"/>
              <m:scr m:val="script"/>
            </m:rPr>
            <m:t>S</m:t>
          </m:r>
          <m:r>
            <m:rPr>
              <m:sty m:val="p"/>
            </m:rPr>
            <m:t>=</m:t>
          </m:r>
          <m:r>
            <m:rPr>
              <m:sty m:val="p"/>
            </m:rPr>
            <m:t>span</m:t>
          </m:r>
          <m:r>
            <m:rPr>
              <m:sty m:val="p"/>
            </m:rPr>
            <m:t>{</m:t>
          </m:r>
          <m:d>
            <m:dPr>
              <m:begChr m:val="("/>
              <m:endChr m:val=")"/>
              <m:sepChr m:val=""/>
              <m:grow/>
            </m:dPr>
            <m:e>
              <m:sSub>
                <m:e>
                  <m:r>
                    <m:t>c</m:t>
                  </m:r>
                </m:e>
                <m:sub>
                  <m:r>
                    <m:t>p</m:t>
                  </m:r>
                  <m:r>
                    <m:rPr>
                      <m:sty m:val="p"/>
                    </m:rPr>
                    <m:t>,</m:t>
                  </m:r>
                  <m:r>
                    <m:t>B</m:t>
                  </m:r>
                </m:sub>
              </m:sSub>
              <m:d>
                <m:dPr>
                  <m:begChr m:val="("/>
                  <m:endChr m:val=")"/>
                  <m:sepChr m:val=""/>
                  <m:grow/>
                </m:dPr>
                <m:e>
                  <m:r>
                    <m:t>T</m:t>
                  </m:r>
                </m:e>
              </m:d>
              <m:r>
                <m:rPr>
                  <m:sty m:val="p"/>
                </m:rPr>
                <m:t>,</m:t>
              </m:r>
              <m:sSub>
                <m:e>
                  <m:r>
                    <m:t>c</m:t>
                  </m:r>
                </m:e>
                <m:sub>
                  <m:r>
                    <m:t>p</m:t>
                  </m:r>
                  <m:r>
                    <m:rPr>
                      <m:sty m:val="p"/>
                    </m:rPr>
                    <m:t>,</m:t>
                  </m:r>
                  <m:r>
                    <m:t>C</m:t>
                  </m:r>
                </m:sub>
              </m:sSub>
              <m:d>
                <m:dPr>
                  <m:begChr m:val="("/>
                  <m:endChr m:val=")"/>
                  <m:sepChr m:val=""/>
                  <m:grow/>
                </m:dPr>
                <m:e>
                  <m:r>
                    <m:t>T</m:t>
                  </m:r>
                </m:e>
              </m:d>
              <m:r>
                <m:rPr>
                  <m:sty m:val="p"/>
                </m:rPr>
                <m:t>,</m:t>
              </m:r>
              <m:sSub>
                <m:e>
                  <m:r>
                    <m:t>c</m:t>
                  </m:r>
                </m:e>
                <m:sub>
                  <m:r>
                    <m:t>p</m:t>
                  </m:r>
                  <m:r>
                    <m:rPr>
                      <m:sty m:val="p"/>
                    </m:rPr>
                    <m:t>,</m:t>
                  </m:r>
                  <m:r>
                    <m:t>M</m:t>
                  </m:r>
                </m:sub>
              </m:sSub>
              <m:d>
                <m:dPr>
                  <m:begChr m:val="("/>
                  <m:endChr m:val=")"/>
                  <m:sepChr m:val=""/>
                  <m:grow/>
                </m:dPr>
                <m:e>
                  <m:r>
                    <m:t>T</m:t>
                  </m:r>
                </m:e>
              </m:d>
            </m:e>
          </m:d>
          <m:r>
            <m:rPr>
              <m:sty m:val="p"/>
            </m:rPr>
            <m:t>:</m:t>
          </m:r>
          <m:r>
            <m:t>T</m:t>
          </m:r>
          <m:r>
            <m:rPr>
              <m:sty m:val="p"/>
            </m:rPr>
            <m:t>∈</m:t>
          </m:r>
          <m:r>
            <m:rPr>
              <m:sty m:val="p"/>
              <m:scr m:val="script"/>
            </m:rPr>
            <m:t>I</m:t>
          </m:r>
          <m:r>
            <m:rPr>
              <m:sty m:val="p"/>
            </m:rPr>
            <m:t>}</m:t>
          </m:r>
          <m:r>
            <m:rPr>
              <m:sty m:val="p"/>
            </m:rPr>
            <m:t>.</m:t>
          </m:r>
        </m:oMath>
      </m:oMathPara>
    </w:p>
    <w:p>
      <w:pPr>
        <w:pStyle w:val="FirstParagraph"/>
      </w:pPr>
      <w:r>
        <w:t xml:space="preserve">Toda diferença com</w:t>
      </w:r>
      <w:r>
        <w:t xml:space="preserve"> </w:t>
      </w:r>
      <m:oMath>
        <m:r>
          <m:t>δ</m:t>
        </m:r>
        <m:sSub>
          <m:e>
            <m:r>
              <m:t>C</m:t>
            </m:r>
          </m:e>
          <m:sub>
            <m:r>
              <m:t>A</m:t>
            </m:r>
          </m:sub>
        </m:sSub>
        <m:r>
          <m:rPr>
            <m:sty m:val="p"/>
          </m:rPr>
          <m:t>=</m:t>
        </m:r>
        <m:r>
          <m:t>0</m:t>
        </m:r>
      </m:oMath>
      <w:r>
        <w:t xml:space="preserve"> </w:t>
      </w:r>
      <w:r>
        <w:t xml:space="preserve">e</w:t>
      </w:r>
      <w:r>
        <w:t xml:space="preserve"> </w:t>
      </w:r>
      <m:oMath>
        <m:d>
          <m:dPr>
            <m:begChr m:val="("/>
            <m:endChr m:val=")"/>
            <m:sepChr m:val=""/>
            <m:grow/>
          </m:dPr>
          <m:e>
            <m:r>
              <m:t>δ</m:t>
            </m:r>
            <m:sSub>
              <m:e>
                <m:r>
                  <m:t>C</m:t>
                </m:r>
              </m:e>
              <m:sub>
                <m:r>
                  <m:t>B</m:t>
                </m:r>
              </m:sub>
            </m:sSub>
            <m:r>
              <m:rPr>
                <m:sty m:val="p"/>
              </m:rPr>
              <m:t>,</m:t>
            </m:r>
            <m:r>
              <m:t>δ</m:t>
            </m:r>
            <m:sSub>
              <m:e>
                <m:r>
                  <m:t>C</m:t>
                </m:r>
              </m:e>
              <m:sub>
                <m:r>
                  <m:t>C</m:t>
                </m:r>
              </m:sub>
            </m:sSub>
            <m:r>
              <m:rPr>
                <m:sty m:val="p"/>
              </m:rPr>
              <m:t>,</m:t>
            </m:r>
            <m:r>
              <m:t>δ</m:t>
            </m:r>
            <m:sSub>
              <m:e>
                <m:r>
                  <m:t>C</m:t>
                </m:r>
              </m:e>
              <m:sub>
                <m:r>
                  <m:t>M</m:t>
                </m:r>
              </m:sub>
            </m:sSub>
          </m:e>
        </m:d>
        <m:r>
          <m:rPr>
            <m:sty m:val="p"/>
          </m:rPr>
          <m:t>∈</m:t>
        </m:r>
        <m:sSup>
          <m:e>
            <m:r>
              <m:rPr>
                <m:sty m:val="p"/>
                <m:scr m:val="script"/>
              </m:rPr>
              <m:t>S</m:t>
            </m:r>
          </m:e>
          <m:sup>
            <m:r>
              <m:rPr>
                <m:sty m:val="p"/>
              </m:rPr>
              <m:t>⊥</m:t>
            </m:r>
          </m:sup>
        </m:sSup>
      </m:oMath>
      <w:r>
        <w:t xml:space="preserve"> </w:t>
      </w:r>
      <w:r>
        <w:t xml:space="preserve">admite a construção anterior. A dimensão desse conjunto é</w:t>
      </w:r>
      <w:r>
        <w:t xml:space="preserve"> </w:t>
      </w:r>
      <m:oMath>
        <m:r>
          <m:t>3</m:t>
        </m:r>
        <m:r>
          <m:rPr>
            <m:sty m:val="p"/>
          </m:rPr>
          <m:t>−</m:t>
        </m:r>
        <m:r>
          <m:rPr>
            <m:sty m:val="p"/>
          </m:rPr>
          <m:t>dim</m:t>
        </m:r>
        <m:r>
          <m:rPr>
            <m:sty m:val="p"/>
            <m:scr m:val="script"/>
          </m:rPr>
          <m:t>S</m:t>
        </m:r>
      </m:oMath>
      <w:r>
        <w:t xml:space="preserve">.</w:t>
      </w:r>
    </w:p>
    <w:p>
      <w:pPr>
        <w:pStyle w:val="BodyText"/>
      </w:pPr>
      <w:r>
        <w:t xml:space="preserve">Demonstração. A diferença de capacidade térmica é nula em toda temperatura de</w:t>
      </w:r>
      <w:r>
        <w:t xml:space="preserve"> </w:t>
      </w:r>
      <m:oMath>
        <m:r>
          <m:rPr>
            <m:sty m:val="p"/>
            <m:scr m:val="script"/>
          </m:rPr>
          <m:t>I</m:t>
        </m:r>
      </m:oMath>
      <w:r>
        <w:t xml:space="preserve">. As diferenças de espécies recebem o mesmo fator escalar de diluição. A demonstração anterior permanece válida, inclusive com entalpia de reação e entalpias sensíveis da alimentação dependentes de temperatura. Capacidades constantes dão posto um. Funções afins por espécie têm posto no máximo dois, deixando ao menos uma direção invisível. Funções quadráticas independentes podem eliminar esse núcleo específico. Sua eliminação NÃO demonstra observabilidade não linear completa: podem restar outras simetrias, estados singulares e baixa sensibilidade.</w:t>
      </w:r>
    </w:p>
    <w:p>
      <w:pPr>
        <w:pStyle w:val="BodyText"/>
      </w:pPr>
      <w:r>
        <w:t xml:space="preserve">Uma consequência para instrumentação: uma medição química escalar</w:t>
      </w:r>
      <w:r>
        <w:t xml:space="preserve"> </w:t>
      </w:r>
      <m:oMath>
        <m:sSup>
          <m:e>
            <m:r>
              <m:t>a</m:t>
            </m:r>
          </m:e>
          <m:sup>
            <m:r>
              <m:t>T</m:t>
            </m:r>
          </m:sup>
        </m:sSup>
        <m:r>
          <m:t>c</m:t>
        </m:r>
      </m:oMath>
      <w:r>
        <w:t xml:space="preserve"> </w:t>
      </w:r>
      <w:r>
        <w:t xml:space="preserve">resolve o produto na classe de equivalência apenas se</w:t>
      </w:r>
    </w:p>
    <w:p>
      <w:pPr>
        <w:pStyle w:val="BodyText"/>
      </w:pPr>
      <m:oMathPara>
        <m:oMathParaPr>
          <m:jc m:val="center"/>
        </m:oMathParaPr>
        <m:oMath>
          <m:r>
            <m:rPr>
              <m:sty m:val="p"/>
            </m:rPr>
            <m:t>ker</m:t>
          </m:r>
          <m:d>
            <m:dPr>
              <m:begChr m:val="("/>
              <m:endChr m:val=")"/>
              <m:sepChr m:val=""/>
              <m:grow/>
            </m:dPr>
            <m:e>
              <m:sSup>
                <m:e>
                  <m:r>
                    <m:t>a</m:t>
                  </m:r>
                </m:e>
                <m:sup>
                  <m:r>
                    <m:t>T</m:t>
                  </m:r>
                </m:sup>
              </m:sSup>
              <m:sSub>
                <m:e>
                  <m:r>
                    <m:rPr>
                      <m:sty m:val="p"/>
                    </m:rPr>
                    <m:t>|</m:t>
                  </m:r>
                </m:e>
                <m:sub>
                  <m:r>
                    <m:rPr>
                      <m:sty m:val="p"/>
                      <m:scr m:val="script"/>
                    </m:rPr>
                    <m:t>N</m:t>
                  </m:r>
                </m:sub>
              </m:sSub>
            </m:e>
          </m:d>
          <m:r>
            <m:rPr>
              <m:sty m:val="p"/>
            </m:rPr>
            <m:t>⊆</m:t>
          </m:r>
          <m:r>
            <m:rPr>
              <m:sty m:val="p"/>
            </m:rPr>
            <m:t>ker</m:t>
          </m:r>
          <m:d>
            <m:dPr>
              <m:begChr m:val="("/>
              <m:endChr m:val=")"/>
              <m:sepChr m:val=""/>
              <m:grow/>
            </m:dPr>
            <m:e>
              <m:sSubSup>
                <m:e>
                  <m:r>
                    <m:t>e</m:t>
                  </m:r>
                </m:e>
                <m:sub>
                  <m:r>
                    <m:t>C</m:t>
                  </m:r>
                </m:sub>
                <m:sup>
                  <m:r>
                    <m:t>T</m:t>
                  </m:r>
                </m:sup>
              </m:sSubSup>
              <m:sSub>
                <m:e>
                  <m:r>
                    <m:rPr>
                      <m:sty m:val="p"/>
                    </m:rPr>
                    <m:t>|</m:t>
                  </m:r>
                </m:e>
                <m:sub>
                  <m:r>
                    <m:rPr>
                      <m:sty m:val="p"/>
                      <m:scr m:val="script"/>
                    </m:rPr>
                    <m:t>N</m:t>
                  </m:r>
                </m:sub>
              </m:sSub>
            </m:e>
          </m:d>
          <m:r>
            <m:rPr>
              <m:sty m:val="p"/>
            </m:rPr>
            <m:t>,</m:t>
          </m:r>
        </m:oMath>
      </m:oMathPara>
    </w:p>
    <w:p>
      <w:pPr>
        <w:pStyle w:val="FirstParagraph"/>
      </w:pPr>
      <w:r>
        <w:t xml:space="preserve">onde</w:t>
      </w:r>
      <w:r>
        <w:t xml:space="preserve"> </w:t>
      </w:r>
      <m:oMath>
        <m:r>
          <m:rPr>
            <m:sty m:val="p"/>
            <m:scr m:val="script"/>
          </m:rPr>
          <m:t>N</m:t>
        </m:r>
      </m:oMath>
      <w:r>
        <w:t xml:space="preserve"> </w:t>
      </w:r>
      <w:r>
        <w:t xml:space="preserve">é o subespaço químico invisível. Medir</w:t>
      </w:r>
      <w:r>
        <w:t xml:space="preserve"> </w:t>
      </w:r>
      <m:oMath>
        <m:sSub>
          <m:e>
            <m:r>
              <m:t>C</m:t>
            </m:r>
          </m:e>
          <m:sub>
            <m:r>
              <m:t>C</m:t>
            </m:r>
          </m:sub>
        </m:sSub>
      </m:oMath>
      <w:r>
        <w:t xml:space="preserve"> </w:t>
      </w:r>
      <w:r>
        <w:t xml:space="preserve">satisfaz o requisito; medir uma concentração arbitrária pode não satisfazê-lo. Conhecer</w:t>
      </w:r>
      <w:r>
        <w:t xml:space="preserve"> </w:t>
      </w:r>
      <m:oMath>
        <m:sSub>
          <m:e>
            <m:r>
              <m:t>C</m:t>
            </m:r>
          </m:e>
          <m:sub>
            <m:r>
              <m:t>A</m:t>
            </m:r>
          </m:sub>
        </m:sSub>
        <m:r>
          <m:rPr>
            <m:sty m:val="p"/>
          </m:rPr>
          <m:t>+</m:t>
        </m:r>
        <m:sSub>
          <m:e>
            <m:r>
              <m:t>C</m:t>
            </m:r>
          </m:e>
          <m:sub>
            <m:r>
              <m:t>C</m:t>
            </m:r>
          </m:sub>
        </m:sSub>
      </m:oMath>
      <w:r>
        <w:t xml:space="preserve"> </w:t>
      </w:r>
      <w:r>
        <w:t xml:space="preserve">também permite obter produto quando</w:t>
      </w:r>
      <w:r>
        <w:t xml:space="preserve"> </w:t>
      </w:r>
      <m:oMath>
        <m:sSub>
          <m:e>
            <m:r>
              <m:t>C</m:t>
            </m:r>
          </m:e>
          <m:sub>
            <m:r>
              <m:t>A</m:t>
            </m:r>
          </m:sub>
        </m:sSub>
      </m:oMath>
      <w:r>
        <w:t xml:space="preserve"> </w:t>
      </w:r>
      <w:r>
        <w:t xml:space="preserve">é identificado, mas seu valor inicial é informação adicional.</w:t>
      </w:r>
    </w:p>
    <w:bookmarkEnd w:id="29"/>
    <w:bookmarkStart w:id="30" w:name="Xeadec4760e6779cef7b2b9c12dc359135b232b6"/>
    <w:p>
      <w:pPr>
        <w:pStyle w:val="Heading2"/>
      </w:pPr>
      <w:r>
        <w:rPr>
          <w:rStyle w:val="SectionNumber"/>
        </w:rPr>
        <w:t xml:space="preserve">8.3</w:t>
      </w:r>
      <w:r>
        <w:tab/>
      </w:r>
      <w:r>
        <w:t xml:space="preserve">Proposição 1c: entrada constante não informativa e teste local no quociente</w:t>
      </w:r>
    </w:p>
    <w:p>
      <w:pPr>
        <w:pStyle w:val="FirstParagraph"/>
      </w:pPr>
      <w:r>
        <w:t xml:space="preserve">Para M0 sob entradas constantes, defina</w:t>
      </w:r>
      <w:r>
        <w:t xml:space="preserve"> </w:t>
      </w:r>
      <m:oMath>
        <m:r>
          <m:t>A</m:t>
        </m:r>
        <m:r>
          <m:rPr>
            <m:sty m:val="p"/>
          </m:rPr>
          <m:t>=</m:t>
        </m:r>
        <m:sSub>
          <m:e>
            <m:r>
              <m:t>C</m:t>
            </m:r>
          </m:e>
          <m:sub>
            <m:r>
              <m:t>A</m:t>
            </m:r>
          </m:sub>
        </m:sSub>
      </m:oMath>
      <w:r>
        <w:t xml:space="preserve">,</w:t>
      </w:r>
      <w:r>
        <w:t xml:space="preserve"> </w:t>
      </w:r>
      <m:oMath>
        <m:r>
          <m:t>W</m:t>
        </m:r>
        <m:r>
          <m:rPr>
            <m:sty m:val="p"/>
          </m:rPr>
          <m:t>=</m:t>
        </m:r>
        <m:r>
          <m:rPr>
            <m:sty m:val="p"/>
          </m:rPr>
          <m:t>∑</m:t>
        </m:r>
        <m:sSub>
          <m:e>
            <m:r>
              <m:t>c</m:t>
            </m:r>
          </m:e>
          <m:sub>
            <m:r>
              <m:t>p</m:t>
            </m:r>
            <m:r>
              <m:rPr>
                <m:sty m:val="p"/>
              </m:rPr>
              <m:t>,</m:t>
            </m:r>
            <m:r>
              <m:t>i</m:t>
            </m:r>
          </m:sub>
        </m:sSub>
        <m:sSub>
          <m:e>
            <m:r>
              <m:t>C</m:t>
            </m:r>
          </m:e>
          <m:sub>
            <m:r>
              <m:t>i</m:t>
            </m:r>
          </m:sub>
        </m:sSub>
      </m:oMath>
      <w:r>
        <w:t xml:space="preserve">,</w:t>
      </w:r>
      <w:r>
        <w:t xml:space="preserve"> </w:t>
      </w:r>
      <m:oMath>
        <m:r>
          <m:t>q</m:t>
        </m:r>
        <m:r>
          <m:rPr>
            <m:sty m:val="p"/>
          </m:rPr>
          <m:t>=</m:t>
        </m:r>
        <m:sSub>
          <m:e>
            <m:r>
              <m:t>F</m:t>
            </m:r>
          </m:e>
          <m:sub>
            <m:r>
              <m:t>A</m:t>
            </m:r>
          </m:sub>
        </m:sSub>
        <m:r>
          <m:rPr>
            <m:sty m:val="p"/>
          </m:rPr>
          <m:t>/</m:t>
        </m:r>
        <m:r>
          <m:t>V</m:t>
        </m:r>
      </m:oMath>
      <w:r>
        <w:t xml:space="preserve">,</w:t>
      </w:r>
      <w:r>
        <w:t xml:space="preserve"> </w:t>
      </w:r>
      <m:oMath>
        <m:r>
          <m:t>c</m:t>
        </m:r>
        <m:r>
          <m:rPr>
            <m:sty m:val="p"/>
          </m:rPr>
          <m:t>=</m:t>
        </m:r>
        <m:sSub>
          <m:e>
            <m:r>
              <m:t>F</m:t>
            </m:r>
          </m:e>
          <m:sub>
            <m:r>
              <m:t>c</m:t>
            </m:r>
            <m:r>
              <m:t>p</m:t>
            </m:r>
          </m:sub>
        </m:sSub>
        <m:r>
          <m:rPr>
            <m:sty m:val="p"/>
          </m:rPr>
          <m:t>/</m:t>
        </m:r>
        <m:r>
          <m:t>V</m:t>
        </m:r>
      </m:oMath>
      <w:r>
        <w:t xml:space="preserve">,</w:t>
      </w:r>
      <w:r>
        <w:t xml:space="preserve"> </w:t>
      </w:r>
      <m:oMath>
        <m:r>
          <m:t>n</m:t>
        </m:r>
        <m:r>
          <m:rPr>
            <m:sty m:val="p"/>
          </m:rPr>
          <m:t>=</m:t>
        </m:r>
        <m:sSub>
          <m:e>
            <m:r>
              <m:t>c</m:t>
            </m:r>
          </m:e>
          <m:sub>
            <m:r>
              <m:t>p</m:t>
            </m:r>
            <m:r>
              <m:rPr>
                <m:sty m:val="p"/>
              </m:rPr>
              <m:t>,</m:t>
            </m:r>
            <m:r>
              <m:t>C</m:t>
            </m:r>
          </m:sub>
        </m:sSub>
        <m:r>
          <m:rPr>
            <m:sty m:val="p"/>
          </m:rPr>
          <m:t>−</m:t>
        </m:r>
        <m:sSub>
          <m:e>
            <m:r>
              <m:t>c</m:t>
            </m:r>
          </m:e>
          <m:sub>
            <m:r>
              <m:t>p</m:t>
            </m:r>
            <m:r>
              <m:rPr>
                <m:sty m:val="p"/>
              </m:rPr>
              <m:t>,</m:t>
            </m:r>
            <m:r>
              <m:t>A</m:t>
            </m:r>
          </m:sub>
        </m:sSub>
        <m:r>
          <m:rPr>
            <m:sty m:val="p"/>
          </m:rPr>
          <m:t>−</m:t>
        </m:r>
        <m:sSub>
          <m:e>
            <m:r>
              <m:t>c</m:t>
            </m:r>
          </m:e>
          <m:sub>
            <m:r>
              <m:t>p</m:t>
            </m:r>
            <m:r>
              <m:rPr>
                <m:sty m:val="p"/>
              </m:rPr>
              <m:t>,</m:t>
            </m:r>
            <m:r>
              <m:t>B</m:t>
            </m:r>
          </m:sub>
        </m:sSub>
      </m:oMath>
      <w:r>
        <w:t xml:space="preserve">,</w:t>
      </w:r>
      <w:r>
        <w:t xml:space="preserve"> </w:t>
      </w:r>
      <m:oMath>
        <m:r>
          <m:t>a</m:t>
        </m:r>
        <m:d>
          <m:dPr>
            <m:begChr m:val="("/>
            <m:endChr m:val=")"/>
            <m:sepChr m:val=""/>
            <m:grow/>
          </m:dPr>
          <m:e>
            <m:r>
              <m:t>T</m:t>
            </m:r>
          </m:e>
        </m:d>
        <m:r>
          <m:rPr>
            <m:sty m:val="p"/>
          </m:rPr>
          <m:t>=</m:t>
        </m:r>
        <m:d>
          <m:dPr>
            <m:begChr m:val="["/>
            <m:endChr m:val="]"/>
            <m:sepChr m:val=""/>
            <m:grow/>
          </m:dPr>
          <m:e>
            <m:r>
              <m:t>Q</m:t>
            </m:r>
            <m:d>
              <m:dPr>
                <m:begChr m:val="("/>
                <m:endChr m:val=")"/>
                <m:sepChr m:val=""/>
                <m:grow/>
              </m:dPr>
              <m:e>
                <m:r>
                  <m:t>T</m:t>
                </m:r>
              </m:e>
            </m:d>
            <m:r>
              <m:rPr>
                <m:sty m:val="p"/>
              </m:rPr>
              <m:t>+</m:t>
            </m:r>
            <m:sSub>
              <m:e>
                <m:r>
                  <m:t>F</m:t>
                </m:r>
              </m:e>
              <m:sub>
                <m:r>
                  <m:t>c</m:t>
                </m:r>
                <m:r>
                  <m:t>p</m:t>
                </m:r>
              </m:sub>
            </m:sSub>
            <m:d>
              <m:dPr>
                <m:begChr m:val="("/>
                <m:endChr m:val=")"/>
                <m:sepChr m:val=""/>
                <m:grow/>
              </m:dPr>
              <m:e>
                <m:sSub>
                  <m:e>
                    <m:r>
                      <m:t>T</m:t>
                    </m:r>
                  </m:e>
                  <m:sub>
                    <m:r>
                      <m:t>0</m:t>
                    </m:r>
                  </m:sub>
                </m:sSub>
                <m:r>
                  <m:rPr>
                    <m:sty m:val="p"/>
                  </m:rPr>
                  <m:t>−</m:t>
                </m:r>
                <m:r>
                  <m:t>T</m:t>
                </m:r>
              </m:e>
            </m:d>
          </m:e>
        </m:d>
        <m:r>
          <m:rPr>
            <m:sty m:val="p"/>
          </m:rPr>
          <m:t>/</m:t>
        </m:r>
        <m:r>
          <m:t>V</m:t>
        </m:r>
      </m:oMath>
      <w:r>
        <w:t xml:space="preserve"> </w:t>
      </w:r>
      <w:r>
        <w:t xml:space="preserve">e</w:t>
      </w:r>
      <w:r>
        <w:t xml:space="preserve"> </w:t>
      </w:r>
      <m:oMath>
        <m:r>
          <m:t>b</m:t>
        </m:r>
        <m:d>
          <m:dPr>
            <m:begChr m:val="("/>
            <m:endChr m:val=")"/>
            <m:sepChr m:val=""/>
            <m:grow/>
          </m:dPr>
          <m:e>
            <m:r>
              <m:t>T</m:t>
            </m:r>
          </m:e>
        </m:d>
        <m:r>
          <m:rPr>
            <m:sty m:val="p"/>
          </m:rPr>
          <m:t>=</m:t>
        </m:r>
        <m:r>
          <m:rPr>
            <m:sty m:val="p"/>
          </m:rPr>
          <m:t>−</m:t>
        </m:r>
        <m:r>
          <m:t>Δ</m:t>
        </m:r>
        <m:sSub>
          <m:e>
            <m:r>
              <m:t>H</m:t>
            </m:r>
          </m:e>
          <m:sub>
            <m:r>
              <m:t>r</m:t>
            </m:r>
          </m:sub>
        </m:sSub>
        <m:r>
          <m:t>k</m:t>
        </m:r>
        <m:d>
          <m:dPr>
            <m:begChr m:val="("/>
            <m:endChr m:val=")"/>
            <m:sepChr m:val=""/>
            <m:grow/>
          </m:dPr>
          <m:e>
            <m:r>
              <m:t>T</m:t>
            </m:r>
          </m:e>
        </m:d>
      </m:oMath>
      <w:r>
        <w:t xml:space="preserve">.</w:t>
      </w:r>
      <w:r>
        <w:t xml:space="preserve"> </w:t>
      </w:r>
      <w:r>
        <w:t xml:space="preserve">Então</w:t>
      </w:r>
      <w:r>
        <w:t xml:space="preserve"> </w:t>
      </w:r>
      <m:oMath>
        <m:acc>
          <m:accPr>
            <m:chr m:val="̇"/>
          </m:accPr>
          <m:e>
            <m:r>
              <m:t>A</m:t>
            </m:r>
          </m:e>
        </m:acc>
        <m:r>
          <m:rPr>
            <m:sty m:val="p"/>
          </m:rPr>
          <m:t>=</m:t>
        </m:r>
        <m:r>
          <m:t>q</m:t>
        </m:r>
        <m:r>
          <m:rPr>
            <m:sty m:val="p"/>
          </m:rPr>
          <m:t>−</m:t>
        </m:r>
        <m:d>
          <m:dPr>
            <m:begChr m:val="("/>
            <m:endChr m:val=")"/>
            <m:sepChr m:val=""/>
            <m:grow/>
          </m:dPr>
          <m:e>
            <m:r>
              <m:t>D</m:t>
            </m:r>
            <m:r>
              <m:rPr>
                <m:sty m:val="p"/>
              </m:rPr>
              <m:t>+</m:t>
            </m:r>
            <m:r>
              <m:t>k</m:t>
            </m:r>
          </m:e>
        </m:d>
        <m:r>
          <m:t>A</m:t>
        </m:r>
        <m:r>
          <m:rPr>
            <m:sty m:val="p"/>
          </m:rPr>
          <m:t>,</m:t>
        </m:r>
        <m:r>
          <m:t> </m:t>
        </m:r>
        <m:acc>
          <m:accPr>
            <m:chr m:val="̇"/>
          </m:accPr>
          <m:e>
            <m:r>
              <m:t>W</m:t>
            </m:r>
          </m:e>
        </m:acc>
        <m:r>
          <m:rPr>
            <m:sty m:val="p"/>
          </m:rPr>
          <m:t>=</m:t>
        </m:r>
        <m:r>
          <m:t>c</m:t>
        </m:r>
        <m:r>
          <m:rPr>
            <m:sty m:val="p"/>
          </m:rPr>
          <m:t>−</m:t>
        </m:r>
        <m:r>
          <m:t>D</m:t>
        </m:r>
        <m:r>
          <m:t>W</m:t>
        </m:r>
        <m:r>
          <m:rPr>
            <m:sty m:val="p"/>
          </m:rPr>
          <m:t>+</m:t>
        </m:r>
        <m:r>
          <m:t>n</m:t>
        </m:r>
        <m:r>
          <m:t>k</m:t>
        </m:r>
        <m:r>
          <m:t>A</m:t>
        </m:r>
        <m:r>
          <m:rPr>
            <m:sty m:val="p"/>
          </m:rPr>
          <m:t>,</m:t>
        </m:r>
        <m:r>
          <m:t> </m:t>
        </m:r>
        <m:r>
          <m:t>g</m:t>
        </m:r>
        <m:r>
          <m:rPr>
            <m:sty m:val="p"/>
          </m:rPr>
          <m:t>=</m:t>
        </m:r>
        <m:acc>
          <m:accPr>
            <m:chr m:val="̇"/>
          </m:accPr>
          <m:e>
            <m:r>
              <m:t>T</m:t>
            </m:r>
          </m:e>
        </m:acc>
        <m:r>
          <m:rPr>
            <m:sty m:val="p"/>
          </m:rPr>
          <m:t>=</m:t>
        </m:r>
        <m:d>
          <m:dPr>
            <m:begChr m:val="("/>
            <m:endChr m:val=")"/>
            <m:sepChr m:val=""/>
            <m:grow/>
          </m:dPr>
          <m:e>
            <m:r>
              <m:t>a</m:t>
            </m:r>
            <m:r>
              <m:rPr>
                <m:sty m:val="p"/>
              </m:rPr>
              <m:t>+</m:t>
            </m:r>
            <m:r>
              <m:t>b</m:t>
            </m:r>
            <m:r>
              <m:t>A</m:t>
            </m:r>
          </m:e>
        </m:d>
        <m:r>
          <m:rPr>
            <m:sty m:val="p"/>
          </m:rPr>
          <m:t>/</m:t>
        </m:r>
        <m:r>
          <m:t>W</m:t>
        </m:r>
        <m:r>
          <m:rPr>
            <m:sty m:val="p"/>
          </m:rPr>
          <m:t>.</m:t>
        </m:r>
      </m:oMath>
      <w:r>
        <w:t xml:space="preserve"> </w:t>
      </w:r>
      <w:r>
        <w:t xml:space="preserve">Num ponto com</w:t>
      </w:r>
      <w:r>
        <w:t xml:space="preserve"> </w:t>
      </w:r>
      <m:oMath>
        <m:acc>
          <m:accPr>
            <m:chr m:val="̇"/>
          </m:accPr>
          <m:e>
            <m:r>
              <m:t>A</m:t>
            </m:r>
          </m:e>
        </m:acc>
        <m:r>
          <m:rPr>
            <m:sty m:val="p"/>
          </m:rPr>
          <m:t>=</m:t>
        </m:r>
        <m:r>
          <m:t>0</m:t>
        </m:r>
      </m:oMath>
      <w:r>
        <w:t xml:space="preserve"> </w:t>
      </w:r>
      <w:r>
        <w:t xml:space="preserve">e</w:t>
      </w:r>
      <w:r>
        <w:t xml:space="preserve"> </w:t>
      </w:r>
      <m:oMath>
        <m:r>
          <m:t>a</m:t>
        </m:r>
        <m:r>
          <m:rPr>
            <m:sty m:val="p"/>
          </m:rPr>
          <m:t>+</m:t>
        </m:r>
        <m:r>
          <m:t>b</m:t>
        </m:r>
        <m:r>
          <m:t>A</m:t>
        </m:r>
        <m:r>
          <m:rPr>
            <m:sty m:val="p"/>
          </m:rPr>
          <m:t>=</m:t>
        </m:r>
        <m:r>
          <m:t>0</m:t>
        </m:r>
      </m:oMath>
      <w:r>
        <w:t xml:space="preserve">, perturbações suficientemente pequenas e arbitrárias em B, C e M mantêm A e ambas as temperaturas constantes sob a mesma entrada fixa. Elas alteram W e decaem por diluição. Há, portanto, três direções químicas invisíveis nesse experimento sem excitação, embora apenas duas pertençam à família calorimétrica válida para todas as entradas. A excitação pode distinguir a direção adicional. Não se trata de simetria tridimensional válida para toda entrada.</w:t>
      </w:r>
    </w:p>
    <w:p>
      <w:pPr>
        <w:pStyle w:val="BodyText"/>
      </w:pPr>
      <w:r>
        <w:t xml:space="preserve">Um teste local suficiente usa os gradientes de</w:t>
      </w:r>
      <w:r>
        <w:t xml:space="preserve"> </w:t>
      </w:r>
      <m:oMath>
        <m:r>
          <m:t>T</m:t>
        </m:r>
        <m:r>
          <m:rPr>
            <m:sty m:val="p"/>
          </m:rPr>
          <m:t>,</m:t>
        </m:r>
        <m:sSub>
          <m:e>
            <m:r>
              <m:t>T</m:t>
            </m:r>
          </m:e>
          <m:sub>
            <m:r>
              <m:t>t</m:t>
            </m:r>
          </m:sub>
        </m:sSub>
        <m:r>
          <m:rPr>
            <m:sty m:val="p"/>
          </m:rPr>
          <m:t>,</m:t>
        </m:r>
        <m:sSub>
          <m:e>
            <m:r>
              <m:t>L</m:t>
            </m:r>
          </m:e>
          <m:sub>
            <m:r>
              <m:t>f</m:t>
            </m:r>
          </m:sub>
        </m:sSub>
        <m:r>
          <m:t>T</m:t>
        </m:r>
        <m:r>
          <m:rPr>
            <m:sty m:val="p"/>
          </m:rPr>
          <m:t>,</m:t>
        </m:r>
        <m:sSubSup>
          <m:e>
            <m:r>
              <m:t>L</m:t>
            </m:r>
          </m:e>
          <m:sub>
            <m:r>
              <m:t>f</m:t>
            </m:r>
          </m:sub>
          <m:sup>
            <m:r>
              <m:t>2</m:t>
            </m:r>
          </m:sup>
        </m:sSubSup>
        <m:r>
          <m:t>T</m:t>
        </m:r>
      </m:oMath>
      <w:r>
        <w:t xml:space="preserve"> </w:t>
      </w:r>
      <w:r>
        <w:t xml:space="preserve">no quociente</w:t>
      </w:r>
      <w:r>
        <w:t xml:space="preserve"> </w:t>
      </w:r>
      <m:oMath>
        <m:d>
          <m:dPr>
            <m:begChr m:val="("/>
            <m:endChr m:val=")"/>
            <m:sepChr m:val=""/>
            <m:grow/>
          </m:dPr>
          <m:e>
            <m:r>
              <m:t>A</m:t>
            </m:r>
            <m:r>
              <m:rPr>
                <m:sty m:val="p"/>
              </m:rPr>
              <m:t>,</m:t>
            </m:r>
            <m:r>
              <m:t>W</m:t>
            </m:r>
            <m:r>
              <m:rPr>
                <m:sty m:val="p"/>
              </m:rPr>
              <m:t>,</m:t>
            </m:r>
            <m:r>
              <m:t>T</m:t>
            </m:r>
            <m:r>
              <m:rPr>
                <m:sty m:val="p"/>
              </m:rPr>
              <m:t>,</m:t>
            </m:r>
            <m:sSub>
              <m:e>
                <m:r>
                  <m:t>T</m:t>
                </m:r>
              </m:e>
              <m:sub>
                <m:r>
                  <m:t>t</m:t>
                </m:r>
              </m:sub>
            </m:sSub>
          </m:e>
        </m:d>
      </m:oMath>
      <w:r>
        <w:t xml:space="preserve">. O menor dois por dois referente a</w:t>
      </w:r>
      <w:r>
        <w:t xml:space="preserve"> </w:t>
      </w:r>
      <m:oMath>
        <m:d>
          <m:dPr>
            <m:begChr m:val="("/>
            <m:endChr m:val=")"/>
            <m:sepChr m:val=""/>
            <m:grow/>
          </m:dPr>
          <m:e>
            <m:r>
              <m:t>A</m:t>
            </m:r>
            <m:r>
              <m:rPr>
                <m:sty m:val="p"/>
              </m:rPr>
              <m:t>,</m:t>
            </m:r>
            <m:r>
              <m:t>W</m:t>
            </m:r>
          </m:e>
        </m:d>
      </m:oMath>
      <w:r>
        <w:t xml:space="preserve"> </w:t>
      </w:r>
      <w:r>
        <w:t xml:space="preserve">é</w:t>
      </w:r>
      <w:r>
        <w:t xml:space="preserve"> </w:t>
      </w:r>
      <m:oMath>
        <m:r>
          <m:rPr>
            <m:sty m:val="p"/>
          </m:rPr>
          <m:t>det</m:t>
        </m:r>
        <m:d>
          <m:dPr>
            <m:begChr m:val="["/>
            <m:endChr m:val="]"/>
            <m:sepChr m:val=""/>
            <m:grow/>
          </m:dPr>
          <m:e>
            <m:m>
              <m:mPr>
                <m:baseJc m:val="center"/>
                <m:plcHide m:val="on"/>
                <m:mcs>
                  <m:mc>
                    <m:mcPr>
                      <m:mcJc m:val="center"/>
                      <m:count m:val="1"/>
                    </m:mcPr>
                  </m:mc>
                  <m:mc>
                    <m:mcPr>
                      <m:mcJc m:val="center"/>
                      <m:count m:val="1"/>
                    </m:mcPr>
                  </m:mc>
                </m:mcs>
              </m:mPr>
              <m:mr>
                <m:e>
                  <m:sSub>
                    <m:e>
                      <m:r>
                        <m:t>g</m:t>
                      </m:r>
                    </m:e>
                    <m:sub>
                      <m:r>
                        <m:t>A</m:t>
                      </m:r>
                    </m:sub>
                  </m:sSub>
                </m:e>
                <m:e>
                  <m:sSub>
                    <m:e>
                      <m:r>
                        <m:t>g</m:t>
                      </m:r>
                    </m:e>
                    <m:sub>
                      <m:r>
                        <m:t>W</m:t>
                      </m:r>
                    </m:sub>
                  </m:sSub>
                </m:e>
              </m:mr>
              <m:mr>
                <m:e>
                  <m:sSub>
                    <m:e>
                      <m:d>
                        <m:dPr>
                          <m:begChr m:val="("/>
                          <m:endChr m:val=")"/>
                          <m:sepChr m:val=""/>
                          <m:grow/>
                        </m:dPr>
                        <m:e>
                          <m:sSub>
                            <m:e>
                              <m:r>
                                <m:t>L</m:t>
                              </m:r>
                            </m:e>
                            <m:sub>
                              <m:r>
                                <m:t>f</m:t>
                              </m:r>
                            </m:sub>
                          </m:sSub>
                          <m:r>
                            <m:t>g</m:t>
                          </m:r>
                        </m:e>
                      </m:d>
                    </m:e>
                    <m:sub>
                      <m:r>
                        <m:t>A</m:t>
                      </m:r>
                    </m:sub>
                  </m:sSub>
                </m:e>
                <m:e>
                  <m:sSub>
                    <m:e>
                      <m:d>
                        <m:dPr>
                          <m:begChr m:val="("/>
                          <m:endChr m:val=")"/>
                          <m:sepChr m:val=""/>
                          <m:grow/>
                        </m:dPr>
                        <m:e>
                          <m:sSub>
                            <m:e>
                              <m:r>
                                <m:t>L</m:t>
                              </m:r>
                            </m:e>
                            <m:sub>
                              <m:r>
                                <m:t>f</m:t>
                              </m:r>
                            </m:sub>
                          </m:sSub>
                          <m:r>
                            <m:t>g</m:t>
                          </m:r>
                        </m:e>
                      </m:d>
                    </m:e>
                    <m:sub>
                      <m:r>
                        <m:t>W</m:t>
                      </m:r>
                    </m:sub>
                  </m:sSub>
                </m:e>
              </m:mr>
            </m:m>
          </m:e>
        </m:d>
        <m:r>
          <m:rPr>
            <m:sty m:val="p"/>
          </m:rPr>
          <m:t>=</m:t>
        </m:r>
        <m:r>
          <m:rPr>
            <m:sty m:val="p"/>
          </m:rPr>
          <m:t>−</m:t>
        </m:r>
        <m:f>
          <m:fPr>
            <m:type m:val="bar"/>
          </m:fPr>
          <m:num>
            <m:r>
              <m:t>b</m:t>
            </m:r>
            <m:d>
              <m:dPr>
                <m:begChr m:val="["/>
                <m:endChr m:val="]"/>
                <m:sepChr m:val=""/>
                <m:grow/>
              </m:dPr>
              <m:e>
                <m:r>
                  <m:t>b</m:t>
                </m:r>
                <m:r>
                  <m:t>q</m:t>
                </m:r>
                <m:r>
                  <m:rPr>
                    <m:sty m:val="p"/>
                  </m:rPr>
                  <m:t>+</m:t>
                </m:r>
                <m:d>
                  <m:dPr>
                    <m:begChr m:val="("/>
                    <m:endChr m:val=")"/>
                    <m:sepChr m:val=""/>
                    <m:grow/>
                  </m:dPr>
                  <m:e>
                    <m:r>
                      <m:t>D</m:t>
                    </m:r>
                    <m:r>
                      <m:rPr>
                        <m:sty m:val="p"/>
                      </m:rPr>
                      <m:t>+</m:t>
                    </m:r>
                    <m:r>
                      <m:t>k</m:t>
                    </m:r>
                  </m:e>
                </m:d>
                <m:r>
                  <m:t>a</m:t>
                </m:r>
              </m:e>
            </m:d>
          </m:num>
          <m:den>
            <m:sSup>
              <m:e>
                <m:r>
                  <m:t>W</m:t>
                </m:r>
              </m:e>
              <m:sup>
                <m:r>
                  <m:t>3</m:t>
                </m:r>
              </m:sup>
            </m:sSup>
          </m:den>
        </m:f>
        <m:r>
          <m:rPr>
            <m:sty m:val="p"/>
          </m:rPr>
          <m:t>+</m:t>
        </m:r>
        <m:f>
          <m:fPr>
            <m:type m:val="bar"/>
          </m:fPr>
          <m:num>
            <m:d>
              <m:dPr>
                <m:begChr m:val="("/>
                <m:endChr m:val=")"/>
                <m:sepChr m:val=""/>
                <m:grow/>
              </m:dPr>
              <m:e>
                <m:r>
                  <m:t>a</m:t>
                </m:r>
                <m:r>
                  <m:rPr>
                    <m:sty m:val="p"/>
                  </m:rPr>
                  <m:t>+</m:t>
                </m:r>
                <m:r>
                  <m:t>b</m:t>
                </m:r>
                <m:r>
                  <m:t>A</m:t>
                </m:r>
              </m:e>
            </m:d>
            <m:d>
              <m:dPr>
                <m:begChr m:val="["/>
                <m:endChr m:val="]"/>
                <m:sepChr m:val=""/>
                <m:grow/>
              </m:dPr>
              <m:e>
                <m:r>
                  <m:rPr>
                    <m:sty m:val="p"/>
                  </m:rPr>
                  <m:t>−</m:t>
                </m:r>
                <m:r>
                  <m:t>b</m:t>
                </m:r>
                <m:sSub>
                  <m:e>
                    <m:r>
                      <m:t>a</m:t>
                    </m:r>
                  </m:e>
                  <m:sub>
                    <m:r>
                      <m:t>T</m:t>
                    </m:r>
                  </m:sub>
                </m:sSub>
                <m:r>
                  <m:rPr>
                    <m:sty m:val="p"/>
                  </m:rPr>
                  <m:t>+</m:t>
                </m:r>
                <m:r>
                  <m:t>b</m:t>
                </m:r>
                <m:r>
                  <m:t>c</m:t>
                </m:r>
                <m:r>
                  <m:rPr>
                    <m:sty m:val="p"/>
                  </m:rPr>
                  <m:t>+</m:t>
                </m:r>
                <m:r>
                  <m:t>a</m:t>
                </m:r>
                <m:sSub>
                  <m:e>
                    <m:r>
                      <m:t>b</m:t>
                    </m:r>
                  </m:e>
                  <m:sub>
                    <m:r>
                      <m:t>T</m:t>
                    </m:r>
                  </m:sub>
                </m:sSub>
                <m:r>
                  <m:rPr>
                    <m:sty m:val="p"/>
                  </m:rPr>
                  <m:t>−</m:t>
                </m:r>
                <m:r>
                  <m:t>a</m:t>
                </m:r>
                <m:r>
                  <m:t>n</m:t>
                </m:r>
                <m:r>
                  <m:t>k</m:t>
                </m:r>
              </m:e>
            </m:d>
          </m:num>
          <m:den>
            <m:sSup>
              <m:e>
                <m:r>
                  <m:t>W</m:t>
                </m:r>
              </m:e>
              <m:sup>
                <m:r>
                  <m:t>4</m:t>
                </m:r>
              </m:sup>
            </m:sSup>
          </m:den>
        </m:f>
        <m:r>
          <m:rPr>
            <m:sty m:val="p"/>
          </m:rPr>
          <m:t>.</m:t>
        </m:r>
      </m:oMath>
      <w:r>
        <w:t xml:space="preserve"> </w:t>
      </w:r>
      <w:r>
        <w:t xml:space="preserve">Obtém-se a expressão diferenciando</w:t>
      </w:r>
      <w:r>
        <w:t xml:space="preserve"> </w:t>
      </w:r>
      <m:oMath>
        <m:sSub>
          <m:e>
            <m:r>
              <m:t>L</m:t>
            </m:r>
          </m:e>
          <m:sub>
            <m:r>
              <m:t>f</m:t>
            </m:r>
          </m:sub>
        </m:sSub>
        <m:r>
          <m:t>g</m:t>
        </m:r>
        <m:r>
          <m:rPr>
            <m:sty m:val="p"/>
          </m:rPr>
          <m:t>=</m:t>
        </m:r>
        <m:f>
          <m:fPr>
            <m:type m:val="bar"/>
          </m:fPr>
          <m:num>
            <m:r>
              <m:t>b</m:t>
            </m:r>
            <m:r>
              <m:t>q</m:t>
            </m:r>
            <m:r>
              <m:rPr>
                <m:sty m:val="p"/>
              </m:rPr>
              <m:t>+</m:t>
            </m:r>
            <m:r>
              <m:t>D</m:t>
            </m:r>
            <m:r>
              <m:t>a</m:t>
            </m:r>
            <m:r>
              <m:rPr>
                <m:sty m:val="p"/>
              </m:rPr>
              <m:t>−</m:t>
            </m:r>
            <m:r>
              <m:t>b</m:t>
            </m:r>
            <m:r>
              <m:t>k</m:t>
            </m:r>
            <m:r>
              <m:t>A</m:t>
            </m:r>
          </m:num>
          <m:den>
            <m:r>
              <m:t>W</m:t>
            </m:r>
          </m:den>
        </m:f>
        <m:r>
          <m:rPr>
            <m:sty m:val="p"/>
          </m:rPr>
          <m:t>+</m:t>
        </m:r>
        <m:f>
          <m:fPr>
            <m:type m:val="bar"/>
          </m:fPr>
          <m:num>
            <m:d>
              <m:dPr>
                <m:begChr m:val="("/>
                <m:endChr m:val=")"/>
                <m:sepChr m:val=""/>
                <m:grow/>
              </m:dPr>
              <m:e>
                <m:r>
                  <m:t>a</m:t>
                </m:r>
                <m:r>
                  <m:rPr>
                    <m:sty m:val="p"/>
                  </m:rPr>
                  <m:t>+</m:t>
                </m:r>
                <m:r>
                  <m:t>b</m:t>
                </m:r>
                <m:r>
                  <m:t>A</m:t>
                </m:r>
              </m:e>
            </m:d>
            <m:d>
              <m:dPr>
                <m:begChr m:val="("/>
                <m:endChr m:val=")"/>
                <m:sepChr m:val=""/>
                <m:grow/>
              </m:dPr>
              <m:e>
                <m:sSub>
                  <m:e>
                    <m:r>
                      <m:t>a</m:t>
                    </m:r>
                  </m:e>
                  <m:sub>
                    <m:r>
                      <m:t>T</m:t>
                    </m:r>
                  </m:sub>
                </m:sSub>
                <m:r>
                  <m:rPr>
                    <m:sty m:val="p"/>
                  </m:rPr>
                  <m:t>+</m:t>
                </m:r>
                <m:sSub>
                  <m:e>
                    <m:r>
                      <m:t>b</m:t>
                    </m:r>
                  </m:e>
                  <m:sub>
                    <m:r>
                      <m:t>T</m:t>
                    </m:r>
                  </m:sub>
                </m:sSub>
                <m:r>
                  <m:t>A</m:t>
                </m:r>
                <m:r>
                  <m:rPr>
                    <m:sty m:val="p"/>
                  </m:rPr>
                  <m:t>−</m:t>
                </m:r>
                <m:r>
                  <m:t>c</m:t>
                </m:r>
                <m:r>
                  <m:rPr>
                    <m:sty m:val="p"/>
                  </m:rPr>
                  <m:t>−</m:t>
                </m:r>
                <m:r>
                  <m:t>n</m:t>
                </m:r>
                <m:r>
                  <m:t>k</m:t>
                </m:r>
                <m:r>
                  <m:t>A</m:t>
                </m:r>
              </m:e>
            </m:d>
          </m:num>
          <m:den>
            <m:sSup>
              <m:e>
                <m:r>
                  <m:t>W</m:t>
                </m:r>
              </m:e>
              <m:sup>
                <m:r>
                  <m:t>2</m:t>
                </m:r>
              </m:sup>
            </m:sSup>
          </m:den>
        </m:f>
        <m:r>
          <m:rPr>
            <m:sty m:val="p"/>
          </m:rPr>
          <m:t>.</m:t>
        </m:r>
      </m:oMath>
      <w:r>
        <w:t xml:space="preserve"> </w:t>
      </w:r>
      <w:r>
        <w:t xml:space="preserve">Menor não nulo é condição suficiente de posto quatro nesse teste local do quociente. Ele se anula no equilíbrio nominal com entrada constante. O valor zero isolado não demonstra inobservabilidade; a construção explícita de trajetórias invariantes acima demonstra esse caso particular. O sistema de seis estados continua com posto máximo quatro sob a simetria válida para todas as entradas. As avaliações de precisão arbitrária são cálculos locais de apoio, não um teorema global de posto.</w:t>
      </w:r>
    </w:p>
    <w:bookmarkEnd w:id="30"/>
    <w:bookmarkStart w:id="31" w:name="X8f8ea567710e7e256d628017c52d82b9a31e406"/>
    <w:p>
      <w:pPr>
        <w:pStyle w:val="Heading2"/>
      </w:pPr>
      <w:r>
        <w:rPr>
          <w:rStyle w:val="SectionNumber"/>
        </w:rPr>
        <w:t xml:space="preserve">8.4</w:t>
      </w:r>
      <w:r>
        <w:tab/>
      </w:r>
      <w:r>
        <w:t xml:space="preserve">Proposição 2: limites de estimação e rastreamento</w:t>
      </w:r>
    </w:p>
    <w:p>
      <w:pPr>
        <w:pStyle w:val="FirstParagraph"/>
      </w:pPr>
      <w:r>
        <w:t xml:space="preserve">Se duas concentrações possíveis no instante</w:t>
      </w:r>
      <w:r>
        <w:t xml:space="preserve"> </w:t>
      </w:r>
      <m:oMath>
        <m:r>
          <m:t>t</m:t>
        </m:r>
      </m:oMath>
      <w:r>
        <w:t xml:space="preserve"> </w:t>
      </w:r>
      <w:r>
        <w:t xml:space="preserve">têm separação</w:t>
      </w:r>
      <w:r>
        <w:t xml:space="preserve"> </w:t>
      </w:r>
      <m:oMath>
        <m:r>
          <m:t>Δ</m:t>
        </m:r>
        <m:d>
          <m:dPr>
            <m:begChr m:val="("/>
            <m:endChr m:val=")"/>
            <m:sepChr m:val=""/>
            <m:grow/>
          </m:dPr>
          <m:e>
            <m:r>
              <m:t>t</m:t>
            </m:r>
          </m:e>
        </m:d>
      </m:oMath>
      <w:r>
        <w:t xml:space="preserve">, qualquer estimador com o mesmo histórico informacional fornece a mesma estimativa nos dois mundos:</w:t>
      </w:r>
    </w:p>
    <w:p>
      <w:pPr>
        <w:pStyle w:val="BodyText"/>
      </w:pPr>
      <m:oMathPara>
        <m:oMathParaPr>
          <m:jc m:val="center"/>
        </m:oMathParaPr>
        <m:oMath>
          <m:limLow>
            <m:e>
              <m:r>
                <m:rPr>
                  <m:sty m:val="p"/>
                </m:rPr>
                <m:t>max</m:t>
              </m:r>
            </m:e>
            <m:lim>
              <m:r>
                <m:t>i</m:t>
              </m:r>
            </m:lim>
          </m:limLow>
          <m:d>
            <m:dPr>
              <m:begChr m:val="|"/>
              <m:endChr m:val="|"/>
              <m:sepChr m:val=""/>
              <m:grow/>
            </m:dPr>
            <m:e>
              <m:sSub>
                <m:e>
                  <m:acc>
                    <m:accPr>
                      <m:chr m:val="̂"/>
                    </m:accPr>
                    <m:e>
                      <m:r>
                        <m:t>C</m:t>
                      </m:r>
                    </m:e>
                  </m:acc>
                </m:e>
                <m:sub>
                  <m:r>
                    <m:t>C</m:t>
                  </m:r>
                </m:sub>
              </m:sSub>
              <m:d>
                <m:dPr>
                  <m:begChr m:val="("/>
                  <m:endChr m:val=")"/>
                  <m:sepChr m:val=""/>
                  <m:grow/>
                </m:dPr>
                <m:e>
                  <m:r>
                    <m:t>t</m:t>
                  </m:r>
                </m:e>
              </m:d>
              <m:r>
                <m:rPr>
                  <m:sty m:val="p"/>
                </m:rPr>
                <m:t>−</m:t>
              </m:r>
              <m:sSubSup>
                <m:e>
                  <m:r>
                    <m:t>C</m:t>
                  </m:r>
                </m:e>
                <m:sub>
                  <m:r>
                    <m:t>C</m:t>
                  </m:r>
                </m:sub>
                <m:sup>
                  <m:d>
                    <m:dPr>
                      <m:begChr m:val="("/>
                      <m:endChr m:val=")"/>
                      <m:sepChr m:val=""/>
                      <m:grow/>
                    </m:dPr>
                    <m:e>
                      <m:r>
                        <m:t>i</m:t>
                      </m:r>
                    </m:e>
                  </m:d>
                </m:sup>
              </m:sSubSup>
              <m:d>
                <m:dPr>
                  <m:begChr m:val="("/>
                  <m:endChr m:val=")"/>
                  <m:sepChr m:val=""/>
                  <m:grow/>
                </m:dPr>
                <m:e>
                  <m:r>
                    <m:t>t</m:t>
                  </m:r>
                </m:e>
              </m:d>
            </m:e>
          </m:d>
          <m:r>
            <m:rPr>
              <m:sty m:val="p"/>
            </m:rPr>
            <m:t>≥</m:t>
          </m:r>
          <m:r>
            <m:t>Δ</m:t>
          </m:r>
          <m:d>
            <m:dPr>
              <m:begChr m:val="("/>
              <m:endChr m:val=")"/>
              <m:sepChr m:val=""/>
              <m:grow/>
            </m:dPr>
            <m:e>
              <m:r>
                <m:t>t</m:t>
              </m:r>
            </m:e>
          </m:d>
          <m:r>
            <m:rPr>
              <m:sty m:val="p"/>
            </m:rPr>
            <m:t>/</m:t>
          </m:r>
          <m:r>
            <m:t>2</m:t>
          </m:r>
          <m:r>
            <m:rPr>
              <m:sty m:val="p"/>
            </m:rPr>
            <m:t>.</m:t>
          </m:r>
        </m:oMath>
      </m:oMathPara>
    </w:p>
    <w:p>
      <w:pPr>
        <w:pStyle w:val="FirstParagraph"/>
      </w:pPr>
      <w:r>
        <w:t xml:space="preserve">A desigualdade triangular demonstra o resultado. O ponto médio atinge o limite quando somente esses dois valores são possíveis.</w:t>
      </w:r>
    </w:p>
    <w:p>
      <w:pPr>
        <w:pStyle w:val="BodyText"/>
      </w:pPr>
      <w:r>
        <w:t xml:space="preserve">A mesma desigualdade vale substituindo a estimativa por uma referência comum. A integração fornece</w:t>
      </w:r>
    </w:p>
    <w:p>
      <w:pPr>
        <w:pStyle w:val="BodyText"/>
      </w:pPr>
      <m:oMathPara>
        <m:oMathParaPr>
          <m:jc m:val="center"/>
        </m:oMathParaPr>
        <m:oMath>
          <m:limLow>
            <m:e>
              <m:r>
                <m:rPr>
                  <m:sty m:val="p"/>
                </m:rPr>
                <m:t>max</m:t>
              </m:r>
            </m:e>
            <m:lim>
              <m:r>
                <m:t>i</m:t>
              </m:r>
            </m:lim>
          </m:limLow>
          <m:sSub>
            <m:e>
              <m:r>
                <m:rPr>
                  <m:sty m:val="p"/>
                </m:rPr>
                <m:t>IAE</m:t>
              </m:r>
            </m:e>
            <m:sub>
              <m:r>
                <m:t>i</m:t>
              </m:r>
            </m:sub>
          </m:sSub>
          <m:d>
            <m:dPr>
              <m:begChr m:val="("/>
              <m:endChr m:val=")"/>
              <m:sepChr m:val=""/>
              <m:grow/>
            </m:dPr>
            <m:e>
              <m:r>
                <m:t>H</m:t>
              </m:r>
            </m:e>
          </m:d>
          <m:r>
            <m:rPr>
              <m:sty m:val="p"/>
            </m:rPr>
            <m:t>≥</m:t>
          </m:r>
          <m:f>
            <m:fPr>
              <m:type m:val="bar"/>
            </m:fPr>
            <m:num>
              <m:r>
                <m:t>1</m:t>
              </m:r>
            </m:num>
            <m:den>
              <m:r>
                <m:t>2</m:t>
              </m:r>
            </m:den>
          </m:f>
          <m:nary>
            <m:naryPr>
              <m:chr m:val="∫"/>
              <m:limLoc m:val="subSup"/>
              <m:subHide m:val="off"/>
              <m:supHide m:val="off"/>
            </m:naryPr>
            <m:sub>
              <m:r>
                <m:t>0</m:t>
              </m:r>
            </m:sub>
            <m:sup>
              <m:r>
                <m:t>H</m:t>
              </m:r>
            </m:sup>
            <m:e>
              <m:r>
                <m:t>Δ</m:t>
              </m:r>
            </m:e>
          </m:nary>
          <m:d>
            <m:dPr>
              <m:begChr m:val="("/>
              <m:endChr m:val=")"/>
              <m:sepChr m:val=""/>
              <m:grow/>
            </m:dPr>
            <m:e>
              <m:r>
                <m:t>t</m:t>
              </m:r>
            </m:e>
          </m:d>
          <m:r>
            <m:t> </m:t>
          </m:r>
          <m:r>
            <m:t>d</m:t>
          </m:r>
          <m:r>
            <m:t>t</m:t>
          </m:r>
          <m:r>
            <m:rPr>
              <m:sty m:val="p"/>
            </m:rPr>
            <m:t>.</m:t>
          </m:r>
        </m:oMath>
      </m:oMathPara>
    </w:p>
    <w:p>
      <w:pPr>
        <w:pStyle w:val="FirstParagraph"/>
      </w:pPr>
      <w:r>
        <w:t xml:space="preserve">Com diluição constante e separação inicial</w:t>
      </w:r>
      <w:r>
        <w:t xml:space="preserve"> </w:t>
      </w:r>
      <m:oMath>
        <m:sSub>
          <m:e>
            <m:r>
              <m:t>Δ</m:t>
            </m:r>
          </m:e>
          <m:sub>
            <m:r>
              <m:t>0</m:t>
            </m:r>
          </m:sub>
        </m:sSub>
      </m:oMath>
      <w:r>
        <w:t xml:space="preserve">, o lado direito é</w:t>
      </w:r>
      <w:r>
        <w:t xml:space="preserve"> </w:t>
      </w:r>
      <m:oMath>
        <m:sSub>
          <m:e>
            <m:r>
              <m:t>Δ</m:t>
            </m:r>
          </m:e>
          <m:sub>
            <m:r>
              <m:t>0</m:t>
            </m:r>
          </m:sub>
        </m:sSub>
        <m:d>
          <m:dPr>
            <m:begChr m:val="("/>
            <m:endChr m:val=")"/>
            <m:sepChr m:val=""/>
            <m:grow/>
          </m:dPr>
          <m:e>
            <m:r>
              <m:t>1</m:t>
            </m:r>
            <m:r>
              <m:rPr>
                <m:sty m:val="p"/>
              </m:rPr>
              <m:t>−</m:t>
            </m:r>
            <m:sSup>
              <m:e>
                <m:r>
                  <m:t>e</m:t>
                </m:r>
              </m:e>
              <m:sup>
                <m:r>
                  <m:rPr>
                    <m:sty m:val="p"/>
                  </m:rPr>
                  <m:t>−</m:t>
                </m:r>
                <m:r>
                  <m:t>D</m:t>
                </m:r>
                <m:r>
                  <m:t>H</m:t>
                </m:r>
              </m:sup>
            </m:sSup>
          </m:e>
        </m:d>
        <m:r>
          <m:rPr>
            <m:sty m:val="p"/>
          </m:rPr>
          <m:t>/</m:t>
        </m:r>
        <m:d>
          <m:dPr>
            <m:begChr m:val="("/>
            <m:endChr m:val=")"/>
            <m:sepChr m:val=""/>
            <m:grow/>
          </m:dPr>
          <m:e>
            <m:r>
              <m:t>2</m:t>
            </m:r>
            <m:r>
              <m:t>D</m:t>
            </m:r>
          </m:e>
        </m:d>
      </m:oMath>
      <w:r>
        <w:t xml:space="preserve">. Esse é um limite do pior erro de rastreamento, não do regret em relação a um controlador informado do estado. O oráculo também pode enfrentar perda transitória inevitável. A queda do limite por diluição representa renovação física do inventário, não informação fornecida pelo sensor.</w:t>
      </w:r>
    </w:p>
    <w:p>
      <w:pPr>
        <w:pStyle w:val="BodyText"/>
      </w:pPr>
      <w:r>
        <w:t xml:space="preserve">Para entrada fixa em malha aberta e registros gaussianos com mesma covariância conhecida</w:t>
      </w:r>
      <w:r>
        <w:t xml:space="preserve"> </w:t>
      </w:r>
      <m:oMath>
        <m:r>
          <m:t>Σ</m:t>
        </m:r>
      </m:oMath>
      <w:r>
        <w:t xml:space="preserve">, a divergência KL é</w:t>
      </w:r>
      <w:r>
        <w:t xml:space="preserve"> </w:t>
      </w:r>
      <m:oMath>
        <m:f>
          <m:fPr>
            <m:type m:val="bar"/>
          </m:fPr>
          <m:num>
            <m:r>
              <m:t>1</m:t>
            </m:r>
          </m:num>
          <m:den>
            <m:r>
              <m:t>2</m:t>
            </m:r>
          </m:den>
        </m:f>
        <m:sSup>
          <m:e>
            <m:d>
              <m:dPr>
                <m:begChr m:val="("/>
                <m:endChr m:val=")"/>
                <m:sepChr m:val=""/>
                <m:grow/>
              </m:dPr>
              <m:e>
                <m:sSub>
                  <m:e>
                    <m:r>
                      <m:t>μ</m:t>
                    </m:r>
                  </m:e>
                  <m:sub>
                    <m:r>
                      <m:t>1</m:t>
                    </m:r>
                  </m:sub>
                </m:sSub>
                <m:r>
                  <m:rPr>
                    <m:sty m:val="p"/>
                  </m:rPr>
                  <m:t>−</m:t>
                </m:r>
                <m:sSub>
                  <m:e>
                    <m:r>
                      <m:t>μ</m:t>
                    </m:r>
                  </m:e>
                  <m:sub>
                    <m:r>
                      <m:t>2</m:t>
                    </m:r>
                  </m:sub>
                </m:sSub>
              </m:e>
            </m:d>
          </m:e>
          <m:sup>
            <m:r>
              <m:t>T</m:t>
            </m:r>
          </m:sup>
        </m:sSup>
        <m:sSup>
          <m:e>
            <m:r>
              <m:t>Σ</m:t>
            </m:r>
          </m:e>
          <m:sup>
            <m:r>
              <m:rPr>
                <m:sty m:val="p"/>
              </m:rPr>
              <m:t>−</m:t>
            </m:r>
            <m:r>
              <m:t>1</m:t>
            </m:r>
          </m:sup>
        </m:sSup>
        <m:d>
          <m:dPr>
            <m:begChr m:val="("/>
            <m:endChr m:val=")"/>
            <m:sepChr m:val=""/>
            <m:grow/>
          </m:dPr>
          <m:e>
            <m:sSub>
              <m:e>
                <m:r>
                  <m:t>μ</m:t>
                </m:r>
              </m:e>
              <m:sub>
                <m:r>
                  <m:t>1</m:t>
                </m:r>
              </m:sub>
            </m:sSub>
            <m:r>
              <m:rPr>
                <m:sty m:val="p"/>
              </m:rPr>
              <m:t>−</m:t>
            </m:r>
            <m:sSub>
              <m:e>
                <m:r>
                  <m:t>μ</m:t>
                </m:r>
              </m:e>
              <m:sub>
                <m:r>
                  <m:t>2</m:t>
                </m:r>
              </m:sub>
            </m:sSub>
          </m:e>
        </m:d>
      </m:oMath>
      <w:r>
        <w:t xml:space="preserve">. O risco esperado absoluto no problema de dois mundos é limitado inferiormente por</w:t>
      </w:r>
      <w:r>
        <w:t xml:space="preserve"> </w:t>
      </w:r>
      <m:oMath>
        <m:r>
          <m:t>Δ</m:t>
        </m:r>
        <m:d>
          <m:dPr>
            <m:begChr m:val="("/>
            <m:endChr m:val=")"/>
            <m:sepChr m:val=""/>
            <m:grow/>
          </m:dPr>
          <m:e>
            <m:r>
              <m:t>1</m:t>
            </m:r>
            <m:r>
              <m:rPr>
                <m:sty m:val="p"/>
              </m:rPr>
              <m:t>−</m:t>
            </m:r>
            <m:r>
              <m:rPr>
                <m:sty m:val="p"/>
              </m:rPr>
              <m:t>T</m:t>
            </m:r>
            <m:r>
              <m:rPr>
                <m:sty m:val="p"/>
              </m:rPr>
              <m:t>V</m:t>
            </m:r>
          </m:e>
        </m:d>
        <m:r>
          <m:rPr>
            <m:sty m:val="p"/>
          </m:rPr>
          <m:t>/</m:t>
        </m:r>
        <m:r>
          <m:t>2</m:t>
        </m:r>
      </m:oMath>
      <w:r>
        <w:t xml:space="preserve">. Pinsker fornece</w:t>
      </w:r>
      <w:r>
        <w:t xml:space="preserve"> </w:t>
      </w:r>
      <m:oMath>
        <m:r>
          <m:t>Δ</m:t>
        </m:r>
        <m:r>
          <m:rPr>
            <m:sty m:val="p"/>
          </m:rPr>
          <m:t>max</m:t>
        </m:r>
        <m:d>
          <m:dPr>
            <m:begChr m:val="("/>
            <m:endChr m:val=")"/>
            <m:sepChr m:val=""/>
            <m:grow/>
          </m:dPr>
          <m:e>
            <m:r>
              <m:t>0</m:t>
            </m:r>
            <m:r>
              <m:rPr>
                <m:sty m:val="p"/>
              </m:rPr>
              <m:t>,</m:t>
            </m:r>
            <m:r>
              <m:t>1</m:t>
            </m:r>
            <m:r>
              <m:rPr>
                <m:sty m:val="p"/>
              </m:rPr>
              <m:t>−</m:t>
            </m:r>
            <m:rad>
              <m:radPr>
                <m:degHide m:val="on"/>
              </m:radPr>
              <m:deg/>
              <m:e>
                <m:r>
                  <m:rPr>
                    <m:sty m:val="p"/>
                  </m:rPr>
                  <m:t>K</m:t>
                </m:r>
                <m:r>
                  <m:rPr>
                    <m:sty m:val="p"/>
                  </m:rPr>
                  <m:t>L</m:t>
                </m:r>
                <m:r>
                  <m:rPr>
                    <m:sty m:val="p"/>
                  </m:rPr>
                  <m:t>/</m:t>
                </m:r>
                <m:r>
                  <m:t>2</m:t>
                </m:r>
              </m:e>
            </m:rad>
          </m:e>
        </m:d>
        <m:r>
          <m:rPr>
            <m:sty m:val="p"/>
          </m:rPr>
          <m:t>/</m:t>
        </m:r>
        <m:r>
          <m:t>2</m:t>
        </m:r>
      </m:oMath>
      <w:r>
        <w:t xml:space="preserve">. A fórmula não se transfere automaticamente para realimentação adaptativa ruidosa em que as ações modificam a separação química. Não se reivindica aqui um limite estocástico industrial.</w:t>
      </w:r>
    </w:p>
    <w:bookmarkEnd w:id="31"/>
    <w:bookmarkStart w:id="32" w:name="Xbea1fd7059921f17e8073b080a4608ff80a3f84"/>
    <w:p>
      <w:pPr>
        <w:pStyle w:val="Heading2"/>
      </w:pPr>
      <w:r>
        <w:rPr>
          <w:rStyle w:val="SectionNumber"/>
        </w:rPr>
        <w:t xml:space="preserve">8.5</w:t>
      </w:r>
      <w:r>
        <w:tab/>
      </w:r>
      <w:r>
        <w:t xml:space="preserve">Proposição 3: ambiguidade de estado e conflito decisório</w:t>
      </w:r>
    </w:p>
    <w:p>
      <w:pPr>
        <w:pStyle w:val="FirstParagraph"/>
      </w:pPr>
      <w:r>
        <w:t xml:space="preserve">Considere custos contínuos</w:t>
      </w:r>
      <w:r>
        <w:t xml:space="preserve"> </w:t>
      </w:r>
      <m:oMath>
        <m:sSub>
          <m:e>
            <m:r>
              <m:t>J</m:t>
            </m:r>
          </m:e>
          <m:sub>
            <m:r>
              <m:t>i</m:t>
            </m:r>
          </m:sub>
        </m:sSub>
      </m:oMath>
      <w:r>
        <w:t xml:space="preserve"> </w:t>
      </w:r>
      <w:r>
        <w:t xml:space="preserve">em um conjunto comum, compacto e não vazio de sequências admissíveis</w:t>
      </w:r>
      <w:r>
        <w:t xml:space="preserve"> </w:t>
      </w:r>
      <m:oMath>
        <m:r>
          <m:rPr>
            <m:sty m:val="p"/>
            <m:scr m:val="script"/>
          </m:rPr>
          <m:t>U</m:t>
        </m:r>
      </m:oMath>
      <w:r>
        <w:t xml:space="preserve">. Escreva</w:t>
      </w:r>
      <w:r>
        <w:t xml:space="preserve"> </w:t>
      </w:r>
      <m:oMath>
        <m:sSubSup>
          <m:e>
            <m:r>
              <m:t>J</m:t>
            </m:r>
          </m:e>
          <m:sub>
            <m:r>
              <m:t>i</m:t>
            </m:r>
          </m:sub>
          <m:sup>
            <m:r>
              <m:rPr>
                <m:sty m:val="p"/>
              </m:rPr>
              <m:t>*</m:t>
            </m:r>
          </m:sup>
        </m:sSubSup>
        <m:r>
          <m:rPr>
            <m:sty m:val="p"/>
          </m:rPr>
          <m:t>=</m:t>
        </m:r>
        <m:sSub>
          <m:e>
            <m:r>
              <m:rPr>
                <m:sty m:val="p"/>
              </m:rPr>
              <m:t>min</m:t>
            </m:r>
          </m:e>
          <m:sub>
            <m:r>
              <m:rPr>
                <m:sty m:val="p"/>
                <m:scr m:val="script"/>
              </m:rPr>
              <m:t>U</m:t>
            </m:r>
          </m:sub>
        </m:sSub>
        <m:sSub>
          <m:e>
            <m:r>
              <m:t>J</m:t>
            </m:r>
          </m:e>
          <m:sub>
            <m:r>
              <m:t>i</m:t>
            </m:r>
          </m:sub>
        </m:sSub>
      </m:oMath>
      <w:r>
        <w:t xml:space="preserve">. Então</w:t>
      </w:r>
    </w:p>
    <w:p>
      <w:pPr>
        <w:pStyle w:val="BodyText"/>
      </w:pPr>
      <m:oMathPara>
        <m:oMathParaPr>
          <m:jc m:val="center"/>
        </m:oMathParaPr>
        <m:oMath>
          <m:sSup>
            <m:e>
              <m:r>
                <m:rPr>
                  <m:sty m:val="p"/>
                  <m:scr m:val="script"/>
                </m:rPr>
                <m:t>R</m:t>
              </m:r>
            </m:e>
            <m:sup>
              <m:r>
                <m:rPr>
                  <m:sty m:val="p"/>
                </m:rPr>
                <m:t>*</m:t>
              </m:r>
            </m:sup>
          </m:sSup>
          <m:r>
            <m:rPr>
              <m:sty m:val="p"/>
            </m:rPr>
            <m:t>=</m:t>
          </m:r>
          <m:limLow>
            <m:e>
              <m:r>
                <m:rPr>
                  <m:sty m:val="p"/>
                </m:rPr>
                <m:t>min</m:t>
              </m:r>
            </m:e>
            <m:lim>
              <m:r>
                <m:t>u</m:t>
              </m:r>
              <m:r>
                <m:rPr>
                  <m:sty m:val="p"/>
                </m:rPr>
                <m:t>∈</m:t>
              </m:r>
              <m:r>
                <m:rPr>
                  <m:sty m:val="p"/>
                  <m:scr m:val="script"/>
                </m:rPr>
                <m:t>U</m:t>
              </m:r>
            </m:lim>
          </m:limLow>
          <m:limLow>
            <m:e>
              <m:r>
                <m:rPr>
                  <m:sty m:val="p"/>
                </m:rPr>
                <m:t>max</m:t>
              </m:r>
            </m:e>
            <m:lim>
              <m:r>
                <m:t>i</m:t>
              </m:r>
            </m:lim>
          </m:limLow>
          <m:d>
            <m:dPr>
              <m:begChr m:val="["/>
              <m:endChr m:val="]"/>
              <m:sepChr m:val=""/>
              <m:grow/>
            </m:dPr>
            <m:e>
              <m:sSub>
                <m:e>
                  <m:r>
                    <m:t>J</m:t>
                  </m:r>
                </m:e>
                <m:sub>
                  <m:r>
                    <m:t>i</m:t>
                  </m:r>
                </m:sub>
              </m:sSub>
              <m:d>
                <m:dPr>
                  <m:begChr m:val="("/>
                  <m:endChr m:val=")"/>
                  <m:sepChr m:val=""/>
                  <m:grow/>
                </m:dPr>
                <m:e>
                  <m:r>
                    <m:t>u</m:t>
                  </m:r>
                </m:e>
              </m:d>
              <m:r>
                <m:rPr>
                  <m:sty m:val="p"/>
                </m:rPr>
                <m:t>−</m:t>
              </m:r>
              <m:sSubSup>
                <m:e>
                  <m:r>
                    <m:t>J</m:t>
                  </m:r>
                </m:e>
                <m:sub>
                  <m:r>
                    <m:t>i</m:t>
                  </m:r>
                </m:sub>
                <m:sup>
                  <m:r>
                    <m:rPr>
                      <m:sty m:val="p"/>
                    </m:rPr>
                    <m:t>*</m:t>
                  </m:r>
                </m:sup>
              </m:sSubSup>
            </m:e>
          </m:d>
        </m:oMath>
      </m:oMathPara>
    </w:p>
    <w:p>
      <w:pPr>
        <w:pStyle w:val="FirstParagraph"/>
      </w:pPr>
      <w:r>
        <w:t xml:space="preserve">é zero se, e somente se, os conjuntos de minimizadores possuem interseção não vazia. Se não possuem,</w:t>
      </w:r>
      <w:r>
        <w:t xml:space="preserve"> </w:t>
      </w:r>
      <m:oMath>
        <m:sSup>
          <m:e>
            <m:r>
              <m:rPr>
                <m:sty m:val="p"/>
                <m:scr m:val="script"/>
              </m:rPr>
              <m:t>R</m:t>
            </m:r>
          </m:e>
          <m:sup>
            <m:r>
              <m:rPr>
                <m:sty m:val="p"/>
              </m:rPr>
              <m:t>*</m:t>
            </m:r>
          </m:sup>
        </m:sSup>
        <m:r>
          <m:rPr>
            <m:sty m:val="p"/>
          </m:rPr>
          <m:t>&gt;</m:t>
        </m:r>
        <m:r>
          <m:t>0</m:t>
        </m:r>
      </m:oMath>
      <w:r>
        <w:t xml:space="preserve">.</w:t>
      </w:r>
    </w:p>
    <w:p>
      <w:pPr>
        <w:pStyle w:val="BodyText"/>
      </w:pPr>
      <w:r>
        <w:t xml:space="preserve">Demonstração. Os regrets são não negativos. Um minimizador comum os anula. Reciprocamente, continuidade e compacidade garantem que o mínimo do máximo seja atingido. Se ele é zero, a decisão minimiza todos os custos. Logo, minimizadores sem interseção implicam valor estritamente positivo. Uma separação química grande pode coexistir com regret nulo quando todos os mundos preferem a mesma ação, inclusive saturação comum.</w:t>
      </w:r>
    </w:p>
    <w:p>
      <w:pPr>
        <w:pStyle w:val="BodyText"/>
      </w:pPr>
      <w:r>
        <w:t xml:space="preserve">Quando as restrições dependem do mundo, os ótimos individuais devem respeitar seus conjuntos declarados e a decisão robusta pertence à interseção. Interseção vazia significa inviabilidade, não regret finito. O cálculo numérico marca explicitamente a ausência de candidatos conjuntamente viáveis.</w:t>
      </w:r>
    </w:p>
    <w:bookmarkEnd w:id="32"/>
    <w:bookmarkStart w:id="33" w:name="X39d7422013ea3f6640d086eaf1889c6974574da"/>
    <w:p>
      <w:pPr>
        <w:pStyle w:val="Heading2"/>
      </w:pPr>
      <w:r>
        <w:rPr>
          <w:rStyle w:val="SectionNumber"/>
        </w:rPr>
        <w:t xml:space="preserve">8.6</w:t>
      </w:r>
      <w:r>
        <w:tab/>
      </w:r>
      <w:r>
        <w:t xml:space="preserve">Proposição 3b: quando representar a ambiguidade não altera a ação de custo esperado</w:t>
      </w:r>
    </w:p>
    <w:p>
      <w:pPr>
        <w:pStyle w:val="FirstParagraph"/>
      </w:pPr>
      <w:r>
        <w:t xml:space="preserve">Nos gêmeos exatos de PG com a mesma alimentação conhecida, a vazão de refrigeração não altera a diluição. Para qualquer plano comum, escreva</w:t>
      </w:r>
      <w:r>
        <w:t xml:space="preserve"> </w:t>
      </w:r>
      <m:oMath>
        <m:sSub>
          <m:e>
            <m:r>
              <m:t>C</m:t>
            </m:r>
          </m:e>
          <m:sub>
            <m:r>
              <m:t>C</m:t>
            </m:r>
          </m:sub>
        </m:sSub>
        <m:d>
          <m:dPr>
            <m:begChr m:val="("/>
            <m:endChr m:val=")"/>
            <m:sepChr m:val=""/>
            <m:grow/>
          </m:dPr>
          <m:e>
            <m:r>
              <m:t>t</m:t>
            </m:r>
            <m:r>
              <m:rPr>
                <m:sty m:val="p"/>
              </m:rPr>
              <m:t>;</m:t>
            </m:r>
            <m:r>
              <m:t>u</m:t>
            </m:r>
            <m:r>
              <m:rPr>
                <m:sty m:val="p"/>
              </m:rPr>
              <m:t>,</m:t>
            </m:r>
            <m:r>
              <m:t>δ</m:t>
            </m:r>
          </m:e>
        </m:d>
        <m:r>
          <m:rPr>
            <m:sty m:val="p"/>
          </m:rPr>
          <m:t>=</m:t>
        </m:r>
        <m:sSub>
          <m:e>
            <m:r>
              <m:t>C</m:t>
            </m:r>
          </m:e>
          <m:sub>
            <m:r>
              <m:t>C</m:t>
            </m:r>
          </m:sub>
        </m:sSub>
        <m:d>
          <m:dPr>
            <m:begChr m:val="("/>
            <m:endChr m:val=")"/>
            <m:sepChr m:val=""/>
            <m:grow/>
          </m:dPr>
          <m:e>
            <m:r>
              <m:t>t</m:t>
            </m:r>
            <m:r>
              <m:rPr>
                <m:sty m:val="p"/>
              </m:rPr>
              <m:t>;</m:t>
            </m:r>
            <m:r>
              <m:t>u</m:t>
            </m:r>
            <m:r>
              <m:rPr>
                <m:sty m:val="p"/>
              </m:rPr>
              <m:t>,</m:t>
            </m:r>
            <m:r>
              <m:t>0</m:t>
            </m:r>
          </m:e>
        </m:d>
        <m:r>
          <m:rPr>
            <m:sty m:val="p"/>
          </m:rPr>
          <m:t>+</m:t>
        </m:r>
        <m:r>
          <m:t>d</m:t>
        </m:r>
        <m:d>
          <m:dPr>
            <m:begChr m:val="("/>
            <m:endChr m:val=")"/>
            <m:sepChr m:val=""/>
            <m:grow/>
          </m:dPr>
          <m:e>
            <m:r>
              <m:t>t</m:t>
            </m:r>
          </m:e>
        </m:d>
        <m:r>
          <m:t>δ</m:t>
        </m:r>
      </m:oMath>
      <w:r>
        <w:t xml:space="preserve">, onde</w:t>
      </w:r>
      <w:r>
        <w:t xml:space="preserve"> </w:t>
      </w:r>
      <m:oMath>
        <m:r>
          <m:t>d</m:t>
        </m:r>
        <m:d>
          <m:dPr>
            <m:begChr m:val="("/>
            <m:endChr m:val=")"/>
            <m:sepChr m:val=""/>
            <m:grow/>
          </m:dPr>
          <m:e>
            <m:r>
              <m:t>t</m:t>
            </m:r>
          </m:e>
        </m:d>
        <m:r>
          <m:rPr>
            <m:sty m:val="p"/>
          </m:rPr>
          <m:t>=</m:t>
        </m:r>
        <m:sSup>
          <m:e>
            <m:r>
              <m:t>e</m:t>
            </m:r>
          </m:e>
          <m:sup>
            <m:r>
              <m:rPr>
                <m:sty m:val="p"/>
              </m:rPr>
              <m:t>−</m:t>
            </m:r>
            <m:nary>
              <m:naryPr>
                <m:chr m:val="∫"/>
                <m:limLoc m:val="subSup"/>
                <m:subHide m:val="off"/>
                <m:supHide m:val="off"/>
              </m:naryPr>
              <m:sub>
                <m:r>
                  <m:t>0</m:t>
                </m:r>
              </m:sub>
              <m:sup>
                <m:r>
                  <m:t>t</m:t>
                </m:r>
              </m:sup>
              <m:e>
                <m:r>
                  <m:t>D</m:t>
                </m:r>
              </m:e>
            </m:nary>
            <m:d>
              <m:dPr>
                <m:begChr m:val="("/>
                <m:endChr m:val=")"/>
                <m:sepChr m:val=""/>
                <m:grow/>
              </m:dPr>
              <m:e>
                <m:r>
                  <m:t>s</m:t>
                </m:r>
              </m:e>
            </m:d>
            <m:r>
              <m:t>d</m:t>
            </m:r>
            <m:r>
              <m:t>s</m:t>
            </m:r>
          </m:sup>
        </m:sSup>
      </m:oMath>
      <w:r>
        <w:t xml:space="preserve"> </w:t>
      </w:r>
      <w:r>
        <w:t xml:space="preserve">independe do plano de refrigeração. Suponha offsets com média zero, representantes fisicamente admissíveis, restrições dependentes apenas das temperaturas e ações comuns e custo de tracking quadrático ponderado, acrescido de custos térmicos e de atuação comuns. Então</w:t>
      </w:r>
      <w:r>
        <w:t xml:space="preserve"> </w:t>
      </w:r>
      <m:oMath>
        <m:sSub>
          <m:e>
            <m:r>
              <m:rPr>
                <m:sty m:val="p"/>
                <m:scr m:val="double-struck"/>
              </m:rPr>
              <m:t>E</m:t>
            </m:r>
          </m:e>
          <m:sub>
            <m:r>
              <m:t>δ</m:t>
            </m:r>
          </m:sub>
        </m:sSub>
        <m:sSub>
          <m:e>
            <m:r>
              <m:t>J</m:t>
            </m:r>
          </m:e>
          <m:sub>
            <m:r>
              <m:t>δ</m:t>
            </m:r>
          </m:sub>
        </m:sSub>
        <m:d>
          <m:dPr>
            <m:begChr m:val="("/>
            <m:endChr m:val=")"/>
            <m:sepChr m:val=""/>
            <m:grow/>
          </m:dPr>
          <m:e>
            <m:r>
              <m:t>u</m:t>
            </m:r>
          </m:e>
        </m:d>
        <m:r>
          <m:rPr>
            <m:sty m:val="p"/>
          </m:rPr>
          <m:t>=</m:t>
        </m:r>
        <m:sSub>
          <m:e>
            <m:r>
              <m:t>J</m:t>
            </m:r>
          </m:e>
          <m:sub>
            <m:r>
              <m:t>0</m:t>
            </m:r>
          </m:sub>
        </m:sSub>
        <m:d>
          <m:dPr>
            <m:begChr m:val="("/>
            <m:endChr m:val=")"/>
            <m:sepChr m:val=""/>
            <m:grow/>
          </m:dPr>
          <m:e>
            <m:r>
              <m:t>u</m:t>
            </m:r>
          </m:e>
        </m:d>
        <m:r>
          <m:rPr>
            <m:sty m:val="p"/>
          </m:rPr>
          <m:t>+</m:t>
        </m:r>
        <m:r>
          <m:rPr>
            <m:sty m:val="p"/>
            <m:scr m:val="double-struck"/>
          </m:rPr>
          <m:t>E</m:t>
        </m:r>
        <m:d>
          <m:dPr>
            <m:begChr m:val="["/>
            <m:endChr m:val="]"/>
            <m:sepChr m:val=""/>
            <m:grow/>
          </m:dPr>
          <m:e>
            <m:sSup>
              <m:e>
                <m:r>
                  <m:t>δ</m:t>
                </m:r>
              </m:e>
              <m:sup>
                <m:r>
                  <m:t>2</m:t>
                </m:r>
              </m:sup>
            </m:sSup>
          </m:e>
        </m:d>
        <m:nary>
          <m:naryPr>
            <m:chr m:val="∑"/>
            <m:limLoc m:val="undOvr"/>
            <m:subHide m:val="off"/>
            <m:supHide m:val="on"/>
          </m:naryPr>
          <m:sub>
            <m:r>
              <m:t>j</m:t>
            </m:r>
          </m:sub>
          <m:sup>
            <m:r>
              <m:t>​</m:t>
            </m:r>
          </m:sup>
          <m:e>
            <m:sSub>
              <m:e>
                <m:r>
                  <m:t>w</m:t>
                </m:r>
              </m:e>
              <m:sub>
                <m:r>
                  <m:t>j</m:t>
                </m:r>
              </m:sub>
            </m:sSub>
          </m:e>
        </m:nary>
        <m:r>
          <m:t>d</m:t>
        </m:r>
        <m:sSup>
          <m:e>
            <m:d>
              <m:dPr>
                <m:begChr m:val="("/>
                <m:endChr m:val=")"/>
                <m:sepChr m:val=""/>
                <m:grow/>
              </m:dPr>
              <m:e>
                <m:sSub>
                  <m:e>
                    <m:r>
                      <m:t>t</m:t>
                    </m:r>
                  </m:e>
                  <m:sub>
                    <m:r>
                      <m:t>j</m:t>
                    </m:r>
                  </m:sub>
                </m:sSub>
              </m:e>
            </m:d>
          </m:e>
          <m:sup>
            <m:r>
              <m:t>2</m:t>
            </m:r>
          </m:sup>
        </m:sSup>
        <m:r>
          <m:rPr>
            <m:sty m:val="p"/>
          </m:rPr>
          <m:t>.</m:t>
        </m:r>
      </m:oMath>
      <w:r>
        <w:t xml:space="preserve"> </w:t>
      </w:r>
      <w:r>
        <w:t xml:space="preserve">O último termo independe de</w:t>
      </w:r>
      <w:r>
        <w:t xml:space="preserve"> </w:t>
      </w:r>
      <m:oMath>
        <m:r>
          <m:t>u</m:t>
        </m:r>
      </m:oMath>
      <w:r>
        <w:t xml:space="preserve">. Logo, os conjuntos de minimizadores das políticas nominal e de custo esperado são exatamente iguais, tanto na grade quanto na classe contínua.</w:t>
      </w:r>
    </w:p>
    <w:p>
      <w:pPr>
        <w:pStyle w:val="BodyText"/>
      </w:pPr>
      <w:r>
        <w:t xml:space="preserve">Demonstração. Expanda os quadrados e tome a média. O termo cruzado se anula pela média zero; os demais custos e restrições são compartilhados. É um caso de equivalência de certeza, não um teorema universal de robustez. Perdas não quadráticas, diluição dependente da ação, truncamento assimétrico de crenças, restrições físicas adicionais ou mudança da política informacional podem invalidá-lo. No P1 de três representantes simétricos, a proposição prevê benefício de controle nulo, exceto por exclusões de admissibilidade e desempates numéricos. Ela refuta a ideia de que apenas incluir esses mundos necessariamente melhora este NMPC quadrático.</w:t>
      </w:r>
    </w:p>
    <w:bookmarkEnd w:id="33"/>
    <w:bookmarkStart w:id="34" w:name="X69fa13681ca30d1c4e01dae42efef97c8549c77"/>
    <w:p>
      <w:pPr>
        <w:pStyle w:val="Heading2"/>
      </w:pPr>
      <w:r>
        <w:rPr>
          <w:rStyle w:val="SectionNumber"/>
        </w:rPr>
        <w:t xml:space="preserve">8.7</w:t>
      </w:r>
      <w:r>
        <w:tab/>
      </w:r>
      <w:r>
        <w:t xml:space="preserve">Proposição 4: limite quantitativo condicional</w:t>
      </w:r>
    </w:p>
    <w:p>
      <w:pPr>
        <w:pStyle w:val="FirstParagraph"/>
      </w:pPr>
      <w:r>
        <w:t xml:space="preserve">Para dois custos</w:t>
      </w:r>
      <w:r>
        <w:t xml:space="preserve"> </w:t>
      </w:r>
      <m:oMath>
        <m:r>
          <m:t>μ</m:t>
        </m:r>
      </m:oMath>
      <w:r>
        <w:t xml:space="preserve">-fortemente convexos no mesmo conjunto convexo, com minimizadores</w:t>
      </w:r>
      <w:r>
        <w:t xml:space="preserve"> </w:t>
      </w:r>
      <m:oMath>
        <m:sSubSup>
          <m:e>
            <m:r>
              <m:t>u</m:t>
            </m:r>
          </m:e>
          <m:sub>
            <m:r>
              <m:t>1</m:t>
            </m:r>
          </m:sub>
          <m:sup>
            <m:r>
              <m:rPr>
                <m:sty m:val="p"/>
              </m:rPr>
              <m:t>*</m:t>
            </m:r>
          </m:sup>
        </m:sSubSup>
        <m:r>
          <m:rPr>
            <m:sty m:val="p"/>
          </m:rPr>
          <m:t>,</m:t>
        </m:r>
        <m:sSubSup>
          <m:e>
            <m:r>
              <m:t>u</m:t>
            </m:r>
          </m:e>
          <m:sub>
            <m:r>
              <m:t>2</m:t>
            </m:r>
          </m:sub>
          <m:sup>
            <m:r>
              <m:rPr>
                <m:sty m:val="p"/>
              </m:rPr>
              <m:t>*</m:t>
            </m:r>
          </m:sup>
        </m:sSubSup>
      </m:oMath>
      <w:r>
        <w:t xml:space="preserve">,</w:t>
      </w:r>
    </w:p>
    <w:p>
      <w:pPr>
        <w:pStyle w:val="BodyText"/>
      </w:pPr>
      <m:oMathPara>
        <m:oMathParaPr>
          <m:jc m:val="center"/>
        </m:oMathParaPr>
        <m:oMath>
          <m:sSup>
            <m:e>
              <m:r>
                <m:rPr>
                  <m:sty m:val="p"/>
                  <m:scr m:val="script"/>
                </m:rPr>
                <m:t>R</m:t>
              </m:r>
            </m:e>
            <m:sup>
              <m:r>
                <m:rPr>
                  <m:sty m:val="p"/>
                </m:rPr>
                <m:t>*</m:t>
              </m:r>
            </m:sup>
          </m:sSup>
          <m:r>
            <m:rPr>
              <m:sty m:val="p"/>
            </m:rPr>
            <m:t>≥</m:t>
          </m:r>
          <m:f>
            <m:fPr>
              <m:type m:val="bar"/>
            </m:fPr>
            <m:num>
              <m:r>
                <m:t>μ</m:t>
              </m:r>
            </m:num>
            <m:den>
              <m:r>
                <m:t>8</m:t>
              </m:r>
            </m:den>
          </m:f>
          <m:r>
            <m:rPr>
              <m:sty m:val="p"/>
            </m:rPr>
            <m:t>∥</m:t>
          </m:r>
          <m:sSubSup>
            <m:e>
              <m:r>
                <m:t>u</m:t>
              </m:r>
            </m:e>
            <m:sub>
              <m:r>
                <m:t>1</m:t>
              </m:r>
            </m:sub>
            <m:sup>
              <m:r>
                <m:rPr>
                  <m:sty m:val="p"/>
                </m:rPr>
                <m:t>*</m:t>
              </m:r>
            </m:sup>
          </m:sSubSup>
          <m:r>
            <m:rPr>
              <m:sty m:val="p"/>
            </m:rPr>
            <m:t>−</m:t>
          </m:r>
          <m:sSubSup>
            <m:e>
              <m:r>
                <m:t>u</m:t>
              </m:r>
            </m:e>
            <m:sub>
              <m:r>
                <m:t>2</m:t>
              </m:r>
            </m:sub>
            <m:sup>
              <m:r>
                <m:rPr>
                  <m:sty m:val="p"/>
                </m:rPr>
                <m:t>*</m:t>
              </m:r>
            </m:sup>
          </m:sSubSup>
          <m:sSup>
            <m:e>
              <m:r>
                <m:rPr>
                  <m:sty m:val="p"/>
                </m:rPr>
                <m:t>∥</m:t>
              </m:r>
            </m:e>
            <m:sup>
              <m:r>
                <m:t>2</m:t>
              </m:r>
            </m:sup>
          </m:sSup>
          <m:r>
            <m:rPr>
              <m:sty m:val="p"/>
            </m:rPr>
            <m:t>.</m:t>
          </m:r>
        </m:oMath>
      </m:oMathPara>
    </w:p>
    <w:p>
      <w:pPr>
        <w:pStyle w:val="FirstParagraph"/>
      </w:pPr>
      <w:r>
        <w:t xml:space="preserve">Convexidade forte e otimalidade de primeira ordem fornecem</w:t>
      </w:r>
      <w:r>
        <w:t xml:space="preserve"> </w:t>
      </w:r>
      <m:oMath>
        <m:sSub>
          <m:e>
            <m:r>
              <m:t>J</m:t>
            </m:r>
          </m:e>
          <m:sub>
            <m:r>
              <m:t>i</m:t>
            </m:r>
          </m:sub>
        </m:sSub>
        <m:d>
          <m:dPr>
            <m:begChr m:val="("/>
            <m:endChr m:val=")"/>
            <m:sepChr m:val=""/>
            <m:grow/>
          </m:dPr>
          <m:e>
            <m:r>
              <m:t>u</m:t>
            </m:r>
          </m:e>
        </m:d>
        <m:r>
          <m:rPr>
            <m:sty m:val="p"/>
          </m:rPr>
          <m:t>−</m:t>
        </m:r>
        <m:sSub>
          <m:e>
            <m:r>
              <m:t>J</m:t>
            </m:r>
          </m:e>
          <m:sub>
            <m:r>
              <m:t>i</m:t>
            </m:r>
          </m:sub>
        </m:sSub>
        <m:d>
          <m:dPr>
            <m:begChr m:val="("/>
            <m:endChr m:val=")"/>
            <m:sepChr m:val=""/>
            <m:grow/>
          </m:dPr>
          <m:e>
            <m:sSubSup>
              <m:e>
                <m:r>
                  <m:t>u</m:t>
                </m:r>
              </m:e>
              <m:sub>
                <m:r>
                  <m:t>i</m:t>
                </m:r>
              </m:sub>
              <m:sup>
                <m:r>
                  <m:rPr>
                    <m:sty m:val="p"/>
                  </m:rPr>
                  <m:t>*</m:t>
                </m:r>
              </m:sup>
            </m:sSubSup>
          </m:e>
        </m:d>
        <m:r>
          <m:rPr>
            <m:sty m:val="p"/>
          </m:rPr>
          <m:t>≥</m:t>
        </m:r>
        <m:r>
          <m:t>μ</m:t>
        </m:r>
        <m:r>
          <m:rPr>
            <m:sty m:val="p"/>
          </m:rPr>
          <m:t>∥</m:t>
        </m:r>
        <m:r>
          <m:t>u</m:t>
        </m:r>
        <m:r>
          <m:rPr>
            <m:sty m:val="p"/>
          </m:rPr>
          <m:t>−</m:t>
        </m:r>
        <m:sSubSup>
          <m:e>
            <m:r>
              <m:t>u</m:t>
            </m:r>
          </m:e>
          <m:sub>
            <m:r>
              <m:t>i</m:t>
            </m:r>
          </m:sub>
          <m:sup>
            <m:r>
              <m:rPr>
                <m:sty m:val="p"/>
              </m:rPr>
              <m:t>*</m:t>
            </m:r>
          </m:sup>
        </m:sSubSup>
        <m:sSup>
          <m:e>
            <m:r>
              <m:rPr>
                <m:sty m:val="p"/>
              </m:rPr>
              <m:t>∥</m:t>
            </m:r>
          </m:e>
          <m:sup>
            <m:r>
              <m:t>2</m:t>
            </m:r>
          </m:sup>
        </m:sSup>
        <m:r>
          <m:rPr>
            <m:sty m:val="p"/>
          </m:rPr>
          <m:t>/</m:t>
        </m:r>
        <m:r>
          <m:t>2</m:t>
        </m:r>
      </m:oMath>
      <w:r>
        <w:t xml:space="preserve">. Pelo menos uma distância é maior ou igual à metade da distância entre minimizadores. Isso demonstra o limite. A convexidade também impede ganho por randomização sob o máximo dos custos esperados. Essas condições NÃO foram demonstradas para a otimização não linear de PG; nenhum regret numérico do PG é certificado por essa expressão.</w:t>
      </w:r>
    </w:p>
    <w:p>
      <w:pPr>
        <w:pStyle w:val="BodyText"/>
      </w:pPr>
      <w:r>
        <w:t xml:space="preserve">Sob indistinguibilidade exata durante todo o horizonte, uma política causal determinística e sem ruído realiza a mesma sequência em todos os mundos. Se suas sequências pertencem a</w:t>
      </w:r>
      <w:r>
        <w:t xml:space="preserve"> </w:t>
      </w:r>
      <m:oMath>
        <m:r>
          <m:rPr>
            <m:sty m:val="p"/>
            <m:scr m:val="script"/>
          </m:rPr>
          <m:t>U</m:t>
        </m:r>
      </m:oMath>
      <w:r>
        <w:t xml:space="preserve">, seu pior regret é pelo menos o valor minimax nesse conjunto. Uma grade finita fornece resultado exato somente dentro da grade. Se os custos ótimos individuais forem mantidos nos ótimos contínuos, restringir apenas as decisões fornece limite superior do minimax contínuo. Aqui tanto as decisões quanto os ótimos individuais são restritos à grade; o resultado não possui, em geral, relação unilateral de limite com o regret minimax contínuo. Não é limite inferior válido para todo controlador físico. Se medições futuras distinguirem os mundos, regret de sequências abertas não equivale ao valor da política adaptativa ótima.</w:t>
      </w:r>
    </w:p>
    <w:bookmarkEnd w:id="34"/>
    <w:bookmarkStart w:id="35" w:name="antecedentes-e-contribuição-possível"/>
    <w:p>
      <w:pPr>
        <w:pStyle w:val="Heading2"/>
      </w:pPr>
      <w:r>
        <w:rPr>
          <w:rStyle w:val="SectionNumber"/>
        </w:rPr>
        <w:t xml:space="preserve">8.8</w:t>
      </w:r>
      <w:r>
        <w:tab/>
      </w:r>
      <w:r>
        <w:t xml:space="preserve">Antecedentes e contribuição possível</w:t>
      </w:r>
    </w:p>
    <w:p>
      <w:pPr>
        <w:pStyle w:val="FirstParagraph"/>
      </w:pPr>
      <w:r>
        <w:t xml:space="preserve">Observabilidade, detectabilidade, limites de risco de dois pontos, minimax regret e estimação orientada à decisão já são conhecidos. As demonstrações são especializações elementares, sem pretensão de uma lei universal nova. A contribuição específica candidata é a classificação pelo posto funcional de Cp, aplicada ao modelo PG rastreável, e a ligação auditada entre formulação física, instrumentação e decisão. Ainda são necessárias revisão abrangente de originalidade e propriedades físicas calibradas.</w:t>
      </w:r>
    </w:p>
    <w:bookmarkEnd w:id="35"/>
    <w:bookmarkEnd w:id="36"/>
    <w:bookmarkStart w:id="43" w:name="resultados-numéricos"/>
    <w:p>
      <w:pPr>
        <w:pStyle w:val="Heading1"/>
      </w:pPr>
      <w:r>
        <w:rPr>
          <w:rStyle w:val="SectionNumber"/>
        </w:rPr>
        <w:t xml:space="preserve">9</w:t>
      </w:r>
      <w:r>
        <w:tab/>
      </w:r>
      <w:r>
        <w:t xml:space="preserve">Resultados numéricos</w:t>
      </w:r>
    </w:p>
    <w:p>
      <w:pPr>
        <w:pStyle w:val="FirstParagraph"/>
      </w:pPr>
      <w:r>
        <w:t xml:space="preserve">As comparações abaixo provêm da execução. Melhoria positiva favorece o primeiro método. O IC da suíte reamostra 20 sementes pareadas e é condicional aos cenários escolhidos.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Candidate</w:t>
            </w:r>
          </w:p>
        </w:tc>
        <w:tc>
          <w:tcPr/>
          <w:p>
            <w:pPr>
              <w:pStyle w:val="Compact"/>
              <w:jc w:val="left"/>
            </w:pPr>
            <w:r>
              <w:t xml:space="preserve">Baseline</w:t>
            </w:r>
          </w:p>
        </w:tc>
        <w:tc>
          <w:tcPr/>
          <w:p>
            <w:pPr>
              <w:pStyle w:val="Compact"/>
              <w:jc w:val="left"/>
            </w:pPr>
            <w:r>
              <w:t xml:space="preserve">Gain (%)</w:t>
            </w:r>
          </w:p>
        </w:tc>
        <w:tc>
          <w:tcPr/>
          <w:p>
            <w:pPr>
              <w:pStyle w:val="Compact"/>
              <w:jc w:val="left"/>
            </w:pPr>
            <w:r>
              <w:t xml:space="preserve">IAE diff.</w:t>
            </w:r>
          </w:p>
        </w:tc>
        <w:tc>
          <w:tcPr/>
          <w:p>
            <w:pPr>
              <w:pStyle w:val="Compact"/>
              <w:jc w:val="left"/>
            </w:pPr>
            <w:r>
              <w:t xml:space="preserve">CI lower</w:t>
            </w:r>
          </w:p>
        </w:tc>
        <w:tc>
          <w:tcPr/>
          <w:p>
            <w:pPr>
              <w:pStyle w:val="Compact"/>
              <w:jc w:val="left"/>
            </w:pPr>
            <w:r>
              <w:t xml:space="preserve">CI upper</w:t>
            </w:r>
          </w:p>
        </w:tc>
        <w:tc>
          <w:tcPr/>
          <w:p>
            <w:pPr>
              <w:pStyle w:val="Compact"/>
              <w:jc w:val="left"/>
            </w:pPr>
            <w:r>
              <w:t xml:space="preserve">Holm p</w:t>
            </w:r>
          </w:p>
        </w:tc>
      </w:tr>
      <w:tr>
        <w:tc>
          <w:tcPr/>
          <w:p>
            <w:pPr>
              <w:pStyle w:val="Compact"/>
              <w:jc w:val="left"/>
            </w:pPr>
            <w:r>
              <w:t xml:space="preserve">P2 regret</w:t>
            </w:r>
          </w:p>
        </w:tc>
        <w:tc>
          <w:tcPr/>
          <w:p>
            <w:pPr>
              <w:pStyle w:val="Compact"/>
              <w:jc w:val="left"/>
            </w:pPr>
            <w:r>
              <w:t xml:space="preserve">B1 ukf</w:t>
            </w:r>
          </w:p>
        </w:tc>
        <w:tc>
          <w:tcPr/>
          <w:p>
            <w:pPr>
              <w:pStyle w:val="Compact"/>
              <w:jc w:val="left"/>
            </w:pPr>
            <w:r>
              <w:t xml:space="preserve">0.63459</w:t>
            </w:r>
          </w:p>
        </w:tc>
        <w:tc>
          <w:tcPr/>
          <w:p>
            <w:pPr>
              <w:pStyle w:val="Compact"/>
              <w:jc w:val="left"/>
            </w:pPr>
            <w:r>
              <w:t xml:space="preserve">0.0008501</w:t>
            </w:r>
          </w:p>
        </w:tc>
        <w:tc>
          <w:tcPr/>
          <w:p>
            <w:pPr>
              <w:pStyle w:val="Compact"/>
              <w:jc w:val="left"/>
            </w:pPr>
            <w:r>
              <w:t xml:space="preserve">-0.0010082</w:t>
            </w:r>
          </w:p>
        </w:tc>
        <w:tc>
          <w:tcPr/>
          <w:p>
            <w:pPr>
              <w:pStyle w:val="Compact"/>
              <w:jc w:val="left"/>
            </w:pPr>
            <w:r>
              <w:t xml:space="preserve">0.0028354</w:t>
            </w:r>
          </w:p>
        </w:tc>
        <w:tc>
          <w:tcPr/>
          <w:p>
            <w:pPr>
              <w:pStyle w:val="Compact"/>
              <w:jc w:val="left"/>
            </w:pPr>
            <w:r>
              <w:t xml:space="preserve">0.41857</w:t>
            </w:r>
          </w:p>
        </w:tc>
      </w:tr>
      <w:tr>
        <w:tc>
          <w:tcPr/>
          <w:p>
            <w:pPr>
              <w:pStyle w:val="Compact"/>
              <w:jc w:val="left"/>
            </w:pPr>
            <w:r>
              <w:t xml:space="preserve">P3 adaptive regret</w:t>
            </w:r>
          </w:p>
        </w:tc>
        <w:tc>
          <w:tcPr/>
          <w:p>
            <w:pPr>
              <w:pStyle w:val="Compact"/>
              <w:jc w:val="left"/>
            </w:pPr>
            <w:r>
              <w:t xml:space="preserve">B2 both</w:t>
            </w:r>
          </w:p>
        </w:tc>
        <w:tc>
          <w:tcPr/>
          <w:p>
            <w:pPr>
              <w:pStyle w:val="Compact"/>
              <w:jc w:val="left"/>
            </w:pPr>
            <w:r>
              <w:t xml:space="preserve">0.65721</w:t>
            </w:r>
          </w:p>
        </w:tc>
        <w:tc>
          <w:tcPr/>
          <w:p>
            <w:pPr>
              <w:pStyle w:val="Compact"/>
              <w:jc w:val="left"/>
            </w:pPr>
            <w:r>
              <w:t xml:space="preserve">0.00057897</w:t>
            </w:r>
          </w:p>
        </w:tc>
        <w:tc>
          <w:tcPr/>
          <w:p>
            <w:pPr>
              <w:pStyle w:val="Compact"/>
              <w:jc w:val="left"/>
            </w:pPr>
            <w:r>
              <w:t xml:space="preserve">-0.00020713</w:t>
            </w:r>
          </w:p>
        </w:tc>
        <w:tc>
          <w:tcPr/>
          <w:p>
            <w:pPr>
              <w:pStyle w:val="Compact"/>
              <w:jc w:val="left"/>
            </w:pPr>
            <w:r>
              <w:t xml:space="preserve">0.0014596</w:t>
            </w:r>
          </w:p>
        </w:tc>
        <w:tc>
          <w:tcPr/>
          <w:p>
            <w:pPr>
              <w:pStyle w:val="Compact"/>
              <w:jc w:val="left"/>
            </w:pPr>
            <w:r>
              <w:t xml:space="preserve">0.41857</w:t>
            </w:r>
          </w:p>
        </w:tc>
      </w:tr>
      <w:tr>
        <w:tc>
          <w:tcPr/>
          <w:p>
            <w:pPr>
              <w:pStyle w:val="Compact"/>
              <w:jc w:val="left"/>
            </w:pPr>
            <w:r>
              <w:t xml:space="preserve">B2 both</w:t>
            </w:r>
          </w:p>
        </w:tc>
        <w:tc>
          <w:tcPr/>
          <w:p>
            <w:pPr>
              <w:pStyle w:val="Compact"/>
              <w:jc w:val="left"/>
            </w:pPr>
            <w:r>
              <w:t xml:space="preserve">B2 estimator</w:t>
            </w:r>
          </w:p>
        </w:tc>
        <w:tc>
          <w:tcPr/>
          <w:p>
            <w:pPr>
              <w:pStyle w:val="Compact"/>
              <w:jc w:val="left"/>
            </w:pPr>
            <w:r>
              <w:t xml:space="preserve">39.912</w:t>
            </w:r>
          </w:p>
        </w:tc>
        <w:tc>
          <w:tcPr/>
          <w:p>
            <w:pPr>
              <w:pStyle w:val="Compact"/>
              <w:jc w:val="left"/>
            </w:pPr>
            <w:r>
              <w:t xml:space="preserve">0.058515</w:t>
            </w:r>
          </w:p>
        </w:tc>
        <w:tc>
          <w:tcPr/>
          <w:p>
            <w:pPr>
              <w:pStyle w:val="Compact"/>
              <w:jc w:val="left"/>
            </w:pPr>
            <w:r>
              <w:t xml:space="preserve">0.056526</w:t>
            </w:r>
          </w:p>
        </w:tc>
        <w:tc>
          <w:tcPr/>
          <w:p>
            <w:pPr>
              <w:pStyle w:val="Compact"/>
              <w:jc w:val="left"/>
            </w:pPr>
            <w:r>
              <w:t xml:space="preserve">0.060461</w:t>
            </w:r>
          </w:p>
        </w:tc>
        <w:tc>
          <w:tcPr/>
          <w:p>
            <w:pPr>
              <w:pStyle w:val="Compact"/>
              <w:jc w:val="left"/>
            </w:pPr>
            <w:r>
              <w:t xml:space="preserve">3.1106e-22</w:t>
            </w:r>
          </w:p>
        </w:tc>
      </w:tr>
    </w:tbl>
    <w:bookmarkStart w:id="37" w:name="experimentos-físicos-e-informacionais"/>
    <w:p>
      <w:pPr>
        <w:pStyle w:val="Heading2"/>
      </w:pPr>
      <w:r>
        <w:rPr>
          <w:rStyle w:val="SectionNumber"/>
        </w:rPr>
        <w:t xml:space="preserve">9.1</w:t>
      </w:r>
      <w:r>
        <w:tab/>
      </w:r>
      <w:r>
        <w:t xml:space="preserve">Experimentos físicos e informacionais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variant</w:t>
            </w:r>
          </w:p>
        </w:tc>
        <w:tc>
          <w:tcPr/>
          <w:p>
            <w:pPr>
              <w:pStyle w:val="Compact"/>
              <w:jc w:val="left"/>
            </w:pPr>
            <w:r>
              <w:t xml:space="preserve">Max dT (K)</w:t>
            </w:r>
          </w:p>
        </w:tc>
        <w:tc>
          <w:tcPr/>
          <w:p>
            <w:pPr>
              <w:pStyle w:val="Compact"/>
              <w:jc w:val="left"/>
            </w:pPr>
            <w:r>
              <w:t xml:space="preserve">Product decay error</w:t>
            </w:r>
          </w:p>
        </w:tc>
      </w:tr>
      <w:tr>
        <w:tc>
          <w:tcPr/>
          <w:p>
            <w:pPr>
              <w:pStyle w:val="Compact"/>
              <w:jc w:val="left"/>
            </w:pPr>
            <w:r>
              <w:t xml:space="preserve">M0 historical</w:t>
            </w:r>
          </w:p>
        </w:tc>
        <w:tc>
          <w:tcPr/>
          <w:p>
            <w:pPr>
              <w:pStyle w:val="Compact"/>
              <w:jc w:val="left"/>
            </w:pPr>
            <w:r>
              <w:t xml:space="preserve">5.6843e-14</w:t>
            </w:r>
          </w:p>
        </w:tc>
        <w:tc>
          <w:tcPr/>
          <w:p>
            <w:pPr>
              <w:pStyle w:val="Compact"/>
              <w:jc w:val="left"/>
            </w:pPr>
            <w:r>
              <w:t xml:space="preserve">5.8647e-12</w:t>
            </w:r>
          </w:p>
        </w:tc>
      </w:tr>
      <w:tr>
        <w:tc>
          <w:tcPr/>
          <w:p>
            <w:pPr>
              <w:pStyle w:val="Compact"/>
              <w:jc w:val="left"/>
            </w:pPr>
            <w:r>
              <w:t xml:space="preserve">M1H Kirchhoff hypothesis</w:t>
            </w:r>
          </w:p>
        </w:tc>
        <w:tc>
          <w:tcPr/>
          <w:p>
            <w:pPr>
              <w:pStyle w:val="Compact"/>
              <w:jc w:val="left"/>
            </w:pPr>
            <w:r>
              <w:t xml:space="preserve">0</w:t>
            </w:r>
          </w:p>
        </w:tc>
        <w:tc>
          <w:tcPr/>
          <w:p>
            <w:pPr>
              <w:pStyle w:val="Compact"/>
              <w:jc w:val="left"/>
            </w:pPr>
            <w:r>
              <w:t xml:space="preserve">5.8634e-12</w:t>
            </w:r>
          </w:p>
        </w:tc>
      </w:tr>
      <w:tr>
        <w:tc>
          <w:tcPr/>
          <w:p>
            <w:pPr>
              <w:pStyle w:val="Compact"/>
              <w:jc w:val="left"/>
            </w:pPr>
            <w:r>
              <w:t xml:space="preserve">M1J mixed jacket hypothesis</w:t>
            </w:r>
          </w:p>
        </w:tc>
        <w:tc>
          <w:tcPr/>
          <w:p>
            <w:pPr>
              <w:pStyle w:val="Compact"/>
              <w:jc w:val="left"/>
            </w:pPr>
            <w:r>
              <w:t xml:space="preserve">0</w:t>
            </w:r>
          </w:p>
        </w:tc>
        <w:tc>
          <w:tcPr/>
          <w:p>
            <w:pPr>
              <w:pStyle w:val="Compact"/>
              <w:jc w:val="left"/>
            </w:pPr>
            <w:r>
              <w:t xml:space="preserve">5.8616e-12</w:t>
            </w:r>
          </w:p>
        </w:tc>
      </w:tr>
      <w:tr>
        <w:tc>
          <w:tcPr/>
          <w:p>
            <w:pPr>
              <w:pStyle w:val="Compact"/>
              <w:jc w:val="left"/>
            </w:pPr>
            <w:r>
              <w:t xml:space="preserve">M2L linear cp hypothesis</w:t>
            </w:r>
          </w:p>
        </w:tc>
        <w:tc>
          <w:tcPr/>
          <w:p>
            <w:pPr>
              <w:pStyle w:val="Compact"/>
              <w:jc w:val="left"/>
            </w:pPr>
            <w:r>
              <w:t xml:space="preserve">1.0307e-05</w:t>
            </w:r>
          </w:p>
        </w:tc>
        <w:tc>
          <w:tcPr/>
          <w:p>
            <w:pPr>
              <w:pStyle w:val="Compact"/>
              <w:jc w:val="left"/>
            </w:pPr>
            <w:r>
              <w:t xml:space="preserve">3.3766e-07</w:t>
            </w:r>
          </w:p>
        </w:tc>
      </w:tr>
      <w:tr>
        <w:tc>
          <w:tcPr/>
          <w:p>
            <w:pPr>
              <w:pStyle w:val="Compact"/>
              <w:jc w:val="left"/>
            </w:pPr>
            <w:r>
              <w:t xml:space="preserve">M2Q quadratic cp hypothesis</w:t>
            </w:r>
          </w:p>
        </w:tc>
        <w:tc>
          <w:tcPr/>
          <w:p>
            <w:pPr>
              <w:pStyle w:val="Compact"/>
              <w:jc w:val="left"/>
            </w:pPr>
            <w:r>
              <w:t xml:space="preserve">9.3374e-06</w:t>
            </w:r>
          </w:p>
        </w:tc>
        <w:tc>
          <w:tcPr/>
          <w:p>
            <w:pPr>
              <w:pStyle w:val="Compact"/>
              <w:jc w:val="left"/>
            </w:pPr>
            <w:r>
              <w:t xml:space="preserve">3.1641e-07</w:t>
            </w:r>
          </w:p>
        </w:tc>
      </w:tr>
    </w:tbl>
    <w:bookmarkEnd w:id="37"/>
    <w:bookmarkStart w:id="38" w:name="X2357baeb1170f0597fd229bddb956ae86ab00b8"/>
    <w:p>
      <w:pPr>
        <w:pStyle w:val="Heading2"/>
      </w:pPr>
      <w:r>
        <w:rPr>
          <w:rStyle w:val="SectionNumber"/>
        </w:rPr>
        <w:t xml:space="preserve">9.2</w:t>
      </w:r>
      <w:r>
        <w:tab/>
      </w:r>
      <w:r>
        <w:t xml:space="preserve">Posto local dependente da entrada e gêmeos remanescentes com propriedades afins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w:t>
            </w:r>
          </w:p>
        </w:tc>
        <w:tc>
          <w:tcPr/>
          <w:p>
            <w:pPr>
              <w:pStyle w:val="Compact"/>
              <w:jc w:val="left"/>
            </w:pPr>
            <w:r>
              <w:t xml:space="preserve">determinant</w:t>
            </w:r>
          </w:p>
        </w:tc>
        <w:tc>
          <w:tcPr/>
          <w:p>
            <w:pPr>
              <w:pStyle w:val="Compact"/>
              <w:jc w:val="left"/>
            </w:pPr>
            <w:r>
              <w:t xml:space="preserve">Derivative error</w:t>
            </w:r>
          </w:p>
        </w:tc>
        <w:tc>
          <w:tcPr/>
          <w:p>
            <w:pPr>
              <w:pStyle w:val="Compact"/>
              <w:jc w:val="left"/>
            </w:pPr>
            <w:r>
              <w:t xml:space="preserve">Rank 4 test</w:t>
            </w:r>
          </w:p>
        </w:tc>
      </w:tr>
      <w:tr>
        <w:tc>
          <w:tcPr/>
          <w:p>
            <w:pPr>
              <w:pStyle w:val="Compact"/>
              <w:jc w:val="left"/>
            </w:pPr>
            <w:r>
              <w:t xml:space="preserve">315</w:t>
            </w:r>
          </w:p>
        </w:tc>
        <w:tc>
          <w:tcPr/>
          <w:p>
            <w:pPr>
              <w:pStyle w:val="Compact"/>
              <w:jc w:val="left"/>
            </w:pPr>
            <w:r>
              <w:t xml:space="preserve">3.1461</w:t>
            </w:r>
          </w:p>
        </w:tc>
        <w:tc>
          <w:tcPr/>
          <w:p>
            <w:pPr>
              <w:pStyle w:val="Compact"/>
              <w:jc w:val="left"/>
            </w:pPr>
            <w:r>
              <w:t xml:space="preserve">3.1924e-58</w:t>
            </w:r>
          </w:p>
        </w:tc>
        <w:tc>
          <w:tcPr/>
          <w:p>
            <w:pPr>
              <w:pStyle w:val="Compact"/>
              <w:jc w:val="left"/>
            </w:pPr>
            <w:r>
              <w:t xml:space="preserve">True</w:t>
            </w:r>
          </w:p>
        </w:tc>
      </w:tr>
      <w:tr>
        <w:tc>
          <w:tcPr/>
          <w:p>
            <w:pPr>
              <w:pStyle w:val="Compact"/>
              <w:jc w:val="left"/>
            </w:pPr>
            <w:r>
              <w:t xml:space="preserve">325</w:t>
            </w:r>
          </w:p>
        </w:tc>
        <w:tc>
          <w:tcPr/>
          <w:p>
            <w:pPr>
              <w:pStyle w:val="Compact"/>
              <w:jc w:val="left"/>
            </w:pPr>
            <w:r>
              <w:t xml:space="preserve">60.576</w:t>
            </w:r>
          </w:p>
        </w:tc>
        <w:tc>
          <w:tcPr/>
          <w:p>
            <w:pPr>
              <w:pStyle w:val="Compact"/>
              <w:jc w:val="left"/>
            </w:pPr>
            <w:r>
              <w:t xml:space="preserve">1.0753e-57</w:t>
            </w:r>
          </w:p>
        </w:tc>
        <w:tc>
          <w:tcPr/>
          <w:p>
            <w:pPr>
              <w:pStyle w:val="Compact"/>
              <w:jc w:val="left"/>
            </w:pPr>
            <w:r>
              <w:t xml:space="preserve">True</w:t>
            </w:r>
          </w:p>
        </w:tc>
      </w:tr>
      <w:tr>
        <w:tc>
          <w:tcPr/>
          <w:p>
            <w:pPr>
              <w:pStyle w:val="Compact"/>
              <w:jc w:val="left"/>
            </w:pPr>
            <w:r>
              <w:t xml:space="preserve">332.33</w:t>
            </w:r>
          </w:p>
        </w:tc>
        <w:tc>
          <w:tcPr/>
          <w:p>
            <w:pPr>
              <w:pStyle w:val="Compact"/>
              <w:jc w:val="left"/>
            </w:pPr>
            <w:r>
              <w:t xml:space="preserve">8.1092e-58</w:t>
            </w:r>
          </w:p>
        </w:tc>
        <w:tc>
          <w:tcPr/>
          <w:p>
            <w:pPr>
              <w:pStyle w:val="Compact"/>
              <w:jc w:val="left"/>
            </w:pPr>
            <w:r>
              <w:t xml:space="preserve">1.8484e-57</w:t>
            </w:r>
          </w:p>
        </w:tc>
        <w:tc>
          <w:tcPr/>
          <w:p>
            <w:pPr>
              <w:pStyle w:val="Compact"/>
              <w:jc w:val="left"/>
            </w:pPr>
            <w:r>
              <w:t xml:space="preserve">False</w:t>
            </w:r>
          </w:p>
        </w:tc>
      </w:tr>
      <w:tr>
        <w:tc>
          <w:tcPr/>
          <w:p>
            <w:pPr>
              <w:pStyle w:val="Compact"/>
              <w:jc w:val="left"/>
            </w:pPr>
            <w:r>
              <w:t xml:space="preserve">340</w:t>
            </w:r>
          </w:p>
        </w:tc>
        <w:tc>
          <w:tcPr/>
          <w:p>
            <w:pPr>
              <w:pStyle w:val="Compact"/>
              <w:jc w:val="left"/>
            </w:pPr>
            <w:r>
              <w:t xml:space="preserve">-893.84</w:t>
            </w:r>
          </w:p>
        </w:tc>
        <w:tc>
          <w:tcPr/>
          <w:p>
            <w:pPr>
              <w:pStyle w:val="Compact"/>
              <w:jc w:val="left"/>
            </w:pPr>
            <w:r>
              <w:t xml:space="preserve">5.2572e-57</w:t>
            </w:r>
          </w:p>
        </w:tc>
        <w:tc>
          <w:tcPr/>
          <w:p>
            <w:pPr>
              <w:pStyle w:val="Compact"/>
              <w:jc w:val="left"/>
            </w:pPr>
            <w:r>
              <w:t xml:space="preserve">True</w:t>
            </w:r>
          </w:p>
        </w:tc>
      </w:tr>
      <w:tr>
        <w:tc>
          <w:tcPr/>
          <w:p>
            <w:pPr>
              <w:pStyle w:val="Compact"/>
              <w:jc w:val="left"/>
            </w:pPr>
            <w:r>
              <w:t xml:space="preserve">348</w:t>
            </w:r>
          </w:p>
        </w:tc>
        <w:tc>
          <w:tcPr/>
          <w:p>
            <w:pPr>
              <w:pStyle w:val="Compact"/>
              <w:jc w:val="left"/>
            </w:pPr>
            <w:r>
              <w:t xml:space="preserve">-5623.8</w:t>
            </w:r>
          </w:p>
        </w:tc>
        <w:tc>
          <w:tcPr/>
          <w:p>
            <w:pPr>
              <w:pStyle w:val="Compact"/>
              <w:jc w:val="left"/>
            </w:pPr>
            <w:r>
              <w:t xml:space="preserve">4.4607e-57</w:t>
            </w:r>
          </w:p>
        </w:tc>
        <w:tc>
          <w:tcPr/>
          <w:p>
            <w:pPr>
              <w:pStyle w:val="Compact"/>
              <w:jc w:val="left"/>
            </w:pPr>
            <w:r>
              <w:t xml:space="preserve">True</w:t>
            </w:r>
          </w:p>
        </w:tc>
      </w:tr>
    </w:tbl>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Unexcited dT</w:t>
            </w:r>
          </w:p>
        </w:tc>
        <w:tc>
          <w:tcPr/>
          <w:p>
            <w:pPr>
              <w:pStyle w:val="Compact"/>
              <w:jc w:val="left"/>
            </w:pPr>
            <w:r>
              <w:t xml:space="preserve">Excited dT</w:t>
            </w:r>
          </w:p>
        </w:tc>
        <w:tc>
          <w:tcPr/>
          <w:p>
            <w:pPr>
              <w:pStyle w:val="Compact"/>
              <w:jc w:val="left"/>
            </w:pPr>
            <w:r>
              <w:t xml:space="preserve">Affine twin dT</w:t>
            </w:r>
          </w:p>
        </w:tc>
        <w:tc>
          <w:tcPr/>
          <w:p>
            <w:pPr>
              <w:pStyle w:val="Compact"/>
              <w:jc w:val="left"/>
            </w:pPr>
            <w:r>
              <w:t xml:space="preserve">Affine rank</w:t>
            </w:r>
          </w:p>
        </w:tc>
        <w:tc>
          <w:tcPr/>
          <w:p>
            <w:pPr>
              <w:pStyle w:val="Compact"/>
              <w:jc w:val="left"/>
            </w:pPr>
            <w:r>
              <w:t xml:space="preserve">Quadratic rank</w:t>
            </w:r>
          </w:p>
        </w:tc>
      </w:tr>
      <w:tr>
        <w:tc>
          <w:tcPr/>
          <w:p>
            <w:pPr>
              <w:pStyle w:val="Compact"/>
              <w:jc w:val="left"/>
            </w:pPr>
            <w:r>
              <w:t xml:space="preserve">0</w:t>
            </w:r>
          </w:p>
        </w:tc>
        <w:tc>
          <w:tcPr/>
          <w:p>
            <w:pPr>
              <w:pStyle w:val="Compact"/>
              <w:jc w:val="left"/>
            </w:pPr>
            <w:r>
              <w:t xml:space="preserve">0.037972</w:t>
            </w:r>
          </w:p>
        </w:tc>
        <w:tc>
          <w:tcPr/>
          <w:p>
            <w:pPr>
              <w:pStyle w:val="Compact"/>
              <w:jc w:val="left"/>
            </w:pPr>
            <w:r>
              <w:t xml:space="preserve">0</w:t>
            </w:r>
          </w:p>
        </w:tc>
        <w:tc>
          <w:tcPr/>
          <w:p>
            <w:pPr>
              <w:pStyle w:val="Compact"/>
              <w:jc w:val="left"/>
            </w:pPr>
            <w:r>
              <w:t xml:space="preserve">2</w:t>
            </w:r>
          </w:p>
        </w:tc>
        <w:tc>
          <w:tcPr/>
          <w:p>
            <w:pPr>
              <w:pStyle w:val="Compact"/>
              <w:jc w:val="left"/>
            </w:pPr>
            <w:r>
              <w:t xml:space="preserve">3</w:t>
            </w:r>
          </w:p>
        </w:tc>
      </w:tr>
    </w:tbl>
    <w:bookmarkEnd w:id="38"/>
    <w:bookmarkStart w:id="39" w:name="métricas-absolutas-selecionadas"/>
    <w:p>
      <w:pPr>
        <w:pStyle w:val="Heading2"/>
      </w:pPr>
      <w:r>
        <w:rPr>
          <w:rStyle w:val="SectionNumber"/>
        </w:rPr>
        <w:t xml:space="preserve">9.3</w:t>
      </w:r>
      <w:r>
        <w:tab/>
      </w:r>
      <w:r>
        <w:t xml:space="preserve">Métricas absolutas selecionadas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scenario</w:t>
            </w:r>
          </w:p>
        </w:tc>
        <w:tc>
          <w:tcPr/>
          <w:p>
            <w:pPr>
              <w:pStyle w:val="Compact"/>
              <w:jc w:val="left"/>
            </w:pPr>
            <w:r>
              <w:t xml:space="preserve">method</w:t>
            </w:r>
          </w:p>
        </w:tc>
        <w:tc>
          <w:tcPr/>
          <w:p>
            <w:pPr>
              <w:pStyle w:val="Compact"/>
              <w:jc w:val="left"/>
            </w:pPr>
            <w:r>
              <w:t xml:space="preserve">IAE</w:t>
            </w:r>
          </w:p>
        </w:tc>
        <w:tc>
          <w:tcPr/>
          <w:p>
            <w:pPr>
              <w:pStyle w:val="Compact"/>
              <w:jc w:val="left"/>
            </w:pPr>
            <w:r>
              <w:t xml:space="preserve">RMSE CC</w:t>
            </w:r>
          </w:p>
        </w:tc>
        <w:tc>
          <w:tcPr/>
          <w:p>
            <w:pPr>
              <w:pStyle w:val="Compact"/>
              <w:jc w:val="left"/>
            </w:pPr>
            <w:r>
              <w:t xml:space="preserve">Tmax</w:t>
            </w:r>
          </w:p>
        </w:tc>
        <w:tc>
          <w:tcPr/>
          <w:p>
            <w:pPr>
              <w:pStyle w:val="Compact"/>
              <w:jc w:val="left"/>
            </w:pPr>
            <w:r>
              <w:t xml:space="preserve">fallback</w:t>
            </w:r>
          </w:p>
        </w:tc>
      </w:tr>
      <w:tr>
        <w:tc>
          <w:tcPr/>
          <w:p>
            <w:pPr>
              <w:pStyle w:val="Compact"/>
              <w:jc w:val="left"/>
            </w:pPr>
            <w:r>
              <w:t xml:space="preserve">combined</w:t>
            </w:r>
          </w:p>
        </w:tc>
        <w:tc>
          <w:tcPr/>
          <w:p>
            <w:pPr>
              <w:pStyle w:val="Compact"/>
              <w:jc w:val="left"/>
            </w:pPr>
            <w:r>
              <w:t xml:space="preserve">B1 continuous</w:t>
            </w:r>
          </w:p>
        </w:tc>
        <w:tc>
          <w:tcPr/>
          <w:p>
            <w:pPr>
              <w:pStyle w:val="Compact"/>
              <w:jc w:val="left"/>
            </w:pPr>
            <w:r>
              <w:t xml:space="preserve">0.22045</w:t>
            </w:r>
          </w:p>
        </w:tc>
        <w:tc>
          <w:tcPr/>
          <w:p>
            <w:pPr>
              <w:pStyle w:val="Compact"/>
              <w:jc w:val="left"/>
            </w:pPr>
            <w:r>
              <w:t xml:space="preserve">0.13055</w:t>
            </w:r>
          </w:p>
        </w:tc>
        <w:tc>
          <w:tcPr/>
          <w:p>
            <w:pPr>
              <w:pStyle w:val="Compact"/>
              <w:jc w:val="left"/>
            </w:pPr>
            <w:r>
              <w:t xml:space="preserve">332.33</w:t>
            </w:r>
          </w:p>
        </w:tc>
        <w:tc>
          <w:tcPr/>
          <w:p>
            <w:pPr>
              <w:pStyle w:val="Compact"/>
              <w:jc w:val="left"/>
            </w:pPr>
            <w:r>
              <w:t xml:space="preserve">0</w:t>
            </w:r>
          </w:p>
        </w:tc>
      </w:tr>
      <w:tr>
        <w:tc>
          <w:tcPr/>
          <w:p>
            <w:pPr>
              <w:pStyle w:val="Compact"/>
              <w:jc w:val="left"/>
            </w:pPr>
            <w:r>
              <w:t xml:space="preserve">combined</w:t>
            </w:r>
          </w:p>
        </w:tc>
        <w:tc>
          <w:tcPr/>
          <w:p>
            <w:pPr>
              <w:pStyle w:val="Compact"/>
              <w:jc w:val="left"/>
            </w:pPr>
            <w:r>
              <w:t xml:space="preserve">B1 ukf</w:t>
            </w:r>
          </w:p>
        </w:tc>
        <w:tc>
          <w:tcPr/>
          <w:p>
            <w:pPr>
              <w:pStyle w:val="Compact"/>
              <w:jc w:val="left"/>
            </w:pPr>
            <w:r>
              <w:t xml:space="preserve">0.23055</w:t>
            </w:r>
          </w:p>
        </w:tc>
        <w:tc>
          <w:tcPr/>
          <w:p>
            <w:pPr>
              <w:pStyle w:val="Compact"/>
              <w:jc w:val="left"/>
            </w:pPr>
            <w:r>
              <w:t xml:space="preserve">0.13057</w:t>
            </w:r>
          </w:p>
        </w:tc>
        <w:tc>
          <w:tcPr/>
          <w:p>
            <w:pPr>
              <w:pStyle w:val="Compact"/>
              <w:jc w:val="left"/>
            </w:pPr>
            <w:r>
              <w:t xml:space="preserve">332.35</w:t>
            </w:r>
          </w:p>
        </w:tc>
        <w:tc>
          <w:tcPr/>
          <w:p>
            <w:pPr>
              <w:pStyle w:val="Compact"/>
              <w:jc w:val="left"/>
            </w:pPr>
            <w:r>
              <w:t xml:space="preserve">0</w:t>
            </w:r>
          </w:p>
        </w:tc>
      </w:tr>
      <w:tr>
        <w:tc>
          <w:tcPr/>
          <w:p>
            <w:pPr>
              <w:pStyle w:val="Compact"/>
              <w:jc w:val="left"/>
            </w:pPr>
            <w:r>
              <w:t xml:space="preserve">combined</w:t>
            </w:r>
          </w:p>
        </w:tc>
        <w:tc>
          <w:tcPr/>
          <w:p>
            <w:pPr>
              <w:pStyle w:val="Compact"/>
              <w:jc w:val="left"/>
            </w:pPr>
            <w:r>
              <w:t xml:space="preserve">B2 both</w:t>
            </w:r>
          </w:p>
        </w:tc>
        <w:tc>
          <w:tcPr/>
          <w:p>
            <w:pPr>
              <w:pStyle w:val="Compact"/>
              <w:jc w:val="left"/>
            </w:pPr>
            <w:r>
              <w:t xml:space="preserve">0.079746</w:t>
            </w:r>
          </w:p>
        </w:tc>
        <w:tc>
          <w:tcPr/>
          <w:p>
            <w:pPr>
              <w:pStyle w:val="Compact"/>
              <w:jc w:val="left"/>
            </w:pPr>
            <w:r>
              <w:t xml:space="preserve">0.076413</w:t>
            </w:r>
          </w:p>
        </w:tc>
        <w:tc>
          <w:tcPr/>
          <w:p>
            <w:pPr>
              <w:pStyle w:val="Compact"/>
              <w:jc w:val="left"/>
            </w:pPr>
            <w:r>
              <w:t xml:space="preserve">337.06</w:t>
            </w:r>
          </w:p>
        </w:tc>
        <w:tc>
          <w:tcPr/>
          <w:p>
            <w:pPr>
              <w:pStyle w:val="Compact"/>
              <w:jc w:val="left"/>
            </w:pPr>
            <w:r>
              <w:t xml:space="preserve">0</w:t>
            </w:r>
          </w:p>
        </w:tc>
      </w:tr>
      <w:tr>
        <w:tc>
          <w:tcPr/>
          <w:p>
            <w:pPr>
              <w:pStyle w:val="Compact"/>
              <w:jc w:val="left"/>
            </w:pPr>
            <w:r>
              <w:t xml:space="preserve">combined</w:t>
            </w:r>
          </w:p>
        </w:tc>
        <w:tc>
          <w:tcPr/>
          <w:p>
            <w:pPr>
              <w:pStyle w:val="Compact"/>
              <w:jc w:val="left"/>
            </w:pPr>
            <w:r>
              <w:t xml:space="preserve">B2 estimator</w:t>
            </w:r>
          </w:p>
        </w:tc>
        <w:tc>
          <w:tcPr/>
          <w:p>
            <w:pPr>
              <w:pStyle w:val="Compact"/>
              <w:jc w:val="left"/>
            </w:pPr>
            <w:r>
              <w:t xml:space="preserve">0.25361</w:t>
            </w:r>
          </w:p>
        </w:tc>
        <w:tc>
          <w:tcPr/>
          <w:p>
            <w:pPr>
              <w:pStyle w:val="Compact"/>
              <w:jc w:val="left"/>
            </w:pPr>
            <w:r>
              <w:t xml:space="preserve">0.077038</w:t>
            </w:r>
          </w:p>
        </w:tc>
        <w:tc>
          <w:tcPr/>
          <w:p>
            <w:pPr>
              <w:pStyle w:val="Compact"/>
              <w:jc w:val="left"/>
            </w:pPr>
            <w:r>
              <w:t xml:space="preserve">332.33</w:t>
            </w:r>
          </w:p>
        </w:tc>
        <w:tc>
          <w:tcPr/>
          <w:p>
            <w:pPr>
              <w:pStyle w:val="Compact"/>
              <w:jc w:val="left"/>
            </w:pPr>
            <w:r>
              <w:t xml:space="preserve">0</w:t>
            </w:r>
          </w:p>
        </w:tc>
      </w:tr>
      <w:tr>
        <w:tc>
          <w:tcPr/>
          <w:p>
            <w:pPr>
              <w:pStyle w:val="Compact"/>
              <w:jc w:val="left"/>
            </w:pPr>
            <w:r>
              <w:t xml:space="preserve">combined</w:t>
            </w:r>
          </w:p>
        </w:tc>
        <w:tc>
          <w:tcPr/>
          <w:p>
            <w:pPr>
              <w:pStyle w:val="Compact"/>
              <w:jc w:val="left"/>
            </w:pPr>
            <w:r>
              <w:t xml:space="preserve">B4 mhe</w:t>
            </w:r>
          </w:p>
        </w:tc>
        <w:tc>
          <w:tcPr/>
          <w:p>
            <w:pPr>
              <w:pStyle w:val="Compact"/>
              <w:jc w:val="left"/>
            </w:pPr>
            <w:r>
              <w:t xml:space="preserve">0.19172</w:t>
            </w:r>
          </w:p>
        </w:tc>
        <w:tc>
          <w:tcPr/>
          <w:p>
            <w:pPr>
              <w:pStyle w:val="Compact"/>
              <w:jc w:val="left"/>
            </w:pPr>
            <w:r>
              <w:t xml:space="preserve">0.11811</w:t>
            </w:r>
          </w:p>
        </w:tc>
        <w:tc>
          <w:tcPr/>
          <w:p>
            <w:pPr>
              <w:pStyle w:val="Compact"/>
              <w:jc w:val="left"/>
            </w:pPr>
            <w:r>
              <w:t xml:space="preserve">332.58</w:t>
            </w:r>
          </w:p>
        </w:tc>
        <w:tc>
          <w:tcPr/>
          <w:p>
            <w:pPr>
              <w:pStyle w:val="Compact"/>
              <w:jc w:val="left"/>
            </w:pPr>
            <w:r>
              <w:t xml:space="preserve">0</w:t>
            </w:r>
          </w:p>
        </w:tc>
      </w:tr>
      <w:tr>
        <w:tc>
          <w:tcPr/>
          <w:p>
            <w:pPr>
              <w:pStyle w:val="Compact"/>
              <w:jc w:val="left"/>
            </w:pPr>
            <w:r>
              <w:t xml:space="preserve">combined</w:t>
            </w:r>
          </w:p>
        </w:tc>
        <w:tc>
          <w:tcPr/>
          <w:p>
            <w:pPr>
              <w:pStyle w:val="Compact"/>
              <w:jc w:val="left"/>
            </w:pPr>
            <w:r>
              <w:t xml:space="preserve">P2 regret</w:t>
            </w:r>
          </w:p>
        </w:tc>
        <w:tc>
          <w:tcPr/>
          <w:p>
            <w:pPr>
              <w:pStyle w:val="Compact"/>
              <w:jc w:val="left"/>
            </w:pPr>
            <w:r>
              <w:t xml:space="preserve">0.2325</w:t>
            </w:r>
          </w:p>
        </w:tc>
        <w:tc>
          <w:tcPr/>
          <w:p>
            <w:pPr>
              <w:pStyle w:val="Compact"/>
              <w:jc w:val="left"/>
            </w:pPr>
            <w:r>
              <w:t xml:space="preserve">0.13086</w:t>
            </w:r>
          </w:p>
        </w:tc>
        <w:tc>
          <w:tcPr/>
          <w:p>
            <w:pPr>
              <w:pStyle w:val="Compact"/>
              <w:jc w:val="left"/>
            </w:pPr>
            <w:r>
              <w:t xml:space="preserve">332.33</w:t>
            </w:r>
          </w:p>
        </w:tc>
        <w:tc>
          <w:tcPr/>
          <w:p>
            <w:pPr>
              <w:pStyle w:val="Compact"/>
              <w:jc w:val="left"/>
            </w:pPr>
            <w:r>
              <w:t xml:space="preserve">0</w:t>
            </w:r>
          </w:p>
        </w:tc>
      </w:tr>
      <w:tr>
        <w:tc>
          <w:tcPr/>
          <w:p>
            <w:pPr>
              <w:pStyle w:val="Compact"/>
              <w:jc w:val="left"/>
            </w:pPr>
            <w:r>
              <w:t xml:space="preserve">combined</w:t>
            </w:r>
          </w:p>
        </w:tc>
        <w:tc>
          <w:tcPr/>
          <w:p>
            <w:pPr>
              <w:pStyle w:val="Compact"/>
              <w:jc w:val="left"/>
            </w:pPr>
            <w:r>
              <w:t xml:space="preserve">P3 adaptive regret</w:t>
            </w:r>
          </w:p>
        </w:tc>
        <w:tc>
          <w:tcPr/>
          <w:p>
            <w:pPr>
              <w:pStyle w:val="Compact"/>
              <w:jc w:val="left"/>
            </w:pPr>
            <w:r>
              <w:t xml:space="preserve">0.078689</w:t>
            </w:r>
          </w:p>
        </w:tc>
        <w:tc>
          <w:tcPr/>
          <w:p>
            <w:pPr>
              <w:pStyle w:val="Compact"/>
              <w:jc w:val="left"/>
            </w:pPr>
            <w:r>
              <w:t xml:space="preserve">0.076353</w:t>
            </w:r>
          </w:p>
        </w:tc>
        <w:tc>
          <w:tcPr/>
          <w:p>
            <w:pPr>
              <w:pStyle w:val="Compact"/>
              <w:jc w:val="left"/>
            </w:pPr>
            <w:r>
              <w:t xml:space="preserve">337.17</w:t>
            </w:r>
          </w:p>
        </w:tc>
        <w:tc>
          <w:tcPr/>
          <w:p>
            <w:pPr>
              <w:pStyle w:val="Compact"/>
              <w:jc w:val="left"/>
            </w:pPr>
            <w:r>
              <w:t xml:space="preserve">0</w:t>
            </w:r>
          </w:p>
        </w:tc>
      </w:tr>
      <w:tr>
        <w:tc>
          <w:tcPr/>
          <w:p>
            <w:pPr>
              <w:pStyle w:val="Compact"/>
              <w:jc w:val="left"/>
            </w:pPr>
            <w:r>
              <w:t xml:space="preserve">inventory plus</w:t>
            </w:r>
          </w:p>
        </w:tc>
        <w:tc>
          <w:tcPr/>
          <w:p>
            <w:pPr>
              <w:pStyle w:val="Compact"/>
              <w:jc w:val="left"/>
            </w:pPr>
            <w:r>
              <w:t xml:space="preserve">B1 continuous</w:t>
            </w:r>
          </w:p>
        </w:tc>
        <w:tc>
          <w:tcPr/>
          <w:p>
            <w:pPr>
              <w:pStyle w:val="Compact"/>
              <w:jc w:val="left"/>
            </w:pPr>
            <w:r>
              <w:t xml:space="preserve">0.061569</w:t>
            </w:r>
          </w:p>
        </w:tc>
        <w:tc>
          <w:tcPr/>
          <w:p>
            <w:pPr>
              <w:pStyle w:val="Compact"/>
              <w:jc w:val="left"/>
            </w:pPr>
            <w:r>
              <w:t xml:space="preserve">0.12231</w:t>
            </w:r>
          </w:p>
        </w:tc>
        <w:tc>
          <w:tcPr/>
          <w:p>
            <w:pPr>
              <w:pStyle w:val="Compact"/>
              <w:jc w:val="left"/>
            </w:pPr>
            <w:r>
              <w:t xml:space="preserve">332.61</w:t>
            </w:r>
          </w:p>
        </w:tc>
        <w:tc>
          <w:tcPr/>
          <w:p>
            <w:pPr>
              <w:pStyle w:val="Compact"/>
              <w:jc w:val="left"/>
            </w:pPr>
            <w:r>
              <w:t xml:space="preserve">0</w:t>
            </w:r>
          </w:p>
        </w:tc>
      </w:tr>
      <w:tr>
        <w:tc>
          <w:tcPr/>
          <w:p>
            <w:pPr>
              <w:pStyle w:val="Compact"/>
              <w:jc w:val="left"/>
            </w:pPr>
            <w:r>
              <w:t xml:space="preserve">inventory plus</w:t>
            </w:r>
          </w:p>
        </w:tc>
        <w:tc>
          <w:tcPr/>
          <w:p>
            <w:pPr>
              <w:pStyle w:val="Compact"/>
              <w:jc w:val="left"/>
            </w:pPr>
            <w:r>
              <w:t xml:space="preserve">B1 ukf</w:t>
            </w:r>
          </w:p>
        </w:tc>
        <w:tc>
          <w:tcPr/>
          <w:p>
            <w:pPr>
              <w:pStyle w:val="Compact"/>
              <w:jc w:val="left"/>
            </w:pPr>
            <w:r>
              <w:t xml:space="preserve">0.060387</w:t>
            </w:r>
          </w:p>
        </w:tc>
        <w:tc>
          <w:tcPr/>
          <w:p>
            <w:pPr>
              <w:pStyle w:val="Compact"/>
              <w:jc w:val="left"/>
            </w:pPr>
            <w:r>
              <w:t xml:space="preserve">0.12225</w:t>
            </w:r>
          </w:p>
        </w:tc>
        <w:tc>
          <w:tcPr/>
          <w:p>
            <w:pPr>
              <w:pStyle w:val="Compact"/>
              <w:jc w:val="left"/>
            </w:pPr>
            <w:r>
              <w:t xml:space="preserve">332.44</w:t>
            </w:r>
          </w:p>
        </w:tc>
        <w:tc>
          <w:tcPr/>
          <w:p>
            <w:pPr>
              <w:pStyle w:val="Compact"/>
              <w:jc w:val="left"/>
            </w:pPr>
            <w:r>
              <w:t xml:space="preserve">0</w:t>
            </w:r>
          </w:p>
        </w:tc>
      </w:tr>
      <w:tr>
        <w:tc>
          <w:tcPr/>
          <w:p>
            <w:pPr>
              <w:pStyle w:val="Compact"/>
              <w:jc w:val="left"/>
            </w:pPr>
            <w:r>
              <w:t xml:space="preserve">inventory plus</w:t>
            </w:r>
          </w:p>
        </w:tc>
        <w:tc>
          <w:tcPr/>
          <w:p>
            <w:pPr>
              <w:pStyle w:val="Compact"/>
              <w:jc w:val="left"/>
            </w:pPr>
            <w:r>
              <w:t xml:space="preserve">B2 both</w:t>
            </w:r>
          </w:p>
        </w:tc>
        <w:tc>
          <w:tcPr/>
          <w:p>
            <w:pPr>
              <w:pStyle w:val="Compact"/>
              <w:jc w:val="left"/>
            </w:pPr>
            <w:r>
              <w:t xml:space="preserve">0.061797</w:t>
            </w:r>
          </w:p>
        </w:tc>
        <w:tc>
          <w:tcPr/>
          <w:p>
            <w:pPr>
              <w:pStyle w:val="Compact"/>
              <w:jc w:val="left"/>
            </w:pPr>
            <w:r>
              <w:t xml:space="preserve">0.12223</w:t>
            </w:r>
          </w:p>
        </w:tc>
        <w:tc>
          <w:tcPr/>
          <w:p>
            <w:pPr>
              <w:pStyle w:val="Compact"/>
              <w:jc w:val="left"/>
            </w:pPr>
            <w:r>
              <w:t xml:space="preserve">332.93</w:t>
            </w:r>
          </w:p>
        </w:tc>
        <w:tc>
          <w:tcPr/>
          <w:p>
            <w:pPr>
              <w:pStyle w:val="Compact"/>
              <w:jc w:val="left"/>
            </w:pPr>
            <w:r>
              <w:t xml:space="preserve">0</w:t>
            </w:r>
          </w:p>
        </w:tc>
      </w:tr>
      <w:tr>
        <w:tc>
          <w:tcPr/>
          <w:p>
            <w:pPr>
              <w:pStyle w:val="Compact"/>
              <w:jc w:val="left"/>
            </w:pPr>
            <w:r>
              <w:t xml:space="preserve">inventory plus</w:t>
            </w:r>
          </w:p>
        </w:tc>
        <w:tc>
          <w:tcPr/>
          <w:p>
            <w:pPr>
              <w:pStyle w:val="Compact"/>
              <w:jc w:val="left"/>
            </w:pPr>
            <w:r>
              <w:t xml:space="preserve">B2 estimator</w:t>
            </w:r>
          </w:p>
        </w:tc>
        <w:tc>
          <w:tcPr/>
          <w:p>
            <w:pPr>
              <w:pStyle w:val="Compact"/>
              <w:jc w:val="left"/>
            </w:pPr>
            <w:r>
              <w:t xml:space="preserve">0.060544</w:t>
            </w:r>
          </w:p>
        </w:tc>
        <w:tc>
          <w:tcPr/>
          <w:p>
            <w:pPr>
              <w:pStyle w:val="Compact"/>
              <w:jc w:val="left"/>
            </w:pPr>
            <w:r>
              <w:t xml:space="preserve">0.12204</w:t>
            </w:r>
          </w:p>
        </w:tc>
        <w:tc>
          <w:tcPr/>
          <w:p>
            <w:pPr>
              <w:pStyle w:val="Compact"/>
              <w:jc w:val="left"/>
            </w:pPr>
            <w:r>
              <w:t xml:space="preserve">332.44</w:t>
            </w:r>
          </w:p>
        </w:tc>
        <w:tc>
          <w:tcPr/>
          <w:p>
            <w:pPr>
              <w:pStyle w:val="Compact"/>
              <w:jc w:val="left"/>
            </w:pPr>
            <w:r>
              <w:t xml:space="preserve">0</w:t>
            </w:r>
          </w:p>
        </w:tc>
      </w:tr>
      <w:tr>
        <w:tc>
          <w:tcPr/>
          <w:p>
            <w:pPr>
              <w:pStyle w:val="Compact"/>
              <w:jc w:val="left"/>
            </w:pPr>
            <w:r>
              <w:t xml:space="preserve">inventory plus</w:t>
            </w:r>
          </w:p>
        </w:tc>
        <w:tc>
          <w:tcPr/>
          <w:p>
            <w:pPr>
              <w:pStyle w:val="Compact"/>
              <w:jc w:val="left"/>
            </w:pPr>
            <w:r>
              <w:t xml:space="preserve">B4 mhe</w:t>
            </w:r>
          </w:p>
        </w:tc>
        <w:tc>
          <w:tcPr/>
          <w:p>
            <w:pPr>
              <w:pStyle w:val="Compact"/>
              <w:jc w:val="left"/>
            </w:pPr>
            <w:r>
              <w:t xml:space="preserve">0.060212</w:t>
            </w:r>
          </w:p>
        </w:tc>
        <w:tc>
          <w:tcPr/>
          <w:p>
            <w:pPr>
              <w:pStyle w:val="Compact"/>
              <w:jc w:val="left"/>
            </w:pPr>
            <w:r>
              <w:t xml:space="preserve">0.12274</w:t>
            </w:r>
          </w:p>
        </w:tc>
        <w:tc>
          <w:tcPr/>
          <w:p>
            <w:pPr>
              <w:pStyle w:val="Compact"/>
              <w:jc w:val="left"/>
            </w:pPr>
            <w:r>
              <w:t xml:space="preserve">332.43</w:t>
            </w:r>
          </w:p>
        </w:tc>
        <w:tc>
          <w:tcPr/>
          <w:p>
            <w:pPr>
              <w:pStyle w:val="Compact"/>
              <w:jc w:val="left"/>
            </w:pPr>
            <w:r>
              <w:t xml:space="preserve">0</w:t>
            </w:r>
          </w:p>
        </w:tc>
      </w:tr>
      <w:tr>
        <w:tc>
          <w:tcPr/>
          <w:p>
            <w:pPr>
              <w:pStyle w:val="Compact"/>
              <w:jc w:val="left"/>
            </w:pPr>
            <w:r>
              <w:t xml:space="preserve">inventory plus</w:t>
            </w:r>
          </w:p>
        </w:tc>
        <w:tc>
          <w:tcPr/>
          <w:p>
            <w:pPr>
              <w:pStyle w:val="Compact"/>
              <w:jc w:val="left"/>
            </w:pPr>
            <w:r>
              <w:t xml:space="preserve">P2 regret</w:t>
            </w:r>
          </w:p>
        </w:tc>
        <w:tc>
          <w:tcPr/>
          <w:p>
            <w:pPr>
              <w:pStyle w:val="Compact"/>
              <w:jc w:val="left"/>
            </w:pPr>
            <w:r>
              <w:t xml:space="preserve">0.059559</w:t>
            </w:r>
          </w:p>
        </w:tc>
        <w:tc>
          <w:tcPr/>
          <w:p>
            <w:pPr>
              <w:pStyle w:val="Compact"/>
              <w:jc w:val="left"/>
            </w:pPr>
            <w:r>
              <w:t xml:space="preserve">0.12216</w:t>
            </w:r>
          </w:p>
        </w:tc>
        <w:tc>
          <w:tcPr/>
          <w:p>
            <w:pPr>
              <w:pStyle w:val="Compact"/>
              <w:jc w:val="left"/>
            </w:pPr>
            <w:r>
              <w:t xml:space="preserve">332.37</w:t>
            </w:r>
          </w:p>
        </w:tc>
        <w:tc>
          <w:tcPr/>
          <w:p>
            <w:pPr>
              <w:pStyle w:val="Compact"/>
              <w:jc w:val="left"/>
            </w:pPr>
            <w:r>
              <w:t xml:space="preserve">0</w:t>
            </w:r>
          </w:p>
        </w:tc>
      </w:tr>
      <w:tr>
        <w:tc>
          <w:tcPr/>
          <w:p>
            <w:pPr>
              <w:pStyle w:val="Compact"/>
              <w:jc w:val="left"/>
            </w:pPr>
            <w:r>
              <w:t xml:space="preserve">inventory plus</w:t>
            </w:r>
          </w:p>
        </w:tc>
        <w:tc>
          <w:tcPr/>
          <w:p>
            <w:pPr>
              <w:pStyle w:val="Compact"/>
              <w:jc w:val="left"/>
            </w:pPr>
            <w:r>
              <w:t xml:space="preserve">P3 adaptive regret</w:t>
            </w:r>
          </w:p>
        </w:tc>
        <w:tc>
          <w:tcPr/>
          <w:p>
            <w:pPr>
              <w:pStyle w:val="Compact"/>
              <w:jc w:val="left"/>
            </w:pPr>
            <w:r>
              <w:t xml:space="preserve">0.062655</w:t>
            </w:r>
          </w:p>
        </w:tc>
        <w:tc>
          <w:tcPr/>
          <w:p>
            <w:pPr>
              <w:pStyle w:val="Compact"/>
              <w:jc w:val="left"/>
            </w:pPr>
            <w:r>
              <w:t xml:space="preserve">0.12219</w:t>
            </w:r>
          </w:p>
        </w:tc>
        <w:tc>
          <w:tcPr/>
          <w:p>
            <w:pPr>
              <w:pStyle w:val="Compact"/>
              <w:jc w:val="left"/>
            </w:pPr>
            <w:r>
              <w:t xml:space="preserve">332.89</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B1 continuous</w:t>
            </w:r>
          </w:p>
        </w:tc>
        <w:tc>
          <w:tcPr/>
          <w:p>
            <w:pPr>
              <w:pStyle w:val="Compact"/>
              <w:jc w:val="left"/>
            </w:pPr>
            <w:r>
              <w:t xml:space="preserve">0.16428</w:t>
            </w:r>
          </w:p>
        </w:tc>
        <w:tc>
          <w:tcPr/>
          <w:p>
            <w:pPr>
              <w:pStyle w:val="Compact"/>
              <w:jc w:val="left"/>
            </w:pPr>
            <w:r>
              <w:t xml:space="preserve">0.081211</w:t>
            </w:r>
          </w:p>
        </w:tc>
        <w:tc>
          <w:tcPr/>
          <w:p>
            <w:pPr>
              <w:pStyle w:val="Compact"/>
              <w:jc w:val="left"/>
            </w:pPr>
            <w:r>
              <w:t xml:space="preserve">332.33</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B1 ukf</w:t>
            </w:r>
          </w:p>
        </w:tc>
        <w:tc>
          <w:tcPr/>
          <w:p>
            <w:pPr>
              <w:pStyle w:val="Compact"/>
              <w:jc w:val="left"/>
            </w:pPr>
            <w:r>
              <w:t xml:space="preserve">0.19263</w:t>
            </w:r>
          </w:p>
        </w:tc>
        <w:tc>
          <w:tcPr/>
          <w:p>
            <w:pPr>
              <w:pStyle w:val="Compact"/>
              <w:jc w:val="left"/>
            </w:pPr>
            <w:r>
              <w:t xml:space="preserve">0.083904</w:t>
            </w:r>
          </w:p>
        </w:tc>
        <w:tc>
          <w:tcPr/>
          <w:p>
            <w:pPr>
              <w:pStyle w:val="Compact"/>
              <w:jc w:val="left"/>
            </w:pPr>
            <w:r>
              <w:t xml:space="preserve">332.33</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B2 both</w:t>
            </w:r>
          </w:p>
        </w:tc>
        <w:tc>
          <w:tcPr/>
          <w:p>
            <w:pPr>
              <w:pStyle w:val="Compact"/>
              <w:jc w:val="left"/>
            </w:pPr>
            <w:r>
              <w:t xml:space="preserve">0.044861</w:t>
            </w:r>
          </w:p>
        </w:tc>
        <w:tc>
          <w:tcPr/>
          <w:p>
            <w:pPr>
              <w:pStyle w:val="Compact"/>
              <w:jc w:val="left"/>
            </w:pPr>
            <w:r>
              <w:t xml:space="preserve">0.015328</w:t>
            </w:r>
          </w:p>
        </w:tc>
        <w:tc>
          <w:tcPr/>
          <w:p>
            <w:pPr>
              <w:pStyle w:val="Compact"/>
              <w:jc w:val="left"/>
            </w:pPr>
            <w:r>
              <w:t xml:space="preserve">333.99</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B2 estimator</w:t>
            </w:r>
          </w:p>
        </w:tc>
        <w:tc>
          <w:tcPr/>
          <w:p>
            <w:pPr>
              <w:pStyle w:val="Compact"/>
              <w:jc w:val="left"/>
            </w:pPr>
            <w:r>
              <w:t xml:space="preserve">0.23438</w:t>
            </w:r>
          </w:p>
        </w:tc>
        <w:tc>
          <w:tcPr/>
          <w:p>
            <w:pPr>
              <w:pStyle w:val="Compact"/>
              <w:jc w:val="left"/>
            </w:pPr>
            <w:r>
              <w:t xml:space="preserve">0.016884</w:t>
            </w:r>
          </w:p>
        </w:tc>
        <w:tc>
          <w:tcPr/>
          <w:p>
            <w:pPr>
              <w:pStyle w:val="Compact"/>
              <w:jc w:val="left"/>
            </w:pPr>
            <w:r>
              <w:t xml:space="preserve">332.33</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B4 mhe</w:t>
            </w:r>
          </w:p>
        </w:tc>
        <w:tc>
          <w:tcPr/>
          <w:p>
            <w:pPr>
              <w:pStyle w:val="Compact"/>
              <w:jc w:val="left"/>
            </w:pPr>
            <w:r>
              <w:t xml:space="preserve">0.17914</w:t>
            </w:r>
          </w:p>
        </w:tc>
        <w:tc>
          <w:tcPr/>
          <w:p>
            <w:pPr>
              <w:pStyle w:val="Compact"/>
              <w:jc w:val="left"/>
            </w:pPr>
            <w:r>
              <w:t xml:space="preserve">0.073232</w:t>
            </w:r>
          </w:p>
        </w:tc>
        <w:tc>
          <w:tcPr/>
          <w:p>
            <w:pPr>
              <w:pStyle w:val="Compact"/>
              <w:jc w:val="left"/>
            </w:pPr>
            <w:r>
              <w:t xml:space="preserve">332.33</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P2 regret</w:t>
            </w:r>
          </w:p>
        </w:tc>
        <w:tc>
          <w:tcPr/>
          <w:p>
            <w:pPr>
              <w:pStyle w:val="Compact"/>
              <w:jc w:val="left"/>
            </w:pPr>
            <w:r>
              <w:t xml:space="preserve">0.1836</w:t>
            </w:r>
          </w:p>
        </w:tc>
        <w:tc>
          <w:tcPr/>
          <w:p>
            <w:pPr>
              <w:pStyle w:val="Compact"/>
              <w:jc w:val="left"/>
            </w:pPr>
            <w:r>
              <w:t xml:space="preserve">0.083579</w:t>
            </w:r>
          </w:p>
        </w:tc>
        <w:tc>
          <w:tcPr/>
          <w:p>
            <w:pPr>
              <w:pStyle w:val="Compact"/>
              <w:jc w:val="left"/>
            </w:pPr>
            <w:r>
              <w:t xml:space="preserve">332.33</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P3 adaptive regret</w:t>
            </w:r>
          </w:p>
        </w:tc>
        <w:tc>
          <w:tcPr/>
          <w:p>
            <w:pPr>
              <w:pStyle w:val="Compact"/>
              <w:jc w:val="left"/>
            </w:pPr>
            <w:r>
              <w:t xml:space="preserve">0.043723</w:t>
            </w:r>
          </w:p>
        </w:tc>
        <w:tc>
          <w:tcPr/>
          <w:p>
            <w:pPr>
              <w:pStyle w:val="Compact"/>
              <w:jc w:val="left"/>
            </w:pPr>
            <w:r>
              <w:t xml:space="preserve">0.015313</w:t>
            </w:r>
          </w:p>
        </w:tc>
        <w:tc>
          <w:tcPr/>
          <w:p>
            <w:pPr>
              <w:pStyle w:val="Compact"/>
              <w:jc w:val="left"/>
            </w:pPr>
            <w:r>
              <w:t xml:space="preserve">333.85</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B1 continuous</w:t>
            </w:r>
          </w:p>
        </w:tc>
        <w:tc>
          <w:tcPr/>
          <w:p>
            <w:pPr>
              <w:pStyle w:val="Compact"/>
              <w:jc w:val="left"/>
            </w:pPr>
            <w:r>
              <w:t xml:space="preserve">0.0032395</w:t>
            </w:r>
          </w:p>
        </w:tc>
        <w:tc>
          <w:tcPr/>
          <w:p>
            <w:pPr>
              <w:pStyle w:val="Compact"/>
              <w:jc w:val="left"/>
            </w:pPr>
            <w:r>
              <w:t xml:space="preserve">0.011244</w:t>
            </w:r>
          </w:p>
        </w:tc>
        <w:tc>
          <w:tcPr/>
          <w:p>
            <w:pPr>
              <w:pStyle w:val="Compact"/>
              <w:jc w:val="left"/>
            </w:pPr>
            <w:r>
              <w:t xml:space="preserve">332.61</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B1 ukf</w:t>
            </w:r>
          </w:p>
        </w:tc>
        <w:tc>
          <w:tcPr/>
          <w:p>
            <w:pPr>
              <w:pStyle w:val="Compact"/>
              <w:jc w:val="left"/>
            </w:pPr>
            <w:r>
              <w:t xml:space="preserve">0.0016471</w:t>
            </w:r>
          </w:p>
        </w:tc>
        <w:tc>
          <w:tcPr/>
          <w:p>
            <w:pPr>
              <w:pStyle w:val="Compact"/>
              <w:jc w:val="left"/>
            </w:pPr>
            <w:r>
              <w:t xml:space="preserve">0.01124</w:t>
            </w:r>
          </w:p>
        </w:tc>
        <w:tc>
          <w:tcPr/>
          <w:p>
            <w:pPr>
              <w:pStyle w:val="Compact"/>
              <w:jc w:val="left"/>
            </w:pPr>
            <w:r>
              <w:t xml:space="preserve">332.44</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B2 both</w:t>
            </w:r>
          </w:p>
        </w:tc>
        <w:tc>
          <w:tcPr/>
          <w:p>
            <w:pPr>
              <w:pStyle w:val="Compact"/>
              <w:jc w:val="left"/>
            </w:pPr>
            <w:r>
              <w:t xml:space="preserve">0.0075155</w:t>
            </w:r>
          </w:p>
        </w:tc>
        <w:tc>
          <w:tcPr/>
          <w:p>
            <w:pPr>
              <w:pStyle w:val="Compact"/>
              <w:jc w:val="left"/>
            </w:pPr>
            <w:r>
              <w:t xml:space="preserve">0.01487</w:t>
            </w:r>
          </w:p>
        </w:tc>
        <w:tc>
          <w:tcPr/>
          <w:p>
            <w:pPr>
              <w:pStyle w:val="Compact"/>
              <w:jc w:val="left"/>
            </w:pPr>
            <w:r>
              <w:t xml:space="preserve">332.93</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B2 estimator</w:t>
            </w:r>
          </w:p>
        </w:tc>
        <w:tc>
          <w:tcPr/>
          <w:p>
            <w:pPr>
              <w:pStyle w:val="Compact"/>
              <w:jc w:val="left"/>
            </w:pPr>
            <w:r>
              <w:t xml:space="preserve">0.0014342</w:t>
            </w:r>
          </w:p>
        </w:tc>
        <w:tc>
          <w:tcPr/>
          <w:p>
            <w:pPr>
              <w:pStyle w:val="Compact"/>
              <w:jc w:val="left"/>
            </w:pPr>
            <w:r>
              <w:t xml:space="preserve">0.014862</w:t>
            </w:r>
          </w:p>
        </w:tc>
        <w:tc>
          <w:tcPr/>
          <w:p>
            <w:pPr>
              <w:pStyle w:val="Compact"/>
              <w:jc w:val="left"/>
            </w:pPr>
            <w:r>
              <w:t xml:space="preserve">332.44</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B4 mhe</w:t>
            </w:r>
          </w:p>
        </w:tc>
        <w:tc>
          <w:tcPr/>
          <w:p>
            <w:pPr>
              <w:pStyle w:val="Compact"/>
              <w:jc w:val="left"/>
            </w:pPr>
            <w:r>
              <w:t xml:space="preserve">0.0016341</w:t>
            </w:r>
          </w:p>
        </w:tc>
        <w:tc>
          <w:tcPr/>
          <w:p>
            <w:pPr>
              <w:pStyle w:val="Compact"/>
              <w:jc w:val="left"/>
            </w:pPr>
            <w:r>
              <w:t xml:space="preserve">0.012091</w:t>
            </w:r>
          </w:p>
        </w:tc>
        <w:tc>
          <w:tcPr/>
          <w:p>
            <w:pPr>
              <w:pStyle w:val="Compact"/>
              <w:jc w:val="left"/>
            </w:pPr>
            <w:r>
              <w:t xml:space="preserve">332.43</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P2 regret</w:t>
            </w:r>
          </w:p>
        </w:tc>
        <w:tc>
          <w:tcPr/>
          <w:p>
            <w:pPr>
              <w:pStyle w:val="Compact"/>
              <w:jc w:val="left"/>
            </w:pPr>
            <w:r>
              <w:t xml:space="preserve">0.0014446</w:t>
            </w:r>
          </w:p>
        </w:tc>
        <w:tc>
          <w:tcPr/>
          <w:p>
            <w:pPr>
              <w:pStyle w:val="Compact"/>
              <w:jc w:val="left"/>
            </w:pPr>
            <w:r>
              <w:t xml:space="preserve">0.011249</w:t>
            </w:r>
          </w:p>
        </w:tc>
        <w:tc>
          <w:tcPr/>
          <w:p>
            <w:pPr>
              <w:pStyle w:val="Compact"/>
              <w:jc w:val="left"/>
            </w:pPr>
            <w:r>
              <w:t xml:space="preserve">332.37</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P3 adaptive regret</w:t>
            </w:r>
          </w:p>
        </w:tc>
        <w:tc>
          <w:tcPr/>
          <w:p>
            <w:pPr>
              <w:pStyle w:val="Compact"/>
              <w:jc w:val="left"/>
            </w:pPr>
            <w:r>
              <w:t xml:space="preserve">0.006065</w:t>
            </w:r>
          </w:p>
        </w:tc>
        <w:tc>
          <w:tcPr/>
          <w:p>
            <w:pPr>
              <w:pStyle w:val="Compact"/>
              <w:jc w:val="left"/>
            </w:pPr>
            <w:r>
              <w:t xml:space="preserve">0.014836</w:t>
            </w:r>
          </w:p>
        </w:tc>
        <w:tc>
          <w:tcPr/>
          <w:p>
            <w:pPr>
              <w:pStyle w:val="Compact"/>
              <w:jc w:val="left"/>
            </w:pPr>
            <w:r>
              <w:t xml:space="preserve">332.89</w:t>
            </w:r>
          </w:p>
        </w:tc>
        <w:tc>
          <w:tcPr/>
          <w:p>
            <w:pPr>
              <w:pStyle w:val="Compact"/>
              <w:jc w:val="left"/>
            </w:pPr>
            <w:r>
              <w:t xml:space="preserve">0</w:t>
            </w:r>
          </w:p>
        </w:tc>
      </w:tr>
    </w:tbl>
    <w:bookmarkEnd w:id="39"/>
    <w:bookmarkStart w:id="40" w:name="confirmação-independente"/>
    <w:p>
      <w:pPr>
        <w:pStyle w:val="Heading2"/>
      </w:pPr>
      <w:r>
        <w:rPr>
          <w:rStyle w:val="SectionNumber"/>
        </w:rPr>
        <w:t xml:space="preserve">9.4</w:t>
      </w:r>
      <w:r>
        <w:tab/>
      </w:r>
      <w:r>
        <w:t xml:space="preserve">Confirmação independente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Candidate</w:t>
            </w:r>
          </w:p>
        </w:tc>
        <w:tc>
          <w:tcPr/>
          <w:p>
            <w:pPr>
              <w:pStyle w:val="Compact"/>
              <w:jc w:val="left"/>
            </w:pPr>
            <w:r>
              <w:t xml:space="preserve">Baseline</w:t>
            </w:r>
          </w:p>
        </w:tc>
        <w:tc>
          <w:tcPr/>
          <w:p>
            <w:pPr>
              <w:pStyle w:val="Compact"/>
              <w:jc w:val="left"/>
            </w:pPr>
            <w:r>
              <w:t xml:space="preserve">Gain (%)</w:t>
            </w:r>
          </w:p>
        </w:tc>
        <w:tc>
          <w:tcPr/>
          <w:p>
            <w:pPr>
              <w:pStyle w:val="Compact"/>
              <w:jc w:val="left"/>
            </w:pPr>
            <w:r>
              <w:t xml:space="preserve">CI lower</w:t>
            </w:r>
          </w:p>
        </w:tc>
        <w:tc>
          <w:tcPr/>
          <w:p>
            <w:pPr>
              <w:pStyle w:val="Compact"/>
              <w:jc w:val="left"/>
            </w:pPr>
            <w:r>
              <w:t xml:space="preserve">CI upper</w:t>
            </w:r>
          </w:p>
        </w:tc>
      </w:tr>
      <w:tr>
        <w:tc>
          <w:tcPr/>
          <w:p>
            <w:pPr>
              <w:pStyle w:val="Compact"/>
              <w:jc w:val="left"/>
            </w:pPr>
            <w:r>
              <w:t xml:space="preserve">P2 regret</w:t>
            </w:r>
          </w:p>
        </w:tc>
        <w:tc>
          <w:tcPr/>
          <w:p>
            <w:pPr>
              <w:pStyle w:val="Compact"/>
              <w:jc w:val="left"/>
            </w:pPr>
            <w:r>
              <w:t xml:space="preserve">B1 ukf</w:t>
            </w:r>
          </w:p>
        </w:tc>
        <w:tc>
          <w:tcPr/>
          <w:p>
            <w:pPr>
              <w:pStyle w:val="Compact"/>
              <w:jc w:val="left"/>
            </w:pPr>
            <w:r>
              <w:t xml:space="preserve">1.6012</w:t>
            </w:r>
          </w:p>
        </w:tc>
        <w:tc>
          <w:tcPr/>
          <w:p>
            <w:pPr>
              <w:pStyle w:val="Compact"/>
              <w:jc w:val="left"/>
            </w:pPr>
            <w:r>
              <w:t xml:space="preserve">-0.0009961</w:t>
            </w:r>
          </w:p>
        </w:tc>
        <w:tc>
          <w:tcPr/>
          <w:p>
            <w:pPr>
              <w:pStyle w:val="Compact"/>
              <w:jc w:val="left"/>
            </w:pPr>
            <w:r>
              <w:t xml:space="preserve">0.00542</w:t>
            </w:r>
          </w:p>
        </w:tc>
      </w:tr>
      <w:tr>
        <w:tc>
          <w:tcPr/>
          <w:p>
            <w:pPr>
              <w:pStyle w:val="Compact"/>
              <w:jc w:val="left"/>
            </w:pPr>
            <w:r>
              <w:t xml:space="preserve">P3 adaptive regret</w:t>
            </w:r>
          </w:p>
        </w:tc>
        <w:tc>
          <w:tcPr/>
          <w:p>
            <w:pPr>
              <w:pStyle w:val="Compact"/>
              <w:jc w:val="left"/>
            </w:pPr>
            <w:r>
              <w:t xml:space="preserve">B2 both</w:t>
            </w:r>
          </w:p>
        </w:tc>
        <w:tc>
          <w:tcPr/>
          <w:p>
            <w:pPr>
              <w:pStyle w:val="Compact"/>
              <w:jc w:val="left"/>
            </w:pPr>
            <w:r>
              <w:t xml:space="preserve">0.39846</w:t>
            </w:r>
          </w:p>
        </w:tc>
        <w:tc>
          <w:tcPr/>
          <w:p>
            <w:pPr>
              <w:pStyle w:val="Compact"/>
              <w:jc w:val="left"/>
            </w:pPr>
            <w:r>
              <w:t xml:space="preserve">-0.0004547</w:t>
            </w:r>
          </w:p>
        </w:tc>
        <w:tc>
          <w:tcPr/>
          <w:p>
            <w:pPr>
              <w:pStyle w:val="Compact"/>
              <w:jc w:val="left"/>
            </w:pPr>
            <w:r>
              <w:t xml:space="preserve">0.0010219</w:t>
            </w:r>
          </w:p>
        </w:tc>
      </w:tr>
      <w:tr>
        <w:tc>
          <w:tcPr/>
          <w:p>
            <w:pPr>
              <w:pStyle w:val="Compact"/>
              <w:jc w:val="left"/>
            </w:pPr>
            <w:r>
              <w:t xml:space="preserve">B2 both</w:t>
            </w:r>
          </w:p>
        </w:tc>
        <w:tc>
          <w:tcPr/>
          <w:p>
            <w:pPr>
              <w:pStyle w:val="Compact"/>
              <w:jc w:val="left"/>
            </w:pPr>
            <w:r>
              <w:t xml:space="preserve">B2 estimator</w:t>
            </w:r>
          </w:p>
        </w:tc>
        <w:tc>
          <w:tcPr/>
          <w:p>
            <w:pPr>
              <w:pStyle w:val="Compact"/>
              <w:jc w:val="left"/>
            </w:pPr>
            <w:r>
              <w:t xml:space="preserve">59.47</w:t>
            </w:r>
          </w:p>
        </w:tc>
        <w:tc>
          <w:tcPr/>
          <w:p>
            <w:pPr>
              <w:pStyle w:val="Compact"/>
              <w:jc w:val="left"/>
            </w:pPr>
            <w:r>
              <w:t xml:space="preserve">0.087979</w:t>
            </w:r>
          </w:p>
        </w:tc>
        <w:tc>
          <w:tcPr/>
          <w:p>
            <w:pPr>
              <w:pStyle w:val="Compact"/>
              <w:jc w:val="left"/>
            </w:pPr>
            <w:r>
              <w:t xml:space="preserve">0.093852</w:t>
            </w:r>
          </w:p>
        </w:tc>
      </w:tr>
      <w:tr>
        <w:tc>
          <w:tcPr/>
          <w:p>
            <w:pPr>
              <w:pStyle w:val="Compact"/>
              <w:jc w:val="left"/>
            </w:pPr>
            <w:r>
              <w:t xml:space="preserve">B2 estimator</w:t>
            </w:r>
          </w:p>
        </w:tc>
        <w:tc>
          <w:tcPr/>
          <w:p>
            <w:pPr>
              <w:pStyle w:val="Compact"/>
              <w:jc w:val="left"/>
            </w:pPr>
            <w:r>
              <w:t xml:space="preserve">B1 ukf</w:t>
            </w:r>
          </w:p>
        </w:tc>
        <w:tc>
          <w:tcPr/>
          <w:p>
            <w:pPr>
              <w:pStyle w:val="Compact"/>
              <w:jc w:val="left"/>
            </w:pPr>
            <w:r>
              <w:t xml:space="preserve">-10.663</w:t>
            </w:r>
          </w:p>
        </w:tc>
        <w:tc>
          <w:tcPr/>
          <w:p>
            <w:pPr>
              <w:pStyle w:val="Compact"/>
              <w:jc w:val="left"/>
            </w:pPr>
            <w:r>
              <w:t xml:space="preserve">-0.018306</w:t>
            </w:r>
          </w:p>
        </w:tc>
        <w:tc>
          <w:tcPr/>
          <w:p>
            <w:pPr>
              <w:pStyle w:val="Compact"/>
              <w:jc w:val="left"/>
            </w:pPr>
            <w:r>
              <w:t xml:space="preserve">-0.011301</w:t>
            </w:r>
          </w:p>
        </w:tc>
      </w:tr>
      <w:tr>
        <w:tc>
          <w:tcPr/>
          <w:p>
            <w:pPr>
              <w:pStyle w:val="Compact"/>
              <w:jc w:val="left"/>
            </w:pPr>
            <w:r>
              <w:t xml:space="preserve">B2 both</w:t>
            </w:r>
          </w:p>
        </w:tc>
        <w:tc>
          <w:tcPr/>
          <w:p>
            <w:pPr>
              <w:pStyle w:val="Compact"/>
              <w:jc w:val="left"/>
            </w:pPr>
            <w:r>
              <w:t xml:space="preserve">B1 ukf</w:t>
            </w:r>
          </w:p>
        </w:tc>
        <w:tc>
          <w:tcPr/>
          <w:p>
            <w:pPr>
              <w:pStyle w:val="Compact"/>
              <w:jc w:val="left"/>
            </w:pPr>
            <w:r>
              <w:t xml:space="preserve">55.148</w:t>
            </w:r>
          </w:p>
        </w:tc>
        <w:tc>
          <w:tcPr/>
          <w:p>
            <w:pPr>
              <w:pStyle w:val="Compact"/>
              <w:jc w:val="left"/>
            </w:pPr>
            <w:r>
              <w:t xml:space="preserve">0.07268</w:t>
            </w:r>
          </w:p>
        </w:tc>
        <w:tc>
          <w:tcPr/>
          <w:p>
            <w:pPr>
              <w:pStyle w:val="Compact"/>
              <w:jc w:val="left"/>
            </w:pPr>
            <w:r>
              <w:t xml:space="preserve">0.079613</w:t>
            </w:r>
          </w:p>
        </w:tc>
      </w:tr>
      <w:tr>
        <w:tc>
          <w:tcPr/>
          <w:p>
            <w:pPr>
              <w:pStyle w:val="Compact"/>
              <w:jc w:val="left"/>
            </w:pPr>
            <w:r>
              <w:t xml:space="preserve">P3 adaptive regret</w:t>
            </w:r>
          </w:p>
        </w:tc>
        <w:tc>
          <w:tcPr/>
          <w:p>
            <w:pPr>
              <w:pStyle w:val="Compact"/>
              <w:jc w:val="left"/>
            </w:pPr>
            <w:r>
              <w:t xml:space="preserve">B1 ukf</w:t>
            </w:r>
          </w:p>
        </w:tc>
        <w:tc>
          <w:tcPr/>
          <w:p>
            <w:pPr>
              <w:pStyle w:val="Compact"/>
              <w:jc w:val="left"/>
            </w:pPr>
            <w:r>
              <w:t xml:space="preserve">55.327</w:t>
            </w:r>
          </w:p>
        </w:tc>
        <w:tc>
          <w:tcPr/>
          <w:p>
            <w:pPr>
              <w:pStyle w:val="Compact"/>
              <w:jc w:val="left"/>
            </w:pPr>
            <w:r>
              <w:t xml:space="preserve">0.07309</w:t>
            </w:r>
          </w:p>
        </w:tc>
        <w:tc>
          <w:tcPr/>
          <w:p>
            <w:pPr>
              <w:pStyle w:val="Compact"/>
              <w:jc w:val="left"/>
            </w:pPr>
            <w:r>
              <w:t xml:space="preserve">0.07969</w:t>
            </w:r>
          </w:p>
        </w:tc>
      </w:tr>
    </w:tbl>
    <w:bookmarkEnd w:id="40"/>
    <w:bookmarkStart w:id="41" w:name="resultados-adversos-preservados"/>
    <w:p>
      <w:pPr>
        <w:pStyle w:val="Heading2"/>
      </w:pPr>
      <w:r>
        <w:rPr>
          <w:rStyle w:val="SectionNumber"/>
        </w:rPr>
        <w:t xml:space="preserve">9.5</w:t>
      </w:r>
      <w:r>
        <w:tab/>
      </w:r>
      <w:r>
        <w:t xml:space="preserve">Resultados adversos preservados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scenario</w:t>
            </w:r>
          </w:p>
        </w:tc>
        <w:tc>
          <w:tcPr/>
          <w:p>
            <w:pPr>
              <w:pStyle w:val="Compact"/>
              <w:jc w:val="left"/>
            </w:pPr>
            <w:r>
              <w:t xml:space="preserve">Candidate</w:t>
            </w:r>
          </w:p>
        </w:tc>
        <w:tc>
          <w:tcPr/>
          <w:p>
            <w:pPr>
              <w:pStyle w:val="Compact"/>
              <w:jc w:val="left"/>
            </w:pPr>
            <w:r>
              <w:t xml:space="preserve">Gain (%)</w:t>
            </w:r>
          </w:p>
        </w:tc>
        <w:tc>
          <w:tcPr/>
          <w:p>
            <w:pPr>
              <w:pStyle w:val="Compact"/>
              <w:jc w:val="left"/>
            </w:pPr>
            <w:r>
              <w:t xml:space="preserve">CI lower</w:t>
            </w:r>
          </w:p>
        </w:tc>
        <w:tc>
          <w:tcPr/>
          <w:p>
            <w:pPr>
              <w:pStyle w:val="Compact"/>
              <w:jc w:val="left"/>
            </w:pPr>
            <w:r>
              <w:t xml:space="preserve">CI upper</w:t>
            </w:r>
          </w:p>
        </w:tc>
      </w:tr>
      <w:tr>
        <w:tc>
          <w:tcPr/>
          <w:p>
            <w:pPr>
              <w:pStyle w:val="Compact"/>
              <w:jc w:val="left"/>
            </w:pPr>
            <w:r>
              <w:t xml:space="preserve">correlated noise</w:t>
            </w:r>
          </w:p>
        </w:tc>
        <w:tc>
          <w:tcPr/>
          <w:p>
            <w:pPr>
              <w:pStyle w:val="Compact"/>
              <w:jc w:val="left"/>
            </w:pPr>
            <w:r>
              <w:t xml:space="preserve">B0 PI</w:t>
            </w:r>
          </w:p>
        </w:tc>
        <w:tc>
          <w:tcPr/>
          <w:p>
            <w:pPr>
              <w:pStyle w:val="Compact"/>
              <w:jc w:val="left"/>
            </w:pPr>
            <w:r>
              <w:t xml:space="preserve">-592.59</w:t>
            </w:r>
          </w:p>
        </w:tc>
        <w:tc>
          <w:tcPr/>
          <w:p>
            <w:pPr>
              <w:pStyle w:val="Compact"/>
              <w:jc w:val="left"/>
            </w:pPr>
            <w:r>
              <w:t xml:space="preserve">-0.012046</w:t>
            </w:r>
          </w:p>
        </w:tc>
        <w:tc>
          <w:tcPr/>
          <w:p>
            <w:pPr>
              <w:pStyle w:val="Compact"/>
              <w:jc w:val="left"/>
            </w:pPr>
            <w:r>
              <w:t xml:space="preserve">-0.0090047</w:t>
            </w:r>
          </w:p>
        </w:tc>
      </w:tr>
      <w:tr>
        <w:tc>
          <w:tcPr/>
          <w:p>
            <w:pPr>
              <w:pStyle w:val="Compact"/>
              <w:jc w:val="left"/>
            </w:pPr>
            <w:r>
              <w:t xml:space="preserve">saturation</w:t>
            </w:r>
          </w:p>
        </w:tc>
        <w:tc>
          <w:tcPr/>
          <w:p>
            <w:pPr>
              <w:pStyle w:val="Compact"/>
              <w:jc w:val="left"/>
            </w:pPr>
            <w:r>
              <w:t xml:space="preserve">P5 noisy</w:t>
            </w:r>
          </w:p>
        </w:tc>
        <w:tc>
          <w:tcPr/>
          <w:p>
            <w:pPr>
              <w:pStyle w:val="Compact"/>
              <w:jc w:val="left"/>
            </w:pPr>
            <w:r>
              <w:t xml:space="preserve">-453.52</w:t>
            </w:r>
          </w:p>
        </w:tc>
        <w:tc>
          <w:tcPr/>
          <w:p>
            <w:pPr>
              <w:pStyle w:val="Compact"/>
              <w:jc w:val="left"/>
            </w:pPr>
            <w:r>
              <w:t xml:space="preserve">-0.011561</w:t>
            </w:r>
          </w:p>
        </w:tc>
        <w:tc>
          <w:tcPr/>
          <w:p>
            <w:pPr>
              <w:pStyle w:val="Compact"/>
              <w:jc w:val="left"/>
            </w:pPr>
            <w:r>
              <w:t xml:space="preserve">-0.0035668</w:t>
            </w:r>
          </w:p>
        </w:tc>
      </w:tr>
      <w:tr>
        <w:tc>
          <w:tcPr/>
          <w:p>
            <w:pPr>
              <w:pStyle w:val="Compact"/>
              <w:jc w:val="left"/>
            </w:pPr>
            <w:r>
              <w:t xml:space="preserve">saturation</w:t>
            </w:r>
          </w:p>
        </w:tc>
        <w:tc>
          <w:tcPr/>
          <w:p>
            <w:pPr>
              <w:pStyle w:val="Compact"/>
              <w:jc w:val="left"/>
            </w:pPr>
            <w:r>
              <w:t xml:space="preserve">B2 both</w:t>
            </w:r>
          </w:p>
        </w:tc>
        <w:tc>
          <w:tcPr/>
          <w:p>
            <w:pPr>
              <w:pStyle w:val="Compact"/>
              <w:jc w:val="left"/>
            </w:pPr>
            <w:r>
              <w:t xml:space="preserve">-414.81</w:t>
            </w:r>
          </w:p>
        </w:tc>
        <w:tc>
          <w:tcPr/>
          <w:p>
            <w:pPr>
              <w:pStyle w:val="Compact"/>
              <w:jc w:val="left"/>
            </w:pPr>
            <w:r>
              <w:t xml:space="preserve">-0.0099462</w:t>
            </w:r>
          </w:p>
        </w:tc>
        <w:tc>
          <w:tcPr/>
          <w:p>
            <w:pPr>
              <w:pStyle w:val="Compact"/>
              <w:jc w:val="left"/>
            </w:pPr>
            <w:r>
              <w:t xml:space="preserve">-0.00387</w:t>
            </w:r>
          </w:p>
        </w:tc>
      </w:tr>
      <w:tr>
        <w:tc>
          <w:tcPr/>
          <w:p>
            <w:pPr>
              <w:pStyle w:val="Compact"/>
              <w:jc w:val="left"/>
            </w:pPr>
            <w:r>
              <w:t xml:space="preserve">correlated noise</w:t>
            </w:r>
          </w:p>
        </w:tc>
        <w:tc>
          <w:tcPr/>
          <w:p>
            <w:pPr>
              <w:pStyle w:val="Compact"/>
              <w:jc w:val="left"/>
            </w:pPr>
            <w:r>
              <w:t xml:space="preserve">B2 both</w:t>
            </w:r>
          </w:p>
        </w:tc>
        <w:tc>
          <w:tcPr/>
          <w:p>
            <w:pPr>
              <w:pStyle w:val="Compact"/>
              <w:jc w:val="left"/>
            </w:pPr>
            <w:r>
              <w:t xml:space="preserve">-398.96</w:t>
            </w:r>
          </w:p>
        </w:tc>
        <w:tc>
          <w:tcPr/>
          <w:p>
            <w:pPr>
              <w:pStyle w:val="Compact"/>
              <w:jc w:val="left"/>
            </w:pPr>
            <w:r>
              <w:t xml:space="preserve">-0.010116</w:t>
            </w:r>
          </w:p>
        </w:tc>
        <w:tc>
          <w:tcPr/>
          <w:p>
            <w:pPr>
              <w:pStyle w:val="Compact"/>
              <w:jc w:val="left"/>
            </w:pPr>
            <w:r>
              <w:t xml:space="preserve">-0.0040413</w:t>
            </w:r>
          </w:p>
        </w:tc>
      </w:tr>
      <w:tr>
        <w:tc>
          <w:tcPr/>
          <w:p>
            <w:pPr>
              <w:pStyle w:val="Compact"/>
              <w:jc w:val="left"/>
            </w:pPr>
            <w:r>
              <w:t xml:space="preserve">dropout</w:t>
            </w:r>
          </w:p>
        </w:tc>
        <w:tc>
          <w:tcPr/>
          <w:p>
            <w:pPr>
              <w:pStyle w:val="Compact"/>
              <w:jc w:val="left"/>
            </w:pPr>
            <w:r>
              <w:t xml:space="preserve">P5 noisy</w:t>
            </w:r>
          </w:p>
        </w:tc>
        <w:tc>
          <w:tcPr/>
          <w:p>
            <w:pPr>
              <w:pStyle w:val="Compact"/>
              <w:jc w:val="left"/>
            </w:pPr>
            <w:r>
              <w:t xml:space="preserve">-381.22</w:t>
            </w:r>
          </w:p>
        </w:tc>
        <w:tc>
          <w:tcPr/>
          <w:p>
            <w:pPr>
              <w:pStyle w:val="Compact"/>
              <w:jc w:val="left"/>
            </w:pPr>
            <w:r>
              <w:t xml:space="preserve">-0.0093647</w:t>
            </w:r>
          </w:p>
        </w:tc>
        <w:tc>
          <w:tcPr/>
          <w:p>
            <w:pPr>
              <w:pStyle w:val="Compact"/>
              <w:jc w:val="left"/>
            </w:pPr>
            <w:r>
              <w:t xml:space="preserve">-0.0033412</w:t>
            </w:r>
          </w:p>
        </w:tc>
      </w:tr>
      <w:tr>
        <w:tc>
          <w:tcPr/>
          <w:p>
            <w:pPr>
              <w:pStyle w:val="Compact"/>
              <w:jc w:val="left"/>
            </w:pPr>
            <w:r>
              <w:t xml:space="preserve">nominal</w:t>
            </w:r>
          </w:p>
        </w:tc>
        <w:tc>
          <w:tcPr/>
          <w:p>
            <w:pPr>
              <w:pStyle w:val="Compact"/>
              <w:jc w:val="left"/>
            </w:pPr>
            <w:r>
              <w:t xml:space="preserve">P5 noisy</w:t>
            </w:r>
          </w:p>
        </w:tc>
        <w:tc>
          <w:tcPr/>
          <w:p>
            <w:pPr>
              <w:pStyle w:val="Compact"/>
              <w:jc w:val="left"/>
            </w:pPr>
            <w:r>
              <w:t xml:space="preserve">-381.22</w:t>
            </w:r>
          </w:p>
        </w:tc>
        <w:tc>
          <w:tcPr/>
          <w:p>
            <w:pPr>
              <w:pStyle w:val="Compact"/>
              <w:jc w:val="left"/>
            </w:pPr>
            <w:r>
              <w:t xml:space="preserve">-0.0093315</w:t>
            </w:r>
          </w:p>
        </w:tc>
        <w:tc>
          <w:tcPr/>
          <w:p>
            <w:pPr>
              <w:pStyle w:val="Compact"/>
              <w:jc w:val="left"/>
            </w:pPr>
            <w:r>
              <w:t xml:space="preserve">-0.0032564</w:t>
            </w:r>
          </w:p>
        </w:tc>
      </w:tr>
      <w:tr>
        <w:tc>
          <w:tcPr/>
          <w:p>
            <w:pPr>
              <w:pStyle w:val="Compact"/>
              <w:jc w:val="left"/>
            </w:pPr>
            <w:r>
              <w:t xml:space="preserve">correlated noise</w:t>
            </w:r>
          </w:p>
        </w:tc>
        <w:tc>
          <w:tcPr/>
          <w:p>
            <w:pPr>
              <w:pStyle w:val="Compact"/>
              <w:jc w:val="left"/>
            </w:pPr>
            <w:r>
              <w:t xml:space="preserve">P4 hybrid</w:t>
            </w:r>
          </w:p>
        </w:tc>
        <w:tc>
          <w:tcPr/>
          <w:p>
            <w:pPr>
              <w:pStyle w:val="Compact"/>
              <w:jc w:val="left"/>
            </w:pPr>
            <w:r>
              <w:t xml:space="preserve">-360.46</w:t>
            </w:r>
          </w:p>
        </w:tc>
        <w:tc>
          <w:tcPr/>
          <w:p>
            <w:pPr>
              <w:pStyle w:val="Compact"/>
              <w:jc w:val="left"/>
            </w:pPr>
            <w:r>
              <w:t xml:space="preserve">-0.0095007</w:t>
            </w:r>
          </w:p>
        </w:tc>
        <w:tc>
          <w:tcPr/>
          <w:p>
            <w:pPr>
              <w:pStyle w:val="Compact"/>
              <w:jc w:val="left"/>
            </w:pPr>
            <w:r>
              <w:t xml:space="preserve">-0.0035447</w:t>
            </w:r>
          </w:p>
        </w:tc>
      </w:tr>
      <w:tr>
        <w:tc>
          <w:tcPr/>
          <w:p>
            <w:pPr>
              <w:pStyle w:val="Compact"/>
              <w:jc w:val="left"/>
            </w:pPr>
            <w:r>
              <w:t xml:space="preserve">nominal</w:t>
            </w:r>
          </w:p>
        </w:tc>
        <w:tc>
          <w:tcPr/>
          <w:p>
            <w:pPr>
              <w:pStyle w:val="Compact"/>
              <w:jc w:val="left"/>
            </w:pPr>
            <w:r>
              <w:t xml:space="preserve">B2 both</w:t>
            </w:r>
          </w:p>
        </w:tc>
        <w:tc>
          <w:tcPr/>
          <w:p>
            <w:pPr>
              <w:pStyle w:val="Compact"/>
              <w:jc w:val="left"/>
            </w:pPr>
            <w:r>
              <w:t xml:space="preserve">-356.27</w:t>
            </w:r>
          </w:p>
        </w:tc>
        <w:tc>
          <w:tcPr/>
          <w:p>
            <w:pPr>
              <w:pStyle w:val="Compact"/>
              <w:jc w:val="left"/>
            </w:pPr>
            <w:r>
              <w:t xml:space="preserve">-0.0083201</w:t>
            </w:r>
          </w:p>
        </w:tc>
        <w:tc>
          <w:tcPr/>
          <w:p>
            <w:pPr>
              <w:pStyle w:val="Compact"/>
              <w:jc w:val="left"/>
            </w:pPr>
            <w:r>
              <w:t xml:space="preserve">-0.0034261</w:t>
            </w:r>
          </w:p>
        </w:tc>
      </w:tr>
      <w:tr>
        <w:tc>
          <w:tcPr/>
          <w:p>
            <w:pPr>
              <w:pStyle w:val="Compact"/>
              <w:jc w:val="left"/>
            </w:pPr>
            <w:r>
              <w:t xml:space="preserve">correlated noise</w:t>
            </w:r>
          </w:p>
        </w:tc>
        <w:tc>
          <w:tcPr/>
          <w:p>
            <w:pPr>
              <w:pStyle w:val="Compact"/>
              <w:jc w:val="left"/>
            </w:pPr>
            <w:r>
              <w:t xml:space="preserve">P3 adaptive regret</w:t>
            </w:r>
          </w:p>
        </w:tc>
        <w:tc>
          <w:tcPr/>
          <w:p>
            <w:pPr>
              <w:pStyle w:val="Compact"/>
              <w:jc w:val="left"/>
            </w:pPr>
            <w:r>
              <w:t xml:space="preserve">-335.06</w:t>
            </w:r>
          </w:p>
        </w:tc>
        <w:tc>
          <w:tcPr/>
          <w:p>
            <w:pPr>
              <w:pStyle w:val="Compact"/>
              <w:jc w:val="left"/>
            </w:pPr>
            <w:r>
              <w:t xml:space="preserve">-0.0088984</w:t>
            </w:r>
          </w:p>
        </w:tc>
        <w:tc>
          <w:tcPr/>
          <w:p>
            <w:pPr>
              <w:pStyle w:val="Compact"/>
              <w:jc w:val="left"/>
            </w:pPr>
            <w:r>
              <w:t xml:space="preserve">-0.0031583</w:t>
            </w:r>
          </w:p>
        </w:tc>
      </w:tr>
      <w:tr>
        <w:tc>
          <w:tcPr/>
          <w:p>
            <w:pPr>
              <w:pStyle w:val="Compact"/>
              <w:jc w:val="left"/>
            </w:pPr>
            <w:r>
              <w:t xml:space="preserve">dropout</w:t>
            </w:r>
          </w:p>
        </w:tc>
        <w:tc>
          <w:tcPr/>
          <w:p>
            <w:pPr>
              <w:pStyle w:val="Compact"/>
              <w:jc w:val="left"/>
            </w:pPr>
            <w:r>
              <w:t xml:space="preserve">B2 both</w:t>
            </w:r>
          </w:p>
        </w:tc>
        <w:tc>
          <w:tcPr/>
          <w:p>
            <w:pPr>
              <w:pStyle w:val="Compact"/>
              <w:jc w:val="left"/>
            </w:pPr>
            <w:r>
              <w:t xml:space="preserve">-324.64</w:t>
            </w:r>
          </w:p>
        </w:tc>
        <w:tc>
          <w:tcPr/>
          <w:p>
            <w:pPr>
              <w:pStyle w:val="Compact"/>
              <w:jc w:val="left"/>
            </w:pPr>
            <w:r>
              <w:t xml:space="preserve">-0.0077757</w:t>
            </w:r>
          </w:p>
        </w:tc>
        <w:tc>
          <w:tcPr/>
          <w:p>
            <w:pPr>
              <w:pStyle w:val="Compact"/>
              <w:jc w:val="left"/>
            </w:pPr>
            <w:r>
              <w:t xml:space="preserve">-0.0030081</w:t>
            </w:r>
          </w:p>
        </w:tc>
      </w:tr>
      <w:tr>
        <w:tc>
          <w:tcPr/>
          <w:p>
            <w:pPr>
              <w:pStyle w:val="Compact"/>
              <w:jc w:val="left"/>
            </w:pPr>
            <w:r>
              <w:t xml:space="preserve">saturation</w:t>
            </w:r>
          </w:p>
        </w:tc>
        <w:tc>
          <w:tcPr/>
          <w:p>
            <w:pPr>
              <w:pStyle w:val="Compact"/>
              <w:jc w:val="left"/>
            </w:pPr>
            <w:r>
              <w:t xml:space="preserve">P4 hybrid</w:t>
            </w:r>
          </w:p>
        </w:tc>
        <w:tc>
          <w:tcPr/>
          <w:p>
            <w:pPr>
              <w:pStyle w:val="Compact"/>
              <w:jc w:val="left"/>
            </w:pPr>
            <w:r>
              <w:t xml:space="preserve">-309.17</w:t>
            </w:r>
          </w:p>
        </w:tc>
        <w:tc>
          <w:tcPr/>
          <w:p>
            <w:pPr>
              <w:pStyle w:val="Compact"/>
              <w:jc w:val="left"/>
            </w:pPr>
            <w:r>
              <w:t xml:space="preserve">-0.0078871</w:t>
            </w:r>
          </w:p>
        </w:tc>
        <w:tc>
          <w:tcPr/>
          <w:p>
            <w:pPr>
              <w:pStyle w:val="Compact"/>
              <w:jc w:val="left"/>
            </w:pPr>
            <w:r>
              <w:t xml:space="preserve">-0.0026648</w:t>
            </w:r>
          </w:p>
        </w:tc>
      </w:tr>
      <w:tr>
        <w:tc>
          <w:tcPr/>
          <w:p>
            <w:pPr>
              <w:pStyle w:val="Compact"/>
              <w:jc w:val="left"/>
            </w:pPr>
            <w:r>
              <w:t xml:space="preserve">dropout</w:t>
            </w:r>
          </w:p>
        </w:tc>
        <w:tc>
          <w:tcPr/>
          <w:p>
            <w:pPr>
              <w:pStyle w:val="Compact"/>
              <w:jc w:val="left"/>
            </w:pPr>
            <w:r>
              <w:t xml:space="preserve">B0 PI</w:t>
            </w:r>
          </w:p>
        </w:tc>
        <w:tc>
          <w:tcPr/>
          <w:p>
            <w:pPr>
              <w:pStyle w:val="Compact"/>
              <w:jc w:val="left"/>
            </w:pPr>
            <w:r>
              <w:t xml:space="preserve">-305.83</w:t>
            </w:r>
          </w:p>
        </w:tc>
        <w:tc>
          <w:tcPr/>
          <w:p>
            <w:pPr>
              <w:pStyle w:val="Compact"/>
              <w:jc w:val="left"/>
            </w:pPr>
            <w:r>
              <w:t xml:space="preserve">-0.0063577</w:t>
            </w:r>
          </w:p>
        </w:tc>
        <w:tc>
          <w:tcPr/>
          <w:p>
            <w:pPr>
              <w:pStyle w:val="Compact"/>
              <w:jc w:val="left"/>
            </w:pPr>
            <w:r>
              <w:t xml:space="preserve">-0.003696</w:t>
            </w:r>
          </w:p>
        </w:tc>
      </w:tr>
    </w:tbl>
    <w:bookmarkEnd w:id="41"/>
    <w:bookmarkStart w:id="42" w:name="interpretação-dos-resultados-executados"/>
    <w:p>
      <w:pPr>
        <w:pStyle w:val="Heading2"/>
      </w:pPr>
      <w:r>
        <w:rPr>
          <w:rStyle w:val="SectionNumber"/>
        </w:rPr>
        <w:t xml:space="preserve">9.6</w:t>
      </w:r>
      <w:r>
        <w:tab/>
      </w:r>
      <w:r>
        <w:t xml:space="preserve">Interpretação dos resultados executados</w:t>
      </w:r>
    </w:p>
    <w:p>
      <w:pPr>
        <w:pStyle w:val="FirstParagraph"/>
      </w:pPr>
      <w:r>
        <w:t xml:space="preserve">P2 apresentou ganho médio adicional de 0.635% frente a B1; diferença absoluta pareada de IAE 0.000850, com IC95% [-0.001008, 0.002835] kmol h/m3. P3 acrescentou 0.657% frente ao preditor adaptado, com IC95% [-0.000207, 0.001460] em unidades absolutas de IAE. Ambos incluem zero. A confirmação independente também não estabeleceu benefício adicional. A meta exploratória de 10% para controle por ambiguidade não foi atingida.</w:t>
      </w:r>
    </w:p>
    <w:p>
      <w:pPr>
        <w:pStyle w:val="BodyText"/>
      </w:pPr>
      <w:r>
        <w:t xml:space="preserve">Compartilhar as estimativas paramétricas causais com o preditor reduziu o IAE médio de 0.146611 para 0.088095, redução de 39.91%. É atribuição dentro desta suíte e destes modelos, não demonstração de controlador universal novo. A adaptação somente do estimador piorou o IAE frente a B1, apesar de RMSE médio menor.</w:t>
      </w:r>
    </w:p>
    <w:p>
      <w:pPr>
        <w:pStyle w:val="BodyText"/>
      </w:pPr>
      <w:r>
        <w:t xml:space="preserve">P1 e B1 possuem IAE exatamente igual em toda a suíte principal, consistente com a proposição de custo esperado. A grade de nove pontos produziu diferenças médias adversas para P2 nos três cenários de sensibilidade, com apenas três sementes; não resgatou a hipótese positiva.</w:t>
      </w:r>
    </w:p>
    <w:p>
      <w:pPr>
        <w:pStyle w:val="BodyText"/>
      </w:pPr>
      <w:r>
        <w:t xml:space="preserve">A referência informada do estado tem RMSE zero, porém IAE médio 0.146790, contra 0.133960 de B1. Ela mantém preditor nominal e objetivo quadrático de horizonte finito; portanto não é limite inferior certificado do IAE atingível. É contraexemplo explícito à suposição de que RMSE menor garante tracking melhor.</w:t>
      </w:r>
    </w:p>
    <w:p>
      <w:pPr>
        <w:pStyle w:val="BodyText"/>
      </w:pPr>
      <w:r>
        <w:t xml:space="preserve">Uma amostra química inicial reduziu o IAE médio de inventory-plus em 23.33%. Quatro amostras periódicas deram o mesmo IAE nesse cenário e RMSE discretamente menor. Na suíte completa com mismatch, as políticas de amostragem implementadas não melhoraram o IAE médio. Isso é desempenho realizado dos algoritmos, não valor ótimo negativo da informação gratuita: uma política otimamente projetada poderia ignorar informação opcional adicional.</w:t>
      </w:r>
    </w:p>
    <w:p>
      <w:pPr>
        <w:pStyle w:val="BodyText"/>
      </w:pPr>
      <w:r>
        <w:t xml:space="preserve">O PI fixo obteve tracking médio favorável, mas alcançou temperatura amostrada máxima de 362.542 K, excedendo o limite do estudo em 18.281 K. Seu ganho bruto de IAE falha no critério de segurança. B1_continuous registrou falha do solver em 1.530% das decisões e acionou a contingência prevista. Ausência de aborto de trajetória não equivale à ausência de falhas do otimizador ou de violações térmicas.</w:t>
      </w:r>
    </w:p>
    <w:p>
      <w:pPr>
        <w:pStyle w:val="BodyText"/>
      </w:pPr>
      <w:r>
        <w:t xml:space="preserve">Os dados não estabelecem vencedor uniforme nem ganho substancial adicional de engenharia por representar ambiguidade. Sustentam um resultado informacional específico do modelo, a ablação útil da correção do preditor e a falsificação de interpretações simplistas de desempenho.</w:t>
      </w:r>
    </w:p>
    <w:bookmarkEnd w:id="42"/>
    <w:bookmarkEnd w:id="43"/>
    <w:bookmarkStart w:id="44" w:name="ablação-falsificação-e-interpretação"/>
    <w:p>
      <w:pPr>
        <w:pStyle w:val="Heading1"/>
      </w:pPr>
      <w:r>
        <w:rPr>
          <w:rStyle w:val="SectionNumber"/>
        </w:rPr>
        <w:t xml:space="preserve">10</w:t>
      </w:r>
      <w:r>
        <w:tab/>
      </w:r>
      <w:r>
        <w:t xml:space="preserve">Ablação, falsificação e interpretação</w:t>
      </w:r>
    </w:p>
    <w:p>
      <w:pPr>
        <w:pStyle w:val="FirstParagraph"/>
      </w:pPr>
      <w:r>
        <w:t xml:space="preserve">As comparações com a mesma informação separam decisão pontual e por representantes, correção somente do estimador e compartilhamento com o preditor, além de grade mais densa. Inventário exato e amostragem química fornecem informação adicional; seu eventual ganho não pode ser atribuído apenas à sofisticação algorítmica.</w:t>
      </w:r>
    </w:p>
    <w:p>
      <w:pPr>
        <w:pStyle w:val="BodyText"/>
      </w:pPr>
      <w:r>
        <w:t xml:space="preserve">O resultado estrutural persiste ao substituir a serpentina assimétrica por camisa recíproca mantendo capacidades caloríficas constantes. A dependência sintética de propriedades pode desfazer a compensação específica entre duas espécies, mas as diferenças térmicas podem permanecer pequenas diante do ruído. O mapa numérico utiliza uma grade de estados iniciais, não pontos estacionários fisicamente viáveis. Para ruído gaussiano independente, a Fisher correspondente é o produto da sensibilidade transposta pela sensibilidade; seus valores singulares não certificam cobertura posterior.</w:t>
      </w:r>
    </w:p>
    <w:p>
      <w:pPr>
        <w:pStyle w:val="BodyText"/>
      </w:pPr>
      <w:r>
        <w:t xml:space="preserve">A proposição do custo esperado fornece um caso nulo mais forte: gêmeos exatos e simétricos acrescentam apenas um termo de variância independente do plano ao custo quadrático. P1 não possui vantagem teórica na ação sobre a política pontual nessas condições. A auditoria suplementar verifica a identidade em nove combinações de horizonte e referência.</w:t>
      </w:r>
    </w:p>
    <w:p>
      <w:pPr>
        <w:pStyle w:val="BodyText"/>
      </w:pPr>
      <w:r>
        <w:t xml:space="preserve">Regret positivo na grade demonstra conflito nessa classe. Seu valor minimax não limita inferiormente todo controlador causal. Um oráculo informado do estado pode reduzir perda, mas referências inalcançáveis e limites de refrigeração permanecem. Preserva-se a expectativa experimental inicialmente refutada: diferença térmica de 9.516165278e-7 K não ultrapassou o corte arbitrário 1e-6 K. A verificação de implementação foi substituída por identidade exata de capacidade térmica, sem exigir resultado favorável na separabilidade científica.</w:t>
      </w:r>
    </w:p>
    <w:bookmarkEnd w:id="44"/>
    <w:bookmarkStart w:id="45" w:name="limitações-e-condição-para-publicação"/>
    <w:p>
      <w:pPr>
        <w:pStyle w:val="Heading1"/>
      </w:pPr>
      <w:r>
        <w:rPr>
          <w:rStyle w:val="SectionNumber"/>
        </w:rPr>
        <w:t xml:space="preserve">11</w:t>
      </w:r>
      <w:r>
        <w:tab/>
      </w:r>
      <w:r>
        <w:t xml:space="preserve">Limitações e condição para publicação</w:t>
      </w:r>
    </w:p>
    <w:p>
      <w:pPr>
        <w:pStyle w:val="FirstParagraph"/>
      </w:pPr>
      <w:r>
        <w:t xml:space="preserve">Os números históricos 0.951143, 0.850912, 0.358768 e 14.60% possuem fontes documentais identificadas, mas seus protocolos não foram reexecutados. O NMPC de dois blocos, PI fixo e MHE curto desta campanha não representam os melhores baselines disponíveis. Permanecem horizontes maiores, otimização contínua de seis movimentos, sintonia sistemática em desenvolvimento, outras variáveis químicas medidas e stress tests fechados nas famílias físicas.</w:t>
      </w:r>
    </w:p>
    <w:p>
      <w:pPr>
        <w:pStyle w:val="BodyText"/>
      </w:pPr>
      <w:r>
        <w:t xml:space="preserve">Além do menor explícito de Lie no quociente M0, não foram concluídos mapas completos de derivadas de Lie, calibração de limites estatísticos práticos, dinâmica real de analisadores, segurança entre amostras, margens rigorosas de recuperação e tempos no Ryzen. A covariância atribuída ao MHE vem da aproximação UKF de chegada; sua cobertura é apenas diagnóstica. Não se informa NEES completo porque os históricos de covariância completa não foram salvos. Tempos decisórios excluem parte da programação das amostras; tempos totais dos episódios estão registrados. Não se afirma produção dentro de especificação nem perda econômica, pois não foram definidos limites comerciais ou preços. Trata-se de simulação, sem ensaio industrial.</w:t>
      </w:r>
    </w:p>
    <w:p>
      <w:pPr>
        <w:pStyle w:val="BodyText"/>
      </w:pPr>
      <w:r>
        <w:t xml:space="preserve">O artigo ainda não está pronto para submissão como demonstração de um controlador superior. O caminho defensável é a classificação estrutural e a auditoria reproduzível de decisão, após validação de propriedades físicas, revisão mais abrangente de originalidade e revisão técnica independente.</w:t>
      </w:r>
    </w:p>
    <w:bookmarkEnd w:id="45"/>
    <w:bookmarkStart w:id="46" w:name="conclusões"/>
    <w:p>
      <w:pPr>
        <w:pStyle w:val="Heading1"/>
      </w:pPr>
      <w:r>
        <w:rPr>
          <w:rStyle w:val="SectionNumber"/>
        </w:rPr>
        <w:t xml:space="preserve">12</w:t>
      </w:r>
      <w:r>
        <w:tab/>
      </w:r>
      <w:r>
        <w:t xml:space="preserve">Conclusões</w:t>
      </w:r>
    </w:p>
    <w:p>
      <w:pPr>
        <w:pStyle w:val="FirstParagraph"/>
      </w:pPr>
      <w:r>
        <w:t xml:space="preserve">O modelo recuperado impõe um limite informacional específico que não desaparece com a troca da arquitetura do estimador. Realimentação da camisa é insuficiente para removê-lo quando as capacidades caloríficas são constantes. A importância para o controle depende do objetivo, da viabilidade e da classe de ações. Os dados documentam as comparações executadas e seus casos negativos, sustentando uma contribuição computacional delimitada e mantendo explícita a incompletude da missão integral.</w:t>
      </w:r>
    </w:p>
    <w:bookmarkEnd w:id="46"/>
    <w:bookmarkStart w:id="47" w:name="auditoria-das-conclusões"/>
    <w:p>
      <w:pPr>
        <w:pStyle w:val="Heading1"/>
      </w:pPr>
      <w:r>
        <w:rPr>
          <w:rStyle w:val="SectionNumber"/>
        </w:rPr>
        <w:t xml:space="preserve">13</w:t>
      </w:r>
      <w:r>
        <w:tab/>
      </w:r>
      <w:r>
        <w:t xml:space="preserve">Auditoria das conclusões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Questão</w:t>
            </w:r>
          </w:p>
        </w:tc>
        <w:tc>
          <w:tcPr/>
          <w:p>
            <w:pPr>
              <w:pStyle w:val="Compact"/>
              <w:jc w:val="left"/>
            </w:pPr>
            <w:r>
              <w:t xml:space="preserve">Classe de evidência</w:t>
            </w:r>
          </w:p>
        </w:tc>
        <w:tc>
          <w:tcPr/>
          <w:p>
            <w:pPr>
              <w:pStyle w:val="Compact"/>
              <w:jc w:val="left"/>
            </w:pPr>
            <w:r>
              <w:t xml:space="preserve">Conclusão</w:t>
            </w:r>
          </w:p>
        </w:tc>
      </w:tr>
      <w:tr>
        <w:tc>
          <w:tcPr/>
          <w:p>
            <w:pPr>
              <w:pStyle w:val="Compact"/>
              <w:jc w:val="left"/>
            </w:pPr>
            <w:r>
              <w:t xml:space="preserve">Q1</w:t>
            </w:r>
          </w:p>
        </w:tc>
        <w:tc>
          <w:tcPr/>
          <w:p>
            <w:pPr>
              <w:pStyle w:val="Compact"/>
              <w:jc w:val="left"/>
            </w:pPr>
            <w:r>
              <w:t xml:space="preserve">Demonstrada matematicamente</w:t>
            </w:r>
          </w:p>
        </w:tc>
        <w:tc>
          <w:tcPr/>
          <w:p>
            <w:pPr>
              <w:pStyle w:val="Compact"/>
              <w:jc w:val="left"/>
            </w:pPr>
            <w:r>
              <w:t xml:space="preserve">M0 possui classe química bidimensional indistinguível; seis estados livres não são completamente observáveis.</w:t>
            </w:r>
          </w:p>
        </w:tc>
      </w:tr>
      <w:tr>
        <w:tc>
          <w:tcPr/>
          <w:p>
            <w:pPr>
              <w:pStyle w:val="Compact"/>
              <w:jc w:val="left"/>
            </w:pPr>
            <w:r>
              <w:t xml:space="preserve">Q2</w:t>
            </w:r>
          </w:p>
        </w:tc>
        <w:tc>
          <w:tcPr/>
          <w:p>
            <w:pPr>
              <w:pStyle w:val="Compact"/>
              <w:jc w:val="left"/>
            </w:pPr>
            <w:r>
              <w:t xml:space="preserve">Parcialmente sustentada</w:t>
            </w:r>
          </w:p>
        </w:tc>
        <w:tc>
          <w:tcPr/>
          <w:p>
            <w:pPr>
              <w:pStyle w:val="Compact"/>
              <w:jc w:val="left"/>
            </w:pPr>
            <w:r>
              <w:t xml:space="preserve">A ambiguidade com Cp constante persiste com entalpia consistente e camisa recíproca; M1 físico calibrado permanece ausente.</w:t>
            </w:r>
          </w:p>
        </w:tc>
      </w:tr>
      <w:tr>
        <w:tc>
          <w:tcPr/>
          <w:p>
            <w:pPr>
              <w:pStyle w:val="Compact"/>
              <w:jc w:val="left"/>
            </w:pPr>
            <w:r>
              <w:t xml:space="preserve">Q3</w:t>
            </w:r>
          </w:p>
        </w:tc>
        <w:tc>
          <w:tcPr/>
          <w:p>
            <w:pPr>
              <w:pStyle w:val="Compact"/>
              <w:jc w:val="left"/>
            </w:pPr>
            <w:r>
              <w:t xml:space="preserve">Demonstrada matematicamente</w:t>
            </w:r>
          </w:p>
        </w:tc>
        <w:tc>
          <w:tcPr/>
          <w:p>
            <w:pPr>
              <w:pStyle w:val="Compact"/>
              <w:jc w:val="left"/>
            </w:pPr>
            <w:r>
              <w:t xml:space="preserve">O núcleo suficiente é ortogonal ao espaço funcional de CpB, CpC e CpM, com diferença em CA igual a zero.</w:t>
            </w:r>
          </w:p>
        </w:tc>
      </w:tr>
      <w:tr>
        <w:tc>
          <w:tcPr/>
          <w:p>
            <w:pPr>
              <w:pStyle w:val="Compact"/>
              <w:jc w:val="left"/>
            </w:pPr>
            <w:r>
              <w:t xml:space="preserve">Q4</w:t>
            </w:r>
          </w:p>
        </w:tc>
        <w:tc>
          <w:tcPr/>
          <w:p>
            <w:pPr>
              <w:pStyle w:val="Compact"/>
              <w:jc w:val="left"/>
            </w:pPr>
            <w:r>
              <w:t xml:space="preserve">Demonstrada matematicamente</w:t>
            </w:r>
          </w:p>
        </w:tc>
        <w:tc>
          <w:tcPr/>
          <w:p>
            <w:pPr>
              <w:pStyle w:val="Compact"/>
              <w:jc w:val="left"/>
            </w:pPr>
            <w:r>
              <w:t xml:space="preserve">Metade da separação limita o erro instantâneo no problema de dois mundos; o limite integrado é distinto.</w:t>
            </w:r>
          </w:p>
        </w:tc>
      </w:tr>
      <w:tr>
        <w:tc>
          <w:tcPr/>
          <w:p>
            <w:pPr>
              <w:pStyle w:val="Compact"/>
              <w:jc w:val="left"/>
            </w:pPr>
            <w:r>
              <w:t xml:space="preserve">Q5</w:t>
            </w:r>
          </w:p>
        </w:tc>
        <w:tc>
          <w:tcPr/>
          <w:p>
            <w:pPr>
              <w:pStyle w:val="Compact"/>
              <w:jc w:val="left"/>
            </w:pPr>
            <w:r>
              <w:t xml:space="preserve">Sustentada experimentalmente</w:t>
            </w:r>
          </w:p>
        </w:tc>
        <w:tc>
          <w:tcPr/>
          <w:p>
            <w:pPr>
              <w:pStyle w:val="Compact"/>
              <w:jc w:val="left"/>
            </w:pPr>
            <w:r>
              <w:t xml:space="preserve">Custos na classe finita determinam quando a ambiguidade altera ações; não há certificado de ótimo contínuo global.</w:t>
            </w:r>
          </w:p>
        </w:tc>
      </w:tr>
      <w:tr>
        <w:tc>
          <w:tcPr/>
          <w:p>
            <w:pPr>
              <w:pStyle w:val="Compact"/>
              <w:jc w:val="left"/>
            </w:pPr>
            <w:r>
              <w:t xml:space="preserve">Q6</w:t>
            </w:r>
          </w:p>
        </w:tc>
        <w:tc>
          <w:tcPr/>
          <w:p>
            <w:pPr>
              <w:pStyle w:val="Compact"/>
              <w:jc w:val="left"/>
            </w:pPr>
            <w:r>
              <w:t xml:space="preserve">Sustentada experimentalmente</w:t>
            </w:r>
          </w:p>
        </w:tc>
        <w:tc>
          <w:tcPr/>
          <w:p>
            <w:pPr>
              <w:pStyle w:val="Compact"/>
              <w:jc w:val="left"/>
            </w:pPr>
            <w:r>
              <w:t xml:space="preserve">Contraexemplos executados contradizem a confiabilidade geral: menor RMSE, inclusive zero, pode acompanhar IAE maior.</w:t>
            </w:r>
          </w:p>
        </w:tc>
      </w:tr>
      <w:tr>
        <w:tc>
          <w:tcPr/>
          <w:p>
            <w:pPr>
              <w:pStyle w:val="Compact"/>
              <w:jc w:val="left"/>
            </w:pPr>
            <w:r>
              <w:t xml:space="preserve">Q7</w:t>
            </w:r>
          </w:p>
        </w:tc>
        <w:tc>
          <w:tcPr/>
          <w:p>
            <w:pPr>
              <w:pStyle w:val="Compact"/>
              <w:jc w:val="left"/>
            </w:pPr>
            <w:r>
              <w:t xml:space="preserve">Sustentada experimentalmente</w:t>
            </w:r>
          </w:p>
        </w:tc>
        <w:tc>
          <w:tcPr/>
          <w:p>
            <w:pPr>
              <w:pStyle w:val="Compact"/>
              <w:jc w:val="left"/>
            </w:pPr>
            <w:r>
              <w:t xml:space="preserve">O compartilhamento com o preditor reduziu IAE médio em 39,91% contra correção somente do estimador, com confirmação independente.</w:t>
            </w:r>
          </w:p>
        </w:tc>
      </w:tr>
      <w:tr>
        <w:tc>
          <w:tcPr/>
          <w:p>
            <w:pPr>
              <w:pStyle w:val="Compact"/>
              <w:jc w:val="left"/>
            </w:pPr>
            <w:r>
              <w:t xml:space="preserve">Q8</w:t>
            </w:r>
          </w:p>
        </w:tc>
        <w:tc>
          <w:tcPr/>
          <w:p>
            <w:pPr>
              <w:pStyle w:val="Compact"/>
              <w:jc w:val="left"/>
            </w:pPr>
            <w:r>
              <w:t xml:space="preserve">Inconclusiva</w:t>
            </w:r>
          </w:p>
        </w:tc>
        <w:tc>
          <w:tcPr/>
          <w:p>
            <w:pPr>
              <w:pStyle w:val="Compact"/>
              <w:jc w:val="left"/>
            </w:pPr>
            <w:r>
              <w:t xml:space="preserve">Ganhos adicionais de 0,63%/0,66% possuem IC incluindo zero; a meta exploratória de 10% não foi atingida.</w:t>
            </w:r>
          </w:p>
        </w:tc>
      </w:tr>
      <w:tr>
        <w:tc>
          <w:tcPr/>
          <w:p>
            <w:pPr>
              <w:pStyle w:val="Compact"/>
              <w:jc w:val="left"/>
            </w:pPr>
            <w:r>
              <w:t xml:space="preserve">Q9</w:t>
            </w:r>
          </w:p>
        </w:tc>
        <w:tc>
          <w:tcPr/>
          <w:p>
            <w:pPr>
              <w:pStyle w:val="Compact"/>
              <w:jc w:val="left"/>
            </w:pPr>
            <w:r>
              <w:t xml:space="preserve">Sustentada experimentalmente</w:t>
            </w:r>
          </w:p>
        </w:tc>
        <w:tc>
          <w:tcPr/>
          <w:p>
            <w:pPr>
              <w:pStyle w:val="Compact"/>
              <w:jc w:val="left"/>
            </w:pPr>
            <w:r>
              <w:t xml:space="preserve">Regimes adversos são preservados nas tabelas e em contrasts.csv.</w:t>
            </w:r>
          </w:p>
        </w:tc>
      </w:tr>
      <w:tr>
        <w:tc>
          <w:tcPr/>
          <w:p>
            <w:pPr>
              <w:pStyle w:val="Compact"/>
              <w:jc w:val="left"/>
            </w:pPr>
            <w:r>
              <w:t xml:space="preserve">Q10</w:t>
            </w:r>
          </w:p>
        </w:tc>
        <w:tc>
          <w:tcPr/>
          <w:p>
            <w:pPr>
              <w:pStyle w:val="Compact"/>
              <w:jc w:val="left"/>
            </w:pPr>
            <w:r>
              <w:t xml:space="preserve">Parcialmente sustentada</w:t>
            </w:r>
          </w:p>
        </w:tc>
        <w:tc>
          <w:tcPr/>
          <w:p>
            <w:pPr>
              <w:pStyle w:val="Compact"/>
              <w:jc w:val="left"/>
            </w:pPr>
            <w:r>
              <w:t xml:space="preserve">Somente os esquemas declarados de medição de CC foram testados; frequência globalmente ótima não foi estabelecida.</w:t>
            </w:r>
          </w:p>
        </w:tc>
      </w:tr>
      <w:tr>
        <w:tc>
          <w:tcPr/>
          <w:p>
            <w:pPr>
              <w:pStyle w:val="Compact"/>
              <w:jc w:val="left"/>
            </w:pPr>
            <w:r>
              <w:t xml:space="preserve">Q11</w:t>
            </w:r>
          </w:p>
        </w:tc>
        <w:tc>
          <w:tcPr/>
          <w:p>
            <w:pPr>
              <w:pStyle w:val="Compact"/>
              <w:jc w:val="left"/>
            </w:pPr>
            <w:r>
              <w:t xml:space="preserve">Demonstrada matematicamente</w:t>
            </w:r>
          </w:p>
        </w:tc>
        <w:tc>
          <w:tcPr/>
          <w:p>
            <w:pPr>
              <w:pStyle w:val="Compact"/>
              <w:jc w:val="left"/>
            </w:pPr>
            <w:r>
              <w:t xml:space="preserve">Os limites para gêmeos exatos independem da arquitetura do estimador sob as hipóteses declaradas.</w:t>
            </w:r>
          </w:p>
        </w:tc>
      </w:tr>
      <w:tr>
        <w:tc>
          <w:tcPr/>
          <w:p>
            <w:pPr>
              <w:pStyle w:val="Compact"/>
              <w:jc w:val="left"/>
            </w:pPr>
            <w:r>
              <w:t xml:space="preserve">Q12</w:t>
            </w:r>
          </w:p>
        </w:tc>
        <w:tc>
          <w:tcPr/>
          <w:p>
            <w:pPr>
              <w:pStyle w:val="Compact"/>
              <w:jc w:val="left"/>
            </w:pPr>
            <w:r>
              <w:t xml:space="preserve">Parcialmente sustentada</w:t>
            </w:r>
          </w:p>
        </w:tc>
        <w:tc>
          <w:tcPr/>
          <w:p>
            <w:pPr>
              <w:pStyle w:val="Compact"/>
              <w:jc w:val="left"/>
            </w:pPr>
            <w:r>
              <w:t xml:space="preserve">A prova transfere para a mesma estrutura de diluição, cinética e calorimetria; ganhos numéricos não se generalizam automaticamente.</w:t>
            </w:r>
          </w:p>
        </w:tc>
      </w:tr>
    </w:tbl>
    <w:bookmarkEnd w:id="47"/>
    <w:bookmarkStart w:id="125" w:name="figuras-dos-dados-executados"/>
    <w:p>
      <w:pPr>
        <w:pStyle w:val="Heading1"/>
      </w:pPr>
      <w:r>
        <w:rPr>
          <w:rStyle w:val="SectionNumber"/>
        </w:rPr>
        <w:t xml:space="preserve">14</w:t>
      </w:r>
      <w:r>
        <w:tab/>
      </w:r>
      <w:r>
        <w:t xml:space="preserve">Figuras dos dados executados</w:t>
      </w:r>
    </w:p>
    <w:p>
      <w:pPr>
        <w:pStyle w:val="CaptionedFigure"/>
      </w:pPr>
      <w:r>
        <w:drawing>
          <wp:inline>
            <wp:extent cx="5334000" cy="2680503"/>
            <wp:effectExtent b="0" l="0" r="0" t="0"/>
            <wp:docPr descr="Figure 1. Physical process and available information" title="" id="49" name="Picture"/>
            <a:graphic>
              <a:graphicData uri="http://schemas.openxmlformats.org/drawingml/2006/picture">
                <pic:pic>
                  <pic:nvPicPr>
                    <pic:cNvPr descr="figures/Figure_01.png" id="50" name="Picture"/>
                    <pic:cNvPicPr>
                      <a:picLocks noChangeArrowheads="1" noChangeAspect="1"/>
                    </pic:cNvPicPr>
                  </pic:nvPicPr>
                  <pic:blipFill>
                    <a:blip r:embed="rId48"/>
                    <a:stretch>
                      <a:fillRect/>
                    </a:stretch>
                  </pic:blipFill>
                  <pic:spPr bwMode="auto">
                    <a:xfrm>
                      <a:off x="0" y="0"/>
                      <a:ext cx="5334000" cy="2680503"/>
                    </a:xfrm>
                    <a:prstGeom prst="rect">
                      <a:avLst/>
                    </a:prstGeom>
                    <a:noFill/>
                    <a:ln w="9525">
                      <a:noFill/>
                      <a:headEnd/>
                      <a:tailEnd/>
                    </a:ln>
                  </pic:spPr>
                </pic:pic>
              </a:graphicData>
            </a:graphic>
          </wp:inline>
        </w:drawing>
      </w:r>
    </w:p>
    <w:p>
      <w:pPr>
        <w:pStyle w:val="ImageCaption"/>
      </w:pPr>
      <w:r>
        <w:t xml:space="preserve">Figure 1. Physical process and available information</w:t>
      </w:r>
    </w:p>
    <w:p>
      <w:pPr>
        <w:pStyle w:val="CaptionedFigure"/>
      </w:pPr>
      <w:r>
        <w:drawing>
          <wp:inline>
            <wp:extent cx="5334000" cy="5334000"/>
            <wp:effectExtent b="0" l="0" r="0" t="0"/>
            <wp:docPr descr="Figure 2. Distinct chemical inventories, identical historical thermal outputs" title="" id="52" name="Picture"/>
            <a:graphic>
              <a:graphicData uri="http://schemas.openxmlformats.org/drawingml/2006/picture">
                <pic:pic>
                  <pic:nvPicPr>
                    <pic:cNvPr descr="figures/Figure_02.png" id="53" name="Picture"/>
                    <pic:cNvPicPr>
                      <a:picLocks noChangeArrowheads="1" noChangeAspect="1"/>
                    </pic:cNvPicPr>
                  </pic:nvPicPr>
                  <pic:blipFill>
                    <a:blip r:embed="rId51"/>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Figure 2. Distinct chemical inventories, identical historical thermal outputs</w:t>
      </w:r>
    </w:p>
    <w:p>
      <w:pPr>
        <w:pStyle w:val="CaptionedFigure"/>
      </w:pPr>
      <w:r>
        <w:drawing>
          <wp:inline>
            <wp:extent cx="5334000" cy="1971550"/>
            <wp:effectExtent b="0" l="0" r="0" t="0"/>
            <wp:docPr descr="Figure 3. Finite-horizon sensitivity map (initial-state grid, not equilibrium map)" title="" id="55" name="Picture"/>
            <a:graphic>
              <a:graphicData uri="http://schemas.openxmlformats.org/drawingml/2006/picture">
                <pic:pic>
                  <pic:nvPicPr>
                    <pic:cNvPr descr="figures/Figure_03.png" id="56" name="Picture"/>
                    <pic:cNvPicPr>
                      <a:picLocks noChangeArrowheads="1" noChangeAspect="1"/>
                    </pic:cNvPicPr>
                  </pic:nvPicPr>
                  <pic:blipFill>
                    <a:blip r:embed="rId54"/>
                    <a:stretch>
                      <a:fillRect/>
                    </a:stretch>
                  </pic:blipFill>
                  <pic:spPr bwMode="auto">
                    <a:xfrm>
                      <a:off x="0" y="0"/>
                      <a:ext cx="5334000" cy="1971550"/>
                    </a:xfrm>
                    <a:prstGeom prst="rect">
                      <a:avLst/>
                    </a:prstGeom>
                    <a:noFill/>
                    <a:ln w="9525">
                      <a:noFill/>
                      <a:headEnd/>
                      <a:tailEnd/>
                    </a:ln>
                  </pic:spPr>
                </pic:pic>
              </a:graphicData>
            </a:graphic>
          </wp:inline>
        </w:drawing>
      </w:r>
    </w:p>
    <w:p>
      <w:pPr>
        <w:pStyle w:val="ImageCaption"/>
      </w:pPr>
      <w:r>
        <w:t xml:space="preserve">Figure 3. Finite-horizon sensitivity map (initial-state grid, not equilibrium map)</w:t>
      </w:r>
    </w:p>
    <w:p>
      <w:pPr>
        <w:pStyle w:val="CaptionedFigure"/>
      </w:pPr>
      <w:r>
        <w:drawing>
          <wp:inline>
            <wp:extent cx="5334000" cy="3062398"/>
            <wp:effectExtent b="0" l="0" r="0" t="0"/>
            <wp:docPr descr="Figure 4. Singular spectra; a numerical floor does not prove observability" title="" id="58" name="Picture"/>
            <a:graphic>
              <a:graphicData uri="http://schemas.openxmlformats.org/drawingml/2006/picture">
                <pic:pic>
                  <pic:nvPicPr>
                    <pic:cNvPr descr="figures/Figure_04.png" id="59" name="Picture"/>
                    <pic:cNvPicPr>
                      <a:picLocks noChangeArrowheads="1" noChangeAspect="1"/>
                    </pic:cNvPicPr>
                  </pic:nvPicPr>
                  <pic:blipFill>
                    <a:blip r:embed="rId57"/>
                    <a:stretch>
                      <a:fillRect/>
                    </a:stretch>
                  </pic:blipFill>
                  <pic:spPr bwMode="auto">
                    <a:xfrm>
                      <a:off x="0" y="0"/>
                      <a:ext cx="5334000" cy="3062398"/>
                    </a:xfrm>
                    <a:prstGeom prst="rect">
                      <a:avLst/>
                    </a:prstGeom>
                    <a:noFill/>
                    <a:ln w="9525">
                      <a:noFill/>
                      <a:headEnd/>
                      <a:tailEnd/>
                    </a:ln>
                  </pic:spPr>
                </pic:pic>
              </a:graphicData>
            </a:graphic>
          </wp:inline>
        </w:drawing>
      </w:r>
    </w:p>
    <w:p>
      <w:pPr>
        <w:pStyle w:val="ImageCaption"/>
      </w:pPr>
      <w:r>
        <w:t xml:space="preserve">Figure 4. Singular spectra; a numerical floor does not prove observability</w:t>
      </w:r>
    </w:p>
    <w:p>
      <w:pPr>
        <w:pStyle w:val="CaptionedFigure"/>
      </w:pPr>
      <w:r>
        <w:drawing>
          <wp:inline>
            <wp:extent cx="5334000" cy="3057953"/>
            <wp:effectExtent b="0" l="0" r="0" t="0"/>
            <wp:docPr descr="Figure 5. One shared measurement stream: estimation error and two-world bound" title="" id="61" name="Picture"/>
            <a:graphic>
              <a:graphicData uri="http://schemas.openxmlformats.org/drawingml/2006/picture">
                <pic:pic>
                  <pic:nvPicPr>
                    <pic:cNvPr descr="figures/Figure_05.png" id="62" name="Picture"/>
                    <pic:cNvPicPr>
                      <a:picLocks noChangeArrowheads="1" noChangeAspect="1"/>
                    </pic:cNvPicPr>
                  </pic:nvPicPr>
                  <pic:blipFill>
                    <a:blip r:embed="rId60"/>
                    <a:stretch>
                      <a:fillRect/>
                    </a:stretch>
                  </pic:blipFill>
                  <pic:spPr bwMode="auto">
                    <a:xfrm>
                      <a:off x="0" y="0"/>
                      <a:ext cx="5334000" cy="3057953"/>
                    </a:xfrm>
                    <a:prstGeom prst="rect">
                      <a:avLst/>
                    </a:prstGeom>
                    <a:noFill/>
                    <a:ln w="9525">
                      <a:noFill/>
                      <a:headEnd/>
                      <a:tailEnd/>
                    </a:ln>
                  </pic:spPr>
                </pic:pic>
              </a:graphicData>
            </a:graphic>
          </wp:inline>
        </w:drawing>
      </w:r>
    </w:p>
    <w:p>
      <w:pPr>
        <w:pStyle w:val="ImageCaption"/>
      </w:pPr>
      <w:r>
        <w:t xml:space="preserve">Figure 5. One shared measurement stream: estimation error and two-world bound</w:t>
      </w:r>
    </w:p>
    <w:p>
      <w:pPr>
        <w:pStyle w:val="CaptionedFigure"/>
      </w:pPr>
      <w:r>
        <w:drawing>
          <wp:inline>
            <wp:extent cx="5334000" cy="3057953"/>
            <wp:effectExtent b="0" l="0" r="0" t="0"/>
            <wp:docPr descr="Figure 6. Estimation error and tracking loss across fixed scenarios" title="" id="64" name="Picture"/>
            <a:graphic>
              <a:graphicData uri="http://schemas.openxmlformats.org/drawingml/2006/picture">
                <pic:pic>
                  <pic:nvPicPr>
                    <pic:cNvPr descr="figures/Figure_06.png" id="65" name="Picture"/>
                    <pic:cNvPicPr>
                      <a:picLocks noChangeArrowheads="1" noChangeAspect="1"/>
                    </pic:cNvPicPr>
                  </pic:nvPicPr>
                  <pic:blipFill>
                    <a:blip r:embed="rId63"/>
                    <a:stretch>
                      <a:fillRect/>
                    </a:stretch>
                  </pic:blipFill>
                  <pic:spPr bwMode="auto">
                    <a:xfrm>
                      <a:off x="0" y="0"/>
                      <a:ext cx="5334000" cy="3057953"/>
                    </a:xfrm>
                    <a:prstGeom prst="rect">
                      <a:avLst/>
                    </a:prstGeom>
                    <a:noFill/>
                    <a:ln w="9525">
                      <a:noFill/>
                      <a:headEnd/>
                      <a:tailEnd/>
                    </a:ln>
                  </pic:spPr>
                </pic:pic>
              </a:graphicData>
            </a:graphic>
          </wp:inline>
        </w:drawing>
      </w:r>
    </w:p>
    <w:p>
      <w:pPr>
        <w:pStyle w:val="ImageCaption"/>
      </w:pPr>
      <w:r>
        <w:t xml:space="preserve">Figure 6. Estimation error and tracking loss across fixed scenarios</w:t>
      </w:r>
    </w:p>
    <w:p>
      <w:pPr>
        <w:pStyle w:val="CaptionedFigure"/>
      </w:pPr>
      <w:r>
        <w:drawing>
          <wp:inline>
            <wp:extent cx="5334000" cy="3057953"/>
            <wp:effectExtent b="0" l="0" r="0" t="0"/>
            <wp:docPr descr="Figure 7. World-conditioned and minimax-regret actions (finite action class)" title="" id="67" name="Picture"/>
            <a:graphic>
              <a:graphicData uri="http://schemas.openxmlformats.org/drawingml/2006/picture">
                <pic:pic>
                  <pic:nvPicPr>
                    <pic:cNvPr descr="figures/Figure_07.png" id="68" name="Picture"/>
                    <pic:cNvPicPr>
                      <a:picLocks noChangeArrowheads="1" noChangeAspect="1"/>
                    </pic:cNvPicPr>
                  </pic:nvPicPr>
                  <pic:blipFill>
                    <a:blip r:embed="rId66"/>
                    <a:stretch>
                      <a:fillRect/>
                    </a:stretch>
                  </pic:blipFill>
                  <pic:spPr bwMode="auto">
                    <a:xfrm>
                      <a:off x="0" y="0"/>
                      <a:ext cx="5334000" cy="3057953"/>
                    </a:xfrm>
                    <a:prstGeom prst="rect">
                      <a:avLst/>
                    </a:prstGeom>
                    <a:noFill/>
                    <a:ln w="9525">
                      <a:noFill/>
                      <a:headEnd/>
                      <a:tailEnd/>
                    </a:ln>
                  </pic:spPr>
                </pic:pic>
              </a:graphicData>
            </a:graphic>
          </wp:inline>
        </w:drawing>
      </w:r>
    </w:p>
    <w:p>
      <w:pPr>
        <w:pStyle w:val="ImageCaption"/>
      </w:pPr>
      <w:r>
        <w:t xml:space="preserve">Figure 7. World-conditioned and minimax-regret actions (finite action class)</w:t>
      </w:r>
    </w:p>
    <w:p>
      <w:pPr>
        <w:pStyle w:val="CaptionedFigure"/>
      </w:pPr>
      <w:r>
        <w:drawing>
          <wp:inline>
            <wp:extent cx="5334000" cy="3057953"/>
            <wp:effectExtent b="0" l="0" r="0" t="0"/>
            <wp:docPr descr="Figure 8. Decision ambiguity versus prior width and prediction horizon" title="" id="70" name="Picture"/>
            <a:graphic>
              <a:graphicData uri="http://schemas.openxmlformats.org/drawingml/2006/picture">
                <pic:pic>
                  <pic:nvPicPr>
                    <pic:cNvPr descr="figures/Figure_08.png" id="71" name="Picture"/>
                    <pic:cNvPicPr>
                      <a:picLocks noChangeArrowheads="1" noChangeAspect="1"/>
                    </pic:cNvPicPr>
                  </pic:nvPicPr>
                  <pic:blipFill>
                    <a:blip r:embed="rId69"/>
                    <a:stretch>
                      <a:fillRect/>
                    </a:stretch>
                  </pic:blipFill>
                  <pic:spPr bwMode="auto">
                    <a:xfrm>
                      <a:off x="0" y="0"/>
                      <a:ext cx="5334000" cy="3057953"/>
                    </a:xfrm>
                    <a:prstGeom prst="rect">
                      <a:avLst/>
                    </a:prstGeom>
                    <a:noFill/>
                    <a:ln w="9525">
                      <a:noFill/>
                      <a:headEnd/>
                      <a:tailEnd/>
                    </a:ln>
                  </pic:spPr>
                </pic:pic>
              </a:graphicData>
            </a:graphic>
          </wp:inline>
        </w:drawing>
      </w:r>
    </w:p>
    <w:p>
      <w:pPr>
        <w:pStyle w:val="ImageCaption"/>
      </w:pPr>
      <w:r>
        <w:t xml:space="preserve">Figure 8. Decision ambiguity versus prior width and prediction horizon</w:t>
      </w:r>
    </w:p>
    <w:p>
      <w:pPr>
        <w:pStyle w:val="CaptionedFigure"/>
      </w:pPr>
      <w:r>
        <w:drawing>
          <wp:inline>
            <wp:extent cx="5334000" cy="3057953"/>
            <wp:effectExtent b="0" l="0" r="0" t="0"/>
            <wp:docPr descr="Figure 9. Servo tracking; paired seed 4100" title="" id="73" name="Picture"/>
            <a:graphic>
              <a:graphicData uri="http://schemas.openxmlformats.org/drawingml/2006/picture">
                <pic:pic>
                  <pic:nvPicPr>
                    <pic:cNvPr descr="figures/Figure_09.png" id="74" name="Picture"/>
                    <pic:cNvPicPr>
                      <a:picLocks noChangeArrowheads="1" noChangeAspect="1"/>
                    </pic:cNvPicPr>
                  </pic:nvPicPr>
                  <pic:blipFill>
                    <a:blip r:embed="rId72"/>
                    <a:stretch>
                      <a:fillRect/>
                    </a:stretch>
                  </pic:blipFill>
                  <pic:spPr bwMode="auto">
                    <a:xfrm>
                      <a:off x="0" y="0"/>
                      <a:ext cx="5334000" cy="3057953"/>
                    </a:xfrm>
                    <a:prstGeom prst="rect">
                      <a:avLst/>
                    </a:prstGeom>
                    <a:noFill/>
                    <a:ln w="9525">
                      <a:noFill/>
                      <a:headEnd/>
                      <a:tailEnd/>
                    </a:ln>
                  </pic:spPr>
                </pic:pic>
              </a:graphicData>
            </a:graphic>
          </wp:inline>
        </w:drawing>
      </w:r>
    </w:p>
    <w:p>
      <w:pPr>
        <w:pStyle w:val="ImageCaption"/>
      </w:pPr>
      <w:r>
        <w:t xml:space="preserve">Figure 9. Servo tracking; paired seed 4100</w:t>
      </w:r>
    </w:p>
    <w:p>
      <w:pPr>
        <w:pStyle w:val="CaptionedFigure"/>
      </w:pPr>
      <w:r>
        <w:drawing>
          <wp:inline>
            <wp:extent cx="5334000" cy="3057953"/>
            <wp:effectExtent b="0" l="0" r="0" t="0"/>
            <wp:docPr descr="Figure 10. Regulatory response to known current feed disturbance; paired seed 4100" title="" id="76" name="Picture"/>
            <a:graphic>
              <a:graphicData uri="http://schemas.openxmlformats.org/drawingml/2006/picture">
                <pic:pic>
                  <pic:nvPicPr>
                    <pic:cNvPr descr="figures/Figure_10.png" id="77" name="Picture"/>
                    <pic:cNvPicPr>
                      <a:picLocks noChangeArrowheads="1" noChangeAspect="1"/>
                    </pic:cNvPicPr>
                  </pic:nvPicPr>
                  <pic:blipFill>
                    <a:blip r:embed="rId75"/>
                    <a:stretch>
                      <a:fillRect/>
                    </a:stretch>
                  </pic:blipFill>
                  <pic:spPr bwMode="auto">
                    <a:xfrm>
                      <a:off x="0" y="0"/>
                      <a:ext cx="5334000" cy="3057953"/>
                    </a:xfrm>
                    <a:prstGeom prst="rect">
                      <a:avLst/>
                    </a:prstGeom>
                    <a:noFill/>
                    <a:ln w="9525">
                      <a:noFill/>
                      <a:headEnd/>
                      <a:tailEnd/>
                    </a:ln>
                  </pic:spPr>
                </pic:pic>
              </a:graphicData>
            </a:graphic>
          </wp:inline>
        </w:drawing>
      </w:r>
    </w:p>
    <w:p>
      <w:pPr>
        <w:pStyle w:val="ImageCaption"/>
      </w:pPr>
      <w:r>
        <w:t xml:space="preserve">Figure 10. Regulatory response to known current feed disturbance; paired seed 4100</w:t>
      </w:r>
    </w:p>
    <w:p>
      <w:pPr>
        <w:pStyle w:val="CaptionedFigure"/>
      </w:pPr>
      <w:r>
        <w:drawing>
          <wp:inline>
            <wp:extent cx="5334000" cy="4575317"/>
            <wp:effectExtent b="0" l="0" r="0" t="0"/>
            <wp:docPr descr="Figure 11. Concentration and temperature under hidden kinetic mismatch" title="" id="79" name="Picture"/>
            <a:graphic>
              <a:graphicData uri="http://schemas.openxmlformats.org/drawingml/2006/picture">
                <pic:pic>
                  <pic:nvPicPr>
                    <pic:cNvPr descr="figures/Figure_11.png" id="80" name="Picture"/>
                    <pic:cNvPicPr>
                      <a:picLocks noChangeArrowheads="1" noChangeAspect="1"/>
                    </pic:cNvPicPr>
                  </pic:nvPicPr>
                  <pic:blipFill>
                    <a:blip r:embed="rId78"/>
                    <a:stretch>
                      <a:fillRect/>
                    </a:stretch>
                  </pic:blipFill>
                  <pic:spPr bwMode="auto">
                    <a:xfrm>
                      <a:off x="0" y="0"/>
                      <a:ext cx="5334000" cy="4575317"/>
                    </a:xfrm>
                    <a:prstGeom prst="rect">
                      <a:avLst/>
                    </a:prstGeom>
                    <a:noFill/>
                    <a:ln w="9525">
                      <a:noFill/>
                      <a:headEnd/>
                      <a:tailEnd/>
                    </a:ln>
                  </pic:spPr>
                </pic:pic>
              </a:graphicData>
            </a:graphic>
          </wp:inline>
        </w:drawing>
      </w:r>
    </w:p>
    <w:p>
      <w:pPr>
        <w:pStyle w:val="ImageCaption"/>
      </w:pPr>
      <w:r>
        <w:t xml:space="preserve">Figure 11. Concentration and temperature under hidden kinetic mismatch</w:t>
      </w:r>
    </w:p>
    <w:p>
      <w:pPr>
        <w:pStyle w:val="CaptionedFigure"/>
      </w:pPr>
      <w:r>
        <w:drawing>
          <wp:inline>
            <wp:extent cx="5334000" cy="4575317"/>
            <wp:effectExtent b="0" l="0" r="0" t="0"/>
            <wp:docPr descr="Figure 12. Actuation and sampled thermal constraint under combined perturbations" title="" id="82" name="Picture"/>
            <a:graphic>
              <a:graphicData uri="http://schemas.openxmlformats.org/drawingml/2006/picture">
                <pic:pic>
                  <pic:nvPicPr>
                    <pic:cNvPr descr="figures/Figure_12.png" id="83" name="Picture"/>
                    <pic:cNvPicPr>
                      <a:picLocks noChangeArrowheads="1" noChangeAspect="1"/>
                    </pic:cNvPicPr>
                  </pic:nvPicPr>
                  <pic:blipFill>
                    <a:blip r:embed="rId81"/>
                    <a:stretch>
                      <a:fillRect/>
                    </a:stretch>
                  </pic:blipFill>
                  <pic:spPr bwMode="auto">
                    <a:xfrm>
                      <a:off x="0" y="0"/>
                      <a:ext cx="5334000" cy="4575317"/>
                    </a:xfrm>
                    <a:prstGeom prst="rect">
                      <a:avLst/>
                    </a:prstGeom>
                    <a:noFill/>
                    <a:ln w="9525">
                      <a:noFill/>
                      <a:headEnd/>
                      <a:tailEnd/>
                    </a:ln>
                  </pic:spPr>
                </pic:pic>
              </a:graphicData>
            </a:graphic>
          </wp:inline>
        </w:drawing>
      </w:r>
    </w:p>
    <w:p>
      <w:pPr>
        <w:pStyle w:val="ImageCaption"/>
      </w:pPr>
      <w:r>
        <w:t xml:space="preserve">Figure 12. Actuation and sampled thermal constraint under combined perturbations</w:t>
      </w:r>
    </w:p>
    <w:p>
      <w:pPr>
        <w:pStyle w:val="CaptionedFigure"/>
      </w:pPr>
      <w:r>
        <w:drawing>
          <wp:inline>
            <wp:extent cx="5334000" cy="2667000"/>
            <wp:effectExtent b="0" l="0" r="0" t="0"/>
            <wp:docPr descr="Figure 13. Finite-suite contrasts: positive differences favor the candidate" title="" id="85" name="Picture"/>
            <a:graphic>
              <a:graphicData uri="http://schemas.openxmlformats.org/drawingml/2006/picture">
                <pic:pic>
                  <pic:nvPicPr>
                    <pic:cNvPr descr="figures/Figure_13.png" id="86" name="Picture"/>
                    <pic:cNvPicPr>
                      <a:picLocks noChangeArrowheads="1" noChangeAspect="1"/>
                    </pic:cNvPicPr>
                  </pic:nvPicPr>
                  <pic:blipFill>
                    <a:blip r:embed="rId84"/>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Figure 13. Finite-suite contrasts: positive differences favor the candidate</w:t>
      </w:r>
    </w:p>
    <w:p>
      <w:pPr>
        <w:pStyle w:val="CaptionedFigure"/>
      </w:pPr>
      <w:r>
        <w:drawing>
          <wp:inline>
            <wp:extent cx="5334000" cy="2672633"/>
            <wp:effectExtent b="0" l="0" r="0" t="0"/>
            <wp:docPr descr="Figure 14. Value of additional chemical measurements: inventory-plus scenario" title="" id="88" name="Picture"/>
            <a:graphic>
              <a:graphicData uri="http://schemas.openxmlformats.org/drawingml/2006/picture">
                <pic:pic>
                  <pic:nvPicPr>
                    <pic:cNvPr descr="figures/Figure_14.png" id="89" name="Picture"/>
                    <pic:cNvPicPr>
                      <a:picLocks noChangeArrowheads="1" noChangeAspect="1"/>
                    </pic:cNvPicPr>
                  </pic:nvPicPr>
                  <pic:blipFill>
                    <a:blip r:embed="rId87"/>
                    <a:stretch>
                      <a:fillRect/>
                    </a:stretch>
                  </pic:blipFill>
                  <pic:spPr bwMode="auto">
                    <a:xfrm>
                      <a:off x="0" y="0"/>
                      <a:ext cx="5334000" cy="2672633"/>
                    </a:xfrm>
                    <a:prstGeom prst="rect">
                      <a:avLst/>
                    </a:prstGeom>
                    <a:noFill/>
                    <a:ln w="9525">
                      <a:noFill/>
                      <a:headEnd/>
                      <a:tailEnd/>
                    </a:ln>
                  </pic:spPr>
                </pic:pic>
              </a:graphicData>
            </a:graphic>
          </wp:inline>
        </w:drawing>
      </w:r>
    </w:p>
    <w:p>
      <w:pPr>
        <w:pStyle w:val="ImageCaption"/>
      </w:pPr>
      <w:r>
        <w:t xml:space="preserve">Figure 14. Value of additional chemical measurements: inventory-plus scenario</w:t>
      </w:r>
    </w:p>
    <w:p>
      <w:pPr>
        <w:pStyle w:val="CaptionedFigure"/>
      </w:pPr>
      <w:r>
        <w:drawing>
          <wp:inline>
            <wp:extent cx="5334000" cy="3529589"/>
            <wp:effectExtent b="0" l="0" r="0" t="0"/>
            <wp:docPr descr="Figure 15. Tracking, sampled safety, effort and computing trade-offs" title="" id="91" name="Picture"/>
            <a:graphic>
              <a:graphicData uri="http://schemas.openxmlformats.org/drawingml/2006/picture">
                <pic:pic>
                  <pic:nvPicPr>
                    <pic:cNvPr descr="figures/Figure_15.png" id="92" name="Picture"/>
                    <pic:cNvPicPr>
                      <a:picLocks noChangeArrowheads="1" noChangeAspect="1"/>
                    </pic:cNvPicPr>
                  </pic:nvPicPr>
                  <pic:blipFill>
                    <a:blip r:embed="rId90"/>
                    <a:stretch>
                      <a:fillRect/>
                    </a:stretch>
                  </pic:blipFill>
                  <pic:spPr bwMode="auto">
                    <a:xfrm>
                      <a:off x="0" y="0"/>
                      <a:ext cx="5334000" cy="3529589"/>
                    </a:xfrm>
                    <a:prstGeom prst="rect">
                      <a:avLst/>
                    </a:prstGeom>
                    <a:noFill/>
                    <a:ln w="9525">
                      <a:noFill/>
                      <a:headEnd/>
                      <a:tailEnd/>
                    </a:ln>
                  </pic:spPr>
                </pic:pic>
              </a:graphicData>
            </a:graphic>
          </wp:inline>
        </w:drawing>
      </w:r>
    </w:p>
    <w:p>
      <w:pPr>
        <w:pStyle w:val="ImageCaption"/>
      </w:pPr>
      <w:r>
        <w:t xml:space="preserve">Figure 15. Tracking, sampled safety, effort and computing trade-offs</w:t>
      </w:r>
    </w:p>
    <w:p>
      <w:pPr>
        <w:pStyle w:val="BodyText"/>
      </w:pPr>
      <w:r>
        <w:drawing>
          <wp:inline>
            <wp:extent cx="5334000" cy="2841177"/>
            <wp:effectExtent b="0" l="0" r="0" t="0"/>
            <wp:docPr descr="Figure 16. Regime map: favorable and adverse mean differences" title="" id="94" name="Picture"/>
            <a:graphic>
              <a:graphicData uri="http://schemas.openxmlformats.org/drawingml/2006/picture">
                <pic:pic>
                  <pic:nvPicPr>
                    <pic:cNvPr descr="figures/Figure_16.png" id="95" name="Picture"/>
                    <pic:cNvPicPr>
                      <a:picLocks noChangeArrowheads="1" noChangeAspect="1"/>
                    </pic:cNvPicPr>
                  </pic:nvPicPr>
                  <pic:blipFill>
                    <a:blip r:embed="rId93"/>
                    <a:stretch>
                      <a:fillRect/>
                    </a:stretch>
                  </pic:blipFill>
                  <pic:spPr bwMode="auto">
                    <a:xfrm>
                      <a:off x="0" y="0"/>
                      <a:ext cx="5334000" cy="2841177"/>
                    </a:xfrm>
                    <a:prstGeom prst="rect">
                      <a:avLst/>
                    </a:prstGeom>
                    <a:noFill/>
                    <a:ln w="9525">
                      <a:noFill/>
                      <a:headEnd/>
                      <a:tailEnd/>
                    </a:ln>
                  </pic:spPr>
                </pic:pic>
              </a:graphicData>
            </a:graphic>
          </wp:inline>
        </w:drawing>
      </w:r>
      <w:r>
        <w:t xml:space="preserve"> </w:t>
      </w:r>
      <w:r>
        <w:t xml:space="preserve"># Referências</w:t>
      </w:r>
    </w:p>
    <w:bookmarkStart w:id="124" w:name="refs"/>
    <w:bookmarkStart w:id="97" w:name="ref-brandao2019"/>
    <w:p>
      <w:pPr>
        <w:pStyle w:val="Bibliography"/>
      </w:pPr>
      <w:r>
        <w:t xml:space="preserve">Brandao, Walter Yanko de Aragao. 2019.</w:t>
      </w:r>
      <w:r>
        <w:t xml:space="preserve"> </w:t>
      </w:r>
      <w:r>
        <w:t xml:space="preserve">“Uso de observadores de estado aplicados no controle inferencial preditivo de processos nao lineares”</w:t>
      </w:r>
      <w:r>
        <w:t xml:space="preserve">. Mathesis, Universidade Federal de Campina Grande.</w:t>
      </w:r>
      <w:r>
        <w:t xml:space="preserve"> </w:t>
      </w:r>
      <w:hyperlink r:id="rId96">
        <w:r>
          <w:rPr>
            <w:rStyle w:val="Hyperlink"/>
          </w:rPr>
          <w:t xml:space="preserve">https://dspace.sti.ufcg.edu.br/handle/riufcg/12684</w:t>
        </w:r>
      </w:hyperlink>
      <w:r>
        <w:t xml:space="preserve">.</w:t>
      </w:r>
    </w:p>
    <w:bookmarkEnd w:id="97"/>
    <w:bookmarkStart w:id="99" w:name="ref-cao2026"/>
    <w:p>
      <w:pPr>
        <w:pStyle w:val="Bibliography"/>
      </w:pPr>
      <w:r>
        <w:t xml:space="preserve">Cao, Daniel, Beixi Du, Andrew Lowitt, Sunmook Choi, Sarah Dean, e Yahya Sattar. 2026.</w:t>
      </w:r>
      <w:r>
        <w:t xml:space="preserve"> </w:t>
      </w:r>
      <w:r>
        <w:t xml:space="preserve">“Dual Control of Linear Systems from Bilinear Observations with Belief Space Model Predictive Control”</w:t>
      </w:r>
      <w:r>
        <w:t xml:space="preserve">.</w:t>
      </w:r>
      <w:r>
        <w:t xml:space="preserve"> </w:t>
      </w:r>
      <w:hyperlink r:id="rId98">
        <w:r>
          <w:rPr>
            <w:rStyle w:val="Hyperlink"/>
          </w:rPr>
          <w:t xml:space="preserve">https://arxiv.org/abs/2604.24663</w:t>
        </w:r>
      </w:hyperlink>
      <w:r>
        <w:t xml:space="preserve">.</w:t>
      </w:r>
    </w:p>
    <w:bookmarkEnd w:id="99"/>
    <w:bookmarkStart w:id="101" w:name="ref-chan2004"/>
    <w:p>
      <w:pPr>
        <w:pStyle w:val="Bibliography"/>
      </w:pPr>
      <w:r>
        <w:t xml:space="preserve">Chan, Arthur, e Warren D. Seider. 2004.</w:t>
      </w:r>
      <w:r>
        <w:t xml:space="preserve"> </w:t>
      </w:r>
      <w:r>
        <w:t xml:space="preserve">“Batch Manufacture of Propylene Glycol”</w:t>
      </w:r>
      <w:r>
        <w:t xml:space="preserve">. University of Pennsylvania.</w:t>
      </w:r>
      <w:r>
        <w:t xml:space="preserve"> </w:t>
      </w:r>
      <w:hyperlink r:id="rId100">
        <w:r>
          <w:rPr>
            <w:rStyle w:val="Hyperlink"/>
          </w:rPr>
          <w:t xml:space="preserve">https://www.engineering.upenn.edu/~dlewin/CACHE_Workshop/Batch%20Manufacture%20of%20Propylene%20Glycol.pdf</w:t>
        </w:r>
      </w:hyperlink>
      <w:r>
        <w:t xml:space="preserve">.</w:t>
      </w:r>
    </w:p>
    <w:bookmarkEnd w:id="101"/>
    <w:bookmarkStart w:id="103" w:name="ref-elmachtoub2022"/>
    <w:p>
      <w:pPr>
        <w:pStyle w:val="Bibliography"/>
      </w:pPr>
      <w:r>
        <w:t xml:space="preserve">Elmachtoub, Adam N., e Paul Grigas. 2022.</w:t>
      </w:r>
      <w:r>
        <w:t xml:space="preserve"> </w:t>
      </w:r>
      <w:r>
        <w:t xml:space="preserve">“Smart</w:t>
      </w:r>
      <w:r>
        <w:t xml:space="preserve"> </w:t>
      </w:r>
      <w:r>
        <w:t xml:space="preserve">Predict, then Optimize</w:t>
      </w:r>
      <w:r>
        <w:t xml:space="preserve">”</w:t>
      </w:r>
      <w:r>
        <w:t xml:space="preserve">.</w:t>
      </w:r>
      <w:r>
        <w:t xml:space="preserve"> </w:t>
      </w:r>
      <w:r>
        <w:rPr>
          <w:iCs/>
          <w:i/>
        </w:rPr>
        <w:t xml:space="preserve">Management Science</w:t>
      </w:r>
      <w:r>
        <w:t xml:space="preserve"> </w:t>
      </w:r>
      <w:r>
        <w:t xml:space="preserve">68 (1): 9–26.</w:t>
      </w:r>
      <w:r>
        <w:t xml:space="preserve"> </w:t>
      </w:r>
      <w:hyperlink r:id="rId102">
        <w:r>
          <w:rPr>
            <w:rStyle w:val="Hyperlink"/>
          </w:rPr>
          <w:t xml:space="preserve">https://doi.org/10.1287/mnsc.2020.3922</w:t>
        </w:r>
      </w:hyperlink>
      <w:r>
        <w:t xml:space="preserve">.</w:t>
      </w:r>
    </w:p>
    <w:bookmarkEnd w:id="103"/>
    <w:bookmarkStart w:id="105" w:name="ref-enwerem2026"/>
    <w:p>
      <w:pPr>
        <w:pStyle w:val="Bibliography"/>
      </w:pPr>
      <w:r>
        <w:t xml:space="preserve">Enwerem, Clinton, John S. Baras, e Calin Belta. 2026.</w:t>
      </w:r>
      <w:r>
        <w:t xml:space="preserve"> </w:t>
      </w:r>
      <w:r>
        <w:t xml:space="preserve">“Risk-Constrained Belief-Space Optimization for Safe Control under Latent Uncertainty”</w:t>
      </w:r>
      <w:r>
        <w:t xml:space="preserve">.</w:t>
      </w:r>
      <w:r>
        <w:t xml:space="preserve"> </w:t>
      </w:r>
      <w:hyperlink r:id="rId104">
        <w:r>
          <w:rPr>
            <w:rStyle w:val="Hyperlink"/>
          </w:rPr>
          <w:t xml:space="preserve">https://arxiv.org/abs/2604.03868</w:t>
        </w:r>
      </w:hyperlink>
      <w:r>
        <w:t xml:space="preserve">.</w:t>
      </w:r>
    </w:p>
    <w:bookmarkEnd w:id="105"/>
    <w:bookmarkStart w:id="107" w:name="ref-fogler_examples"/>
    <w:p>
      <w:pPr>
        <w:pStyle w:val="Bibliography"/>
      </w:pPr>
      <w:r>
        <w:t xml:space="preserve">Fogler, H. Scott. s.d.</w:t>
      </w:r>
      <w:r>
        <w:t xml:space="preserve"> </w:t>
      </w:r>
      <w:r>
        <w:t xml:space="preserve">“Elements of Chemical Reaction Engineering: Sixth-edition living examples, Chapter 12”</w:t>
      </w:r>
      <w:r>
        <w:t xml:space="preserve">. University of Michigan teaching resources.</w:t>
      </w:r>
      <w:r>
        <w:t xml:space="preserve"> </w:t>
      </w:r>
      <w:hyperlink r:id="rId106">
        <w:r>
          <w:rPr>
            <w:rStyle w:val="Hyperlink"/>
          </w:rPr>
          <w:t xml:space="preserve">https://public.websites.umich.edu/~elements/6e/12chap/live.html</w:t>
        </w:r>
      </w:hyperlink>
      <w:r>
        <w:t xml:space="preserve">.</w:t>
      </w:r>
    </w:p>
    <w:bookmarkEnd w:id="107"/>
    <w:bookmarkStart w:id="109" w:name="ref-goel2021"/>
    <w:p>
      <w:pPr>
        <w:pStyle w:val="Bibliography"/>
      </w:pPr>
      <w:r>
        <w:t xml:space="preserve">Goel, Gautam, e Babak Hassibi. 2021.</w:t>
      </w:r>
      <w:r>
        <w:t xml:space="preserve"> </w:t>
      </w:r>
      <w:r>
        <w:t xml:space="preserve">“Regret-optimal measurement-feedback control”</w:t>
      </w:r>
      <w:r>
        <w:t xml:space="preserve">. Em</w:t>
      </w:r>
      <w:r>
        <w:t xml:space="preserve"> </w:t>
      </w:r>
      <w:r>
        <w:rPr>
          <w:iCs/>
          <w:i/>
        </w:rPr>
        <w:t xml:space="preserve">Proceedings of the 3rd Conference on Learning for Dynamics and Control</w:t>
      </w:r>
      <w:r>
        <w:t xml:space="preserve">, 144:1270–80. Proceedings of Machine Learning Research.</w:t>
      </w:r>
      <w:r>
        <w:t xml:space="preserve"> </w:t>
      </w:r>
      <w:hyperlink r:id="rId108">
        <w:r>
          <w:rPr>
            <w:rStyle w:val="Hyperlink"/>
          </w:rPr>
          <w:t xml:space="preserve">https://proceedings.mlr.press/v144/goel21a.html</w:t>
        </w:r>
      </w:hyperlink>
      <w:r>
        <w:t xml:space="preserve">.</w:t>
      </w:r>
    </w:p>
    <w:bookmarkEnd w:id="109"/>
    <w:bookmarkStart w:id="111" w:name="ref-hermann1977"/>
    <w:p>
      <w:pPr>
        <w:pStyle w:val="Bibliography"/>
      </w:pPr>
      <w:r>
        <w:t xml:space="preserve">Hermann, Robert, e Arthur J. Krener. 1977.</w:t>
      </w:r>
      <w:r>
        <w:t xml:space="preserve"> </w:t>
      </w:r>
      <w:r>
        <w:t xml:space="preserve">“Nonlinear controllability and observability”</w:t>
      </w:r>
      <w:r>
        <w:t xml:space="preserve">.</w:t>
      </w:r>
      <w:r>
        <w:t xml:space="preserve"> </w:t>
      </w:r>
      <w:r>
        <w:rPr>
          <w:iCs/>
          <w:i/>
        </w:rPr>
        <w:t xml:space="preserve">IEEE Transactions on Automatic Control</w:t>
      </w:r>
      <w:r>
        <w:t xml:space="preserve"> </w:t>
      </w:r>
      <w:r>
        <w:t xml:space="preserve">22 (5): 728–40.</w:t>
      </w:r>
      <w:r>
        <w:t xml:space="preserve"> </w:t>
      </w:r>
      <w:hyperlink r:id="rId110">
        <w:r>
          <w:rPr>
            <w:rStyle w:val="Hyperlink"/>
          </w:rPr>
          <w:t xml:space="preserve">https://doi.org/10.1109/TAC.1977.1101601</w:t>
        </w:r>
      </w:hyperlink>
      <w:r>
        <w:t xml:space="preserve">.</w:t>
      </w:r>
    </w:p>
    <w:bookmarkEnd w:id="111"/>
    <w:bookmarkStart w:id="113" w:name="ref-klenske2016"/>
    <w:p>
      <w:pPr>
        <w:pStyle w:val="Bibliography"/>
      </w:pPr>
      <w:r>
        <w:t xml:space="preserve">Klenske, Edgar D., e Philipp Hennig. 2016.</w:t>
      </w:r>
      <w:r>
        <w:t xml:space="preserve"> </w:t>
      </w:r>
      <w:r>
        <w:t xml:space="preserve">“Dual Control for Approximate Bayesian Reinforcement Learning”</w:t>
      </w:r>
      <w:r>
        <w:t xml:space="preserve">.</w:t>
      </w:r>
      <w:r>
        <w:t xml:space="preserve"> </w:t>
      </w:r>
      <w:r>
        <w:rPr>
          <w:iCs/>
          <w:i/>
        </w:rPr>
        <w:t xml:space="preserve">Journal of Machine Learning Research</w:t>
      </w:r>
      <w:r>
        <w:t xml:space="preserve"> </w:t>
      </w:r>
      <w:r>
        <w:t xml:space="preserve">17 (127): 1–30.</w:t>
      </w:r>
      <w:r>
        <w:t xml:space="preserve"> </w:t>
      </w:r>
      <w:hyperlink r:id="rId112">
        <w:r>
          <w:rPr>
            <w:rStyle w:val="Hyperlink"/>
          </w:rPr>
          <w:t xml:space="preserve">https://www.jmlr.org/papers/v17/15-162.html</w:t>
        </w:r>
      </w:hyperlink>
      <w:r>
        <w:t xml:space="preserve">.</w:t>
      </w:r>
    </w:p>
    <w:bookmarkEnd w:id="113"/>
    <w:bookmarkStart w:id="115" w:name="ref-lall2002"/>
    <w:p>
      <w:pPr>
        <w:pStyle w:val="Bibliography"/>
      </w:pPr>
      <w:r>
        <w:t xml:space="preserve">Lall, Sanjay, Jerrold E. Marsden, e Sonja Glavaski. 2002.</w:t>
      </w:r>
      <w:r>
        <w:t xml:space="preserve"> </w:t>
      </w:r>
      <w:r>
        <w:t xml:space="preserve">“A subspace approach to balanced truncation for model reduction of nonlinear control systems”</w:t>
      </w:r>
      <w:r>
        <w:t xml:space="preserve">.</w:t>
      </w:r>
      <w:r>
        <w:t xml:space="preserve"> </w:t>
      </w:r>
      <w:r>
        <w:rPr>
          <w:iCs/>
          <w:i/>
        </w:rPr>
        <w:t xml:space="preserve">International Journal of Robust and Nonlinear Control</w:t>
      </w:r>
      <w:r>
        <w:t xml:space="preserve"> </w:t>
      </w:r>
      <w:r>
        <w:t xml:space="preserve">12: 519–35.</w:t>
      </w:r>
      <w:r>
        <w:t xml:space="preserve"> </w:t>
      </w:r>
      <w:hyperlink r:id="rId114">
        <w:r>
          <w:rPr>
            <w:rStyle w:val="Hyperlink"/>
          </w:rPr>
          <w:t xml:space="preserve">https://doi.org/10.1002/rnc.657</w:t>
        </w:r>
      </w:hyperlink>
      <w:r>
        <w:t xml:space="preserve">.</w:t>
      </w:r>
    </w:p>
    <w:bookmarkEnd w:id="115"/>
    <w:bookmarkStart w:id="117" w:name="ref-rao2003"/>
    <w:p>
      <w:pPr>
        <w:pStyle w:val="Bibliography"/>
      </w:pPr>
      <w:r>
        <w:t xml:space="preserve">Rao, Christopher V., James B. Rawlings, e David Q. Mayne. 2003.</w:t>
      </w:r>
      <w:r>
        <w:t xml:space="preserve"> </w:t>
      </w:r>
      <w:r>
        <w:t xml:space="preserve">“Constrained state estimation for nonlinear discrete-time systems: Stability and moving horizon approximations”</w:t>
      </w:r>
      <w:r>
        <w:t xml:space="preserve">.</w:t>
      </w:r>
      <w:r>
        <w:t xml:space="preserve"> </w:t>
      </w:r>
      <w:r>
        <w:rPr>
          <w:iCs/>
          <w:i/>
        </w:rPr>
        <w:t xml:space="preserve">IEEE Transactions on Automatic Control</w:t>
      </w:r>
      <w:r>
        <w:t xml:space="preserve"> </w:t>
      </w:r>
      <w:r>
        <w:t xml:space="preserve">48 (2): 246–58.</w:t>
      </w:r>
      <w:r>
        <w:t xml:space="preserve"> </w:t>
      </w:r>
      <w:hyperlink r:id="rId116">
        <w:r>
          <w:rPr>
            <w:rStyle w:val="Hyperlink"/>
          </w:rPr>
          <w:t xml:space="preserve">https://doi.org/10.1109/TAC.2002.808470</w:t>
        </w:r>
      </w:hyperlink>
      <w:r>
        <w:t xml:space="preserve">.</w:t>
      </w:r>
    </w:p>
    <w:bookmarkEnd w:id="117"/>
    <w:bookmarkStart w:id="119" w:name="ref-rawlings2017"/>
    <w:p>
      <w:pPr>
        <w:pStyle w:val="Bibliography"/>
      </w:pPr>
      <w:r>
        <w:t xml:space="preserve">Rawlings, James B., David Q. Mayne, e Moritz M. Diehl. 2017.</w:t>
      </w:r>
      <w:r>
        <w:t xml:space="preserve"> </w:t>
      </w:r>
      <w:r>
        <w:rPr>
          <w:iCs/>
          <w:i/>
        </w:rPr>
        <w:t xml:space="preserve">Model Predictive Control: Theory, Computation, and Design</w:t>
      </w:r>
      <w:r>
        <w:t xml:space="preserve">. 2º ed. Nob Hill Publishing.</w:t>
      </w:r>
      <w:r>
        <w:t xml:space="preserve"> </w:t>
      </w:r>
      <w:hyperlink r:id="rId118">
        <w:r>
          <w:rPr>
            <w:rStyle w:val="Hyperlink"/>
          </w:rPr>
          <w:t xml:space="preserve">https://sites.chemengr.ucsb.edu/~jbraw/mpc/</w:t>
        </w:r>
      </w:hyperlink>
      <w:r>
        <w:t xml:space="preserve">.</w:t>
      </w:r>
    </w:p>
    <w:bookmarkEnd w:id="119"/>
    <w:bookmarkStart w:id="121" w:name="ref-schaum2007"/>
    <w:p>
      <w:pPr>
        <w:pStyle w:val="Bibliography"/>
      </w:pPr>
      <w:r>
        <w:t xml:space="preserve">Schaum, Alexander, Jaime A. Moreno, Jorge Diaz-Salgado, e Jesus Alvarez. 2007.</w:t>
      </w:r>
      <w:r>
        <w:t xml:space="preserve"> </w:t>
      </w:r>
      <w:r>
        <w:t xml:space="preserve">“Dissipativity-based observer and feedback control design for a class of chemical reactors”</w:t>
      </w:r>
      <w:r>
        <w:t xml:space="preserve">. Em</w:t>
      </w:r>
      <w:r>
        <w:t xml:space="preserve"> </w:t>
      </w:r>
      <w:r>
        <w:rPr>
          <w:iCs/>
          <w:i/>
        </w:rPr>
        <w:t xml:space="preserve">8th IFAC Symposium on Dynamics and Control of Process Systems</w:t>
      </w:r>
      <w:r>
        <w:t xml:space="preserve">.</w:t>
      </w:r>
      <w:r>
        <w:t xml:space="preserve"> </w:t>
      </w:r>
      <w:hyperlink r:id="rId120">
        <w:r>
          <w:rPr>
            <w:rStyle w:val="Hyperlink"/>
          </w:rPr>
          <w:t xml:space="preserve">https://skoge.folk.ntnu.no/prost/proceedings/dycops2007-and-cab2007/DYCOPS/Friday/DissipativityBasedControl/V32_291_Paper_stamped_noAS.pdf</w:t>
        </w:r>
      </w:hyperlink>
      <w:r>
        <w:t xml:space="preserve">.</w:t>
      </w:r>
    </w:p>
    <w:bookmarkEnd w:id="121"/>
    <w:bookmarkStart w:id="123" w:name="ref-villaverde2016"/>
    <w:p>
      <w:pPr>
        <w:pStyle w:val="Bibliography"/>
      </w:pPr>
      <w:r>
        <w:t xml:space="preserve">Villaverde, Alejandro F., Antonio Barreiro, e Antonis Papachristodoulou. 2016.</w:t>
      </w:r>
      <w:r>
        <w:t xml:space="preserve"> </w:t>
      </w:r>
      <w:r>
        <w:t xml:space="preserve">“Structural Identifiability of Dynamic Systems Biology Models”</w:t>
      </w:r>
      <w:r>
        <w:t xml:space="preserve">.</w:t>
      </w:r>
      <w:r>
        <w:t xml:space="preserve"> </w:t>
      </w:r>
      <w:r>
        <w:rPr>
          <w:iCs/>
          <w:i/>
        </w:rPr>
        <w:t xml:space="preserve">PLoS Computational Biology</w:t>
      </w:r>
      <w:r>
        <w:t xml:space="preserve"> </w:t>
      </w:r>
      <w:r>
        <w:t xml:space="preserve">12 (10): e1005153.</w:t>
      </w:r>
      <w:r>
        <w:t xml:space="preserve"> </w:t>
      </w:r>
      <w:hyperlink r:id="rId122">
        <w:r>
          <w:rPr>
            <w:rStyle w:val="Hyperlink"/>
          </w:rPr>
          <w:t xml:space="preserve">https://doi.org/10.1371/journal.pcbi.1005153</w:t>
        </w:r>
      </w:hyperlink>
      <w:r>
        <w:t xml:space="preserve">.</w:t>
      </w:r>
    </w:p>
    <w:bookmarkEnd w:id="123"/>
    <w:bookmarkEnd w:id="124"/>
    <w:bookmarkEnd w:id="1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image" Id="rId69" Target="media/rId69.png" /><Relationship Type="http://schemas.openxmlformats.org/officeDocument/2006/relationships/image" Id="rId72" Target="media/rId72.png"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image" Id="rId81" Target="media/rId81.png" /><Relationship Type="http://schemas.openxmlformats.org/officeDocument/2006/relationships/image" Id="rId84" Target="media/rId84.png" /><Relationship Type="http://schemas.openxmlformats.org/officeDocument/2006/relationships/image" Id="rId87" Target="media/rId87.png" /><Relationship Type="http://schemas.openxmlformats.org/officeDocument/2006/relationships/image" Id="rId90" Target="media/rId90.png" /><Relationship Type="http://schemas.openxmlformats.org/officeDocument/2006/relationships/image" Id="rId93" Target="media/rId93.png" /><Relationship Type="http://schemas.openxmlformats.org/officeDocument/2006/relationships/hyperlink" Id="rId104" Target="https://arxiv.org/abs/2604.03868" TargetMode="External" /><Relationship Type="http://schemas.openxmlformats.org/officeDocument/2006/relationships/hyperlink" Id="rId98" Target="https://arxiv.org/abs/2604.24663" TargetMode="External" /><Relationship Type="http://schemas.openxmlformats.org/officeDocument/2006/relationships/hyperlink" Id="rId114" Target="https://doi.org/10.1002/rnc.657" TargetMode="External" /><Relationship Type="http://schemas.openxmlformats.org/officeDocument/2006/relationships/hyperlink" Id="rId110" Target="https://doi.org/10.1109/TAC.1977.1101601" TargetMode="External" /><Relationship Type="http://schemas.openxmlformats.org/officeDocument/2006/relationships/hyperlink" Id="rId116" Target="https://doi.org/10.1109/TAC.2002.808470" TargetMode="External" /><Relationship Type="http://schemas.openxmlformats.org/officeDocument/2006/relationships/hyperlink" Id="rId102" Target="https://doi.org/10.1287/mnsc.2020.3922" TargetMode="External" /><Relationship Type="http://schemas.openxmlformats.org/officeDocument/2006/relationships/hyperlink" Id="rId122" Target="https://doi.org/10.1371/journal.pcbi.1005153" TargetMode="External" /><Relationship Type="http://schemas.openxmlformats.org/officeDocument/2006/relationships/hyperlink" Id="rId96" Target="https://dspace.sti.ufcg.edu.br/handle/riufcg/12684" TargetMode="External" /><Relationship Type="http://schemas.openxmlformats.org/officeDocument/2006/relationships/hyperlink" Id="rId108" Target="https://proceedings.mlr.press/v144/goel21a.html" TargetMode="External" /><Relationship Type="http://schemas.openxmlformats.org/officeDocument/2006/relationships/hyperlink" Id="rId106" Target="https://public.websites.umich.edu/~elements/6e/12chap/live.html" TargetMode="External" /><Relationship Type="http://schemas.openxmlformats.org/officeDocument/2006/relationships/hyperlink" Id="rId118" Target="https://sites.chemengr.ucsb.edu/~jbraw/mpc/" TargetMode="External" /><Relationship Type="http://schemas.openxmlformats.org/officeDocument/2006/relationships/hyperlink" Id="rId120" Target="https://skoge.folk.ntnu.no/prost/proceedings/dycops2007-and-cab2007/DYCOPS/Friday/DissipativityBasedControl/V32_291_Paper_stamped_noAS.pdf" TargetMode="External" /><Relationship Type="http://schemas.openxmlformats.org/officeDocument/2006/relationships/hyperlink" Id="rId100" Target="https://www.engineering.upenn.edu/~dlewin/CACHE_Workshop/Batch%20Manufacture%20of%20Propylene%20Glycol.pdf" TargetMode="External" /><Relationship Type="http://schemas.openxmlformats.org/officeDocument/2006/relationships/hyperlink" Id="rId112" Target="https://www.jmlr.org/papers/v17/15-162.html" TargetMode="External" /></Relationships>
</file>

<file path=word/_rels/footnotes.xml.rels><?xml version="1.0" encoding="UTF-8"?><Relationships xmlns="http://schemas.openxmlformats.org/package/2006/relationships"><Relationship Type="http://schemas.openxmlformats.org/officeDocument/2006/relationships/hyperlink" Id="rId104" Target="https://arxiv.org/abs/2604.03868" TargetMode="External" /><Relationship Type="http://schemas.openxmlformats.org/officeDocument/2006/relationships/hyperlink" Id="rId98" Target="https://arxiv.org/abs/2604.24663" TargetMode="External" /><Relationship Type="http://schemas.openxmlformats.org/officeDocument/2006/relationships/hyperlink" Id="rId114" Target="https://doi.org/10.1002/rnc.657" TargetMode="External" /><Relationship Type="http://schemas.openxmlformats.org/officeDocument/2006/relationships/hyperlink" Id="rId110" Target="https://doi.org/10.1109/TAC.1977.1101601" TargetMode="External" /><Relationship Type="http://schemas.openxmlformats.org/officeDocument/2006/relationships/hyperlink" Id="rId116" Target="https://doi.org/10.1109/TAC.2002.808470" TargetMode="External" /><Relationship Type="http://schemas.openxmlformats.org/officeDocument/2006/relationships/hyperlink" Id="rId102" Target="https://doi.org/10.1287/mnsc.2020.3922" TargetMode="External" /><Relationship Type="http://schemas.openxmlformats.org/officeDocument/2006/relationships/hyperlink" Id="rId122" Target="https://doi.org/10.1371/journal.pcbi.1005153" TargetMode="External" /><Relationship Type="http://schemas.openxmlformats.org/officeDocument/2006/relationships/hyperlink" Id="rId96" Target="https://dspace.sti.ufcg.edu.br/handle/riufcg/12684" TargetMode="External" /><Relationship Type="http://schemas.openxmlformats.org/officeDocument/2006/relationships/hyperlink" Id="rId108" Target="https://proceedings.mlr.press/v144/goel21a.html" TargetMode="External" /><Relationship Type="http://schemas.openxmlformats.org/officeDocument/2006/relationships/hyperlink" Id="rId106" Target="https://public.websites.umich.edu/~elements/6e/12chap/live.html" TargetMode="External" /><Relationship Type="http://schemas.openxmlformats.org/officeDocument/2006/relationships/hyperlink" Id="rId118" Target="https://sites.chemengr.ucsb.edu/~jbraw/mpc/" TargetMode="External" /><Relationship Type="http://schemas.openxmlformats.org/officeDocument/2006/relationships/hyperlink" Id="rId120" Target="https://skoge.folk.ntnu.no/prost/proceedings/dycops2007-and-cab2007/DYCOPS/Friday/DissipativityBasedControl/V32_291_Paper_stamped_noAS.pdf" TargetMode="External" /><Relationship Type="http://schemas.openxmlformats.org/officeDocument/2006/relationships/hyperlink" Id="rId100" Target="https://www.engineering.upenn.edu/~dlewin/CACHE_Workshop/Batch%20Manufacture%20of%20Propylene%20Glycol.pdf" TargetMode="External" /><Relationship Type="http://schemas.openxmlformats.org/officeDocument/2006/relationships/hyperlink" Id="rId112" Target="https://www.jmlr.org/papers/v17/15-162.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Limites de Informação e Decisão no Controle Preditivo Inferencial de um Reator Não Linear de Propilenoglicol</dc:title>
  <dc:creator>Walter Yanko de Aragão Brandão</dc:creator>
  <dc:language>pt-BR</dc:language>
  <cp:keywords/>
  <dcterms:created xsi:type="dcterms:W3CDTF">2026-10-20T22:08:21Z</dcterms:created>
  <dcterms:modified xsi:type="dcterms:W3CDTF">2026-10-20T22:08:21Z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olorlinks">
    <vt:lpwstr>True</vt:lpwstr>
  </property>
  <property fmtid="{D5CDD505-2E9C-101B-9397-08002B2CF9AE}" pid="4" name="date">
    <vt:lpwstr>20 de outubro de 2026</vt:lpwstr>
  </property>
  <property fmtid="{D5CDD505-2E9C-101B-9397-08002B2CF9AE}" pid="5" name="fontsize">
    <vt:lpwstr>11pt</vt:lpwstr>
  </property>
  <property fmtid="{D5CDD505-2E9C-101B-9397-08002B2CF9AE}" pid="6" name="geometry">
    <vt:lpwstr>margin=24mm</vt:lpwstr>
  </property>
</Properties>
</file>