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Information</w:t>
      </w:r>
      <w:r>
        <w:t xml:space="preserve"> </w:t>
      </w:r>
      <w:r>
        <w:t xml:space="preserve">and</w:t>
      </w:r>
      <w:r>
        <w:t xml:space="preserve"> </w:t>
      </w:r>
      <w:r>
        <w:t xml:space="preserve">Decision</w:t>
      </w:r>
      <w:r>
        <w:t xml:space="preserve"> </w:t>
      </w:r>
      <w:r>
        <w:t xml:space="preserve">Limits</w:t>
      </w:r>
      <w:r>
        <w:t xml:space="preserve"> </w:t>
      </w:r>
      <w:r>
        <w:t xml:space="preserve">in</w:t>
      </w:r>
      <w:r>
        <w:t xml:space="preserve"> </w:t>
      </w:r>
      <w:r>
        <w:t xml:space="preserve">Inferential</w:t>
      </w:r>
      <w:r>
        <w:t xml:space="preserve"> </w:t>
      </w:r>
      <w:r>
        <w:t xml:space="preserve">Predictive</w:t>
      </w:r>
      <w:r>
        <w:t xml:space="preserve"> </w:t>
      </w:r>
      <w:r>
        <w:t xml:space="preserve">Control</w:t>
      </w:r>
      <w:r>
        <w:t xml:space="preserve"> </w:t>
      </w:r>
      <w:r>
        <w:t xml:space="preserve">of</w:t>
      </w:r>
      <w:r>
        <w:t xml:space="preserve"> </w:t>
      </w:r>
      <w:r>
        <w:t xml:space="preserve">a</w:t>
      </w:r>
      <w:r>
        <w:t xml:space="preserve"> </w:t>
      </w:r>
      <w:r>
        <w:t xml:space="preserve">Nonlinear</w:t>
      </w:r>
      <w:r>
        <w:t xml:space="preserve"> </w:t>
      </w:r>
      <w:r>
        <w:t xml:space="preserve">Propylene</w:t>
      </w:r>
      <w:r>
        <w:t xml:space="preserve"> </w:t>
      </w:r>
      <w:r>
        <w:t xml:space="preserve">Glycol</w:t>
      </w:r>
      <w:r>
        <w:t xml:space="preserve"> </w:t>
      </w:r>
      <w:r>
        <w:t xml:space="preserve">Reactor</w:t>
      </w:r>
    </w:p>
    <w:p>
      <w:pPr>
        <w:pStyle w:val="Author"/>
      </w:pPr>
      <w:r>
        <w:t xml:space="preserve">Walter</w:t>
      </w:r>
      <w:r>
        <w:t xml:space="preserve"> </w:t>
      </w:r>
      <w:r>
        <w:t xml:space="preserve">Yanko</w:t>
      </w:r>
      <w:r>
        <w:t xml:space="preserve"> </w:t>
      </w:r>
      <w:r>
        <w:t xml:space="preserve">de</w:t>
      </w:r>
      <w:r>
        <w:t xml:space="preserve"> </w:t>
      </w:r>
      <w:r>
        <w:t xml:space="preserve">Aragão</w:t>
      </w:r>
      <w:r>
        <w:t xml:space="preserve"> </w:t>
      </w:r>
      <w:r>
        <w:t xml:space="preserve">Brandão</w:t>
      </w:r>
    </w:p>
    <w:p>
      <w:pPr>
        <w:pStyle w:val="Date"/>
      </w:pPr>
      <w:r>
        <w:t xml:space="preserve">20</w:t>
      </w:r>
      <w:r>
        <w:t xml:space="preserve"> </w:t>
      </w:r>
      <w:r>
        <w:t xml:space="preserve">October</w:t>
      </w:r>
      <w:r>
        <w:t xml:space="preserve"> </w:t>
      </w:r>
      <w:r>
        <w:t xml:space="preserve">2026</w:t>
      </w:r>
    </w:p>
    <w:bookmarkStart w:id="20" w:name="abstract"/>
    <w:p>
      <w:pPr>
        <w:pStyle w:val="Heading1"/>
      </w:pPr>
      <w:r>
        <w:rPr>
          <w:rStyle w:val="SectionNumber"/>
        </w:rPr>
        <w:t xml:space="preserve">1</w:t>
      </w:r>
      <w:r>
        <w:tab/>
      </w:r>
      <w:r>
        <w:t xml:space="preserve">Abstract</w:t>
      </w:r>
    </w:p>
    <w:p>
      <w:pPr>
        <w:pStyle w:val="FirstParagraph"/>
      </w:pPr>
      <w:r>
        <w:t xml:space="preserve">This computational study examines information and decision limits in a recovered six-state propylene-glycol reactor model. An exact two-dimensional chemical equivalence class exists with constant species heat capacities and first-order kinetics. Restoring reciprocal jacket feedback does not eliminate it. A functional heat-capacity span characterizes a sufficient surviving ambiguity, while temperature-dependent property examples test practical separability. The executed main suite contains 5320 trajectories, with 400 independent-seed confirmation trajectories and 18 grid-sensitivity checks. At nominal dilution, a two-world initial product separation of 0.8 kmol/m3 yields a worst-world 0.9-hour tracking lower bound of 0.060376 kmol h/m3. Finite-grid decision conflict is positive in 51 of 80 examined cases. Incremental ambiguity-control mean gains were 0.63% and 0.66%, with paired confidence intervals including zero; predictor sharing reduced IAE by 39.91% versus estimator-only adaptation. These outcomes do not establish superiority over all continuous NMPC designs. The physical alternatives remain uncalibrated and historical ICAC scalar results were not independently replayed. Accordingly this is a partial research manuscript, not a completed submission-ready validation.</w:t>
      </w:r>
      <w:r>
        <w:t xml:space="preserve"> </w:t>
      </w:r>
      <w:r>
        <w:t xml:space="preserve"># Introduction</w:t>
      </w:r>
    </w:p>
    <w:p>
      <w:pPr>
        <w:pStyle w:val="BodyText"/>
      </w:pPr>
      <w:r>
        <w:t xml:space="preserve">Inferential quality control relies on the information carried by measured variables and on the predictions used to choose actions. A smaller concentration RMSE need not reduce closed-loop loss. This study audits a six-state propylene-glycol CSTR before evaluating additional estimation or control complexity. Two questions are separated: whether temperature-only measurements leave a demonstrable chemical ambiguity, and whether explicitly representing that ambiguity improves control against equally informed comparators.</w:t>
      </w:r>
    </w:p>
    <w:p>
      <w:pPr>
        <w:pStyle w:val="BodyText"/>
      </w:pPr>
      <w:r>
        <w:t xml:space="preserve">The recovered internal ICAC study already reported calorimetrically indistinguishable states and decision conflicts. Its numerical percentages are historical evidence, not reproduced findings of this campaign. The current branch and complete raw ICAC archive were unavailable. This manuscript therefore reports an independent computational core, with remaining publication requirements explicitly identified.</w:t>
      </w:r>
    </w:p>
    <w:bookmarkEnd w:id="20"/>
    <w:bookmarkStart w:id="21" w:name="related-work"/>
    <w:p>
      <w:pPr>
        <w:pStyle w:val="Heading1"/>
      </w:pPr>
      <w:r>
        <w:rPr>
          <w:rStyle w:val="SectionNumber"/>
        </w:rPr>
        <w:t xml:space="preserve">2</w:t>
      </w:r>
      <w:r>
        <w:tab/>
      </w:r>
      <w:r>
        <w:t xml:space="preserve">Related work</w:t>
      </w:r>
    </w:p>
    <w:p>
      <w:pPr>
        <w:pStyle w:val="FirstParagraph"/>
      </w:pPr>
      <w:r>
        <w:t xml:space="preserve">Nonlinear observability and identifiability theory distinguish information loss from numerical estimation difficulty</w:t>
      </w:r>
      <w:r>
        <w:t xml:space="preserve"> </w:t>
      </w:r>
      <w:r>
        <w:t xml:space="preserve">(Hermann and Krener 1977; Villaverde, Barreiro, and Papachristodoulou 2016)</w:t>
      </w:r>
      <w:r>
        <w:t xml:space="preserve">. Reactor concentration ambiguity is not new: nonmonotone kinetic examples already motivate detectable output-feedback designs</w:t>
      </w:r>
      <w:r>
        <w:t xml:space="preserve"> </w:t>
      </w:r>
      <w:r>
        <w:t xml:space="preserve">(Schaum et al. 2007)</w:t>
      </w:r>
      <w:r>
        <w:t xml:space="preserve">. Empirical trajectory methods can reveal weak directions without proving a global structural result</w:t>
      </w:r>
      <w:r>
        <w:t xml:space="preserve"> </w:t>
      </w:r>
      <w:r>
        <w:t xml:space="preserve">(Lall, Marsden, and Glavaski 2002)</w:t>
      </w:r>
      <w:r>
        <w:t xml:space="preserve">.</w:t>
      </w:r>
    </w:p>
    <w:p>
      <w:pPr>
        <w:pStyle w:val="BodyText"/>
      </w:pPr>
      <w:r>
        <w:t xml:space="preserve">Constrained MHE and output-feedback MPC have established assumptions and stability frameworks</w:t>
      </w:r>
      <w:r>
        <w:t xml:space="preserve"> </w:t>
      </w:r>
      <w:r>
        <w:t xml:space="preserve">(Rao, Rawlings, and Mayne 2003; Rawlings, Mayne, and Diehl 2017)</w:t>
      </w:r>
      <w:r>
        <w:t xml:space="preserve">. Regret-optimal measurement feedback has a different benchmark in existing linear-control results</w:t>
      </w:r>
      <w:r>
        <w:t xml:space="preserve"> </w:t>
      </w:r>
      <w:r>
        <w:t xml:space="preserve">(Goel and Hassibi 2021)</w:t>
      </w:r>
      <w:r>
        <w:t xml:space="preserve">. Decision-aware prediction and dual control also precede this study</w:t>
      </w:r>
      <w:r>
        <w:t xml:space="preserve"> </w:t>
      </w:r>
      <w:r>
        <w:t xml:space="preserve">(Elmachtoub and Grigas 2022; Klenske and Hennig 2016)</w:t>
      </w:r>
      <w:r>
        <w:t xml:space="preserve">. Recent belief-space approaches treat input-dependent observations or latent parameter risk</w:t>
      </w:r>
      <w:r>
        <w:t xml:space="preserve"> </w:t>
      </w:r>
      <w:r>
        <w:t xml:space="preserve">(Cao et al. 2026; Enwerem, Baras, and Belta 2026)</w:t>
      </w:r>
      <w:r>
        <w:t xml:space="preserve">; those preprints do not establish reactor performance. The present candidate contribution is a traced, model-specific heat-capacity classification and its connection to finite-horizon decision experiments.</w:t>
      </w:r>
    </w:p>
    <w:bookmarkEnd w:id="21"/>
    <w:bookmarkStart w:id="23" w:name="physical-process-model"/>
    <w:p>
      <w:pPr>
        <w:pStyle w:val="Heading1"/>
      </w:pPr>
      <w:r>
        <w:rPr>
          <w:rStyle w:val="SectionNumber"/>
        </w:rPr>
        <w:t xml:space="preserve">3</w:t>
      </w:r>
      <w:r>
        <w:tab/>
      </w:r>
      <w:r>
        <w:t xml:space="preserve">Physical process model</w:t>
      </w:r>
    </w:p>
    <w:p>
      <w:pPr>
        <w:pStyle w:val="FirstParagraph"/>
      </w:pPr>
      <w:r>
        <w:t xml:space="preserve">The historical source is Brandão’s dissertation and recovered executable MATLAB model</w:t>
      </w:r>
      <w:r>
        <w:t xml:space="preserve"> </w:t>
      </w:r>
      <w:r>
        <w:t xml:space="preserve">(Brandao 2019)</w:t>
      </w:r>
      <w:r>
        <w:t xml:space="preserve">. The reaction is A+B to C, with methanol M treated as inert, constant reactor volume and a level-controlled outlet. Concentrations are kmol/m3, temperatures K, time h and heat kJ. Let</w:t>
      </w:r>
    </w:p>
    <w:p>
      <w:pPr>
        <w:pStyle w:val="BodyText"/>
      </w:pPr>
      <m:oMathPara>
        <m:oMathParaPr>
          <m:jc m:val="center"/>
        </m:oMathParaPr>
        <m:oMath>
          <m:r>
            <m:t>v</m:t>
          </m:r>
          <m:r>
            <m:rPr>
              <m:sty m:val="p"/>
            </m:rPr>
            <m:t>=</m:t>
          </m:r>
          <m:sSub>
            <m:e>
              <m:r>
                <m:t>F</m:t>
              </m:r>
            </m:e>
            <m:sub>
              <m:r>
                <m:t>A</m:t>
              </m:r>
            </m:sub>
          </m:sSub>
          <m:r>
            <m:rPr>
              <m:sty m:val="p"/>
            </m:rPr>
            <m:t>/</m:t>
          </m:r>
          <m:sSub>
            <m:e>
              <m:r>
                <m:t>ρ</m:t>
              </m:r>
            </m:e>
            <m:sub>
              <m:r>
                <m:t>A</m:t>
              </m:r>
            </m:sub>
          </m:sSub>
          <m:r>
            <m:rPr>
              <m:sty m:val="p"/>
            </m:rPr>
            <m:t>+</m:t>
          </m:r>
          <m:sSub>
            <m:e>
              <m:r>
                <m:t>F</m:t>
              </m:r>
            </m:e>
            <m:sub>
              <m:r>
                <m:t>B</m:t>
              </m:r>
            </m:sub>
          </m:sSub>
          <m:r>
            <m:rPr>
              <m:sty m:val="p"/>
            </m:rPr>
            <m:t>/</m:t>
          </m:r>
          <m:sSub>
            <m:e>
              <m:r>
                <m:t>ρ</m:t>
              </m:r>
            </m:e>
            <m:sub>
              <m:r>
                <m:t>B</m:t>
              </m:r>
            </m:sub>
          </m:sSub>
          <m:r>
            <m:rPr>
              <m:sty m:val="p"/>
            </m:rPr>
            <m:t>+</m:t>
          </m:r>
          <m:sSub>
            <m:e>
              <m:r>
                <m:t>F</m:t>
              </m:r>
            </m:e>
            <m:sub>
              <m:r>
                <m:t>M</m:t>
              </m:r>
            </m:sub>
          </m:sSub>
          <m:r>
            <m:rPr>
              <m:sty m:val="p"/>
            </m:rPr>
            <m:t>/</m:t>
          </m:r>
          <m:sSub>
            <m:e>
              <m:r>
                <m:t>ρ</m:t>
              </m:r>
            </m:e>
            <m:sub>
              <m:r>
                <m:t>M</m:t>
              </m:r>
            </m:sub>
          </m:sSub>
          <m:r>
            <m:rPr>
              <m:sty m:val="p"/>
            </m:rPr>
            <m:t>,</m:t>
          </m:r>
          <m:r>
            <m:t> </m:t>
          </m:r>
          <m:r>
            <m:t>D</m:t>
          </m:r>
          <m:r>
            <m:rPr>
              <m:sty m:val="p"/>
            </m:rPr>
            <m:t>=</m:t>
          </m:r>
          <m:r>
            <m:t>v</m:t>
          </m:r>
          <m:r>
            <m:rPr>
              <m:sty m:val="p"/>
            </m:rPr>
            <m:t>/</m:t>
          </m:r>
          <m:r>
            <m:t>V</m:t>
          </m:r>
          <m:r>
            <m:rPr>
              <m:sty m:val="p"/>
            </m:rPr>
            <m:t>,</m:t>
          </m:r>
          <m:r>
            <m:t> </m:t>
          </m:r>
          <m:r>
            <m:t>r</m:t>
          </m:r>
          <m:r>
            <m:rPr>
              <m:sty m:val="p"/>
            </m:rPr>
            <m:t>=</m:t>
          </m:r>
          <m:sSub>
            <m:e>
              <m:r>
                <m:t>k</m:t>
              </m:r>
            </m:e>
            <m:sub>
              <m:r>
                <m:t>0</m:t>
              </m:r>
            </m:sub>
          </m:sSub>
          <m:r>
            <m:rPr>
              <m:sty m:val="p"/>
            </m:rPr>
            <m:t>exp</m:t>
          </m:r>
          <m:d>
            <m:dPr>
              <m:begChr m:val="["/>
              <m:endChr m:val="]"/>
              <m:sepChr m:val=""/>
              <m:grow/>
            </m:dPr>
            <m:e>
              <m:r>
                <m:rPr>
                  <m:sty m:val="p"/>
                </m:rPr>
                <m:t>−</m:t>
              </m:r>
              <m:r>
                <m:t>E</m:t>
              </m:r>
              <m:r>
                <m:rPr>
                  <m:sty m:val="p"/>
                </m:rPr>
                <m:t>/</m:t>
              </m:r>
              <m:d>
                <m:dPr>
                  <m:begChr m:val="("/>
                  <m:endChr m:val=")"/>
                  <m:sepChr m:val=""/>
                  <m:grow/>
                </m:dPr>
                <m:e>
                  <m:r>
                    <m:t>R</m:t>
                  </m:r>
                  <m:d>
                    <m:dPr>
                      <m:begChr m:val="("/>
                      <m:endChr m:val=")"/>
                      <m:sepChr m:val=""/>
                      <m:grow/>
                    </m:dPr>
                    <m:e>
                      <m:r>
                        <m:t>T</m:t>
                      </m:r>
                      <m:r>
                        <m:rPr>
                          <m:sty m:val="p"/>
                        </m:rPr>
                        <m:t>+</m:t>
                      </m:r>
                      <m:r>
                        <m:t>0.183333333333</m:t>
                      </m:r>
                    </m:e>
                  </m:d>
                </m:e>
              </m:d>
            </m:e>
          </m:d>
          <m:sSub>
            <m:e>
              <m:r>
                <m:t>C</m:t>
              </m:r>
            </m:e>
            <m:sub>
              <m:r>
                <m:t>A</m:t>
              </m:r>
            </m:sub>
          </m:sSub>
          <m:r>
            <m:rPr>
              <m:sty m:val="p"/>
            </m:rPr>
            <m:t>.</m:t>
          </m:r>
        </m:oMath>
      </m:oMathPara>
    </w:p>
    <w:p>
      <w:pPr>
        <w:pStyle w:val="FirstParagraph"/>
      </w:pPr>
      <w:r>
        <w:t xml:space="preserve">The balances are</w:t>
      </w:r>
    </w:p>
    <w:p>
      <w:pPr>
        <w:pStyle w:val="BodyText"/>
      </w:pPr>
      <m:oMathPara>
        <m:oMathParaPr>
          <m:jc m:val="center"/>
        </m:oMathParaPr>
        <m:oMath>
          <m:sSub>
            <m:e>
              <m:acc>
                <m:accPr>
                  <m:chr m:val="̇"/>
                </m:accPr>
                <m:e>
                  <m:r>
                    <m:t>C</m:t>
                  </m:r>
                </m:e>
              </m:acc>
            </m:e>
            <m:sub>
              <m:r>
                <m:t>A</m:t>
              </m:r>
            </m:sub>
          </m:sSub>
          <m:r>
            <m:rPr>
              <m:sty m:val="p"/>
            </m:rPr>
            <m:t>=</m:t>
          </m:r>
          <m:sSub>
            <m:e>
              <m:r>
                <m:t>F</m:t>
              </m:r>
            </m:e>
            <m:sub>
              <m:r>
                <m:t>A</m:t>
              </m:r>
            </m:sub>
          </m:sSub>
          <m:r>
            <m:rPr>
              <m:sty m:val="p"/>
            </m:rPr>
            <m:t>/</m:t>
          </m:r>
          <m:r>
            <m:t>V</m:t>
          </m:r>
          <m:r>
            <m:rPr>
              <m:sty m:val="p"/>
            </m:rPr>
            <m:t>−</m:t>
          </m:r>
          <m:r>
            <m:t>D</m:t>
          </m:r>
          <m:sSub>
            <m:e>
              <m:r>
                <m:t>C</m:t>
              </m:r>
            </m:e>
            <m:sub>
              <m:r>
                <m:t>A</m:t>
              </m:r>
            </m:sub>
          </m:sSub>
          <m:r>
            <m:rPr>
              <m:sty m:val="p"/>
            </m:rPr>
            <m:t>−</m:t>
          </m:r>
          <m:r>
            <m:t>r</m:t>
          </m:r>
          <m:r>
            <m:rPr>
              <m:sty m:val="p"/>
            </m:rPr>
            <m:t>,</m:t>
          </m:r>
          <m:r>
            <m:t>  </m:t>
          </m:r>
          <m:sSub>
            <m:e>
              <m:acc>
                <m:accPr>
                  <m:chr m:val="̇"/>
                </m:accPr>
                <m:e>
                  <m:r>
                    <m:t>C</m:t>
                  </m:r>
                </m:e>
              </m:acc>
            </m:e>
            <m:sub>
              <m:r>
                <m:t>B</m:t>
              </m:r>
            </m:sub>
          </m:sSub>
          <m:r>
            <m:rPr>
              <m:sty m:val="p"/>
            </m:rPr>
            <m:t>=</m:t>
          </m:r>
          <m:sSub>
            <m:e>
              <m:r>
                <m:t>F</m:t>
              </m:r>
            </m:e>
            <m:sub>
              <m:r>
                <m:t>B</m:t>
              </m:r>
            </m:sub>
          </m:sSub>
          <m:r>
            <m:rPr>
              <m:sty m:val="p"/>
            </m:rPr>
            <m:t>/</m:t>
          </m:r>
          <m:r>
            <m:t>V</m:t>
          </m:r>
          <m:r>
            <m:rPr>
              <m:sty m:val="p"/>
            </m:rPr>
            <m:t>−</m:t>
          </m:r>
          <m:r>
            <m:t>D</m:t>
          </m:r>
          <m:sSub>
            <m:e>
              <m:r>
                <m:t>C</m:t>
              </m:r>
            </m:e>
            <m:sub>
              <m:r>
                <m:t>B</m:t>
              </m:r>
            </m:sub>
          </m:sSub>
          <m:r>
            <m:rPr>
              <m:sty m:val="p"/>
            </m:rPr>
            <m:t>−</m:t>
          </m:r>
          <m:r>
            <m:t>r</m:t>
          </m:r>
          <m:r>
            <m:rPr>
              <m:sty m:val="p"/>
            </m:rPr>
            <m:t>,</m:t>
          </m:r>
        </m:oMath>
      </m:oMathPara>
    </w:p>
    <w:p>
      <w:pPr>
        <w:pStyle w:val="FirstParagraph"/>
      </w:pPr>
      <m:oMathPara>
        <m:oMathParaPr>
          <m:jc m:val="center"/>
        </m:oMathParaPr>
        <m:oMath>
          <m:sSub>
            <m:e>
              <m:acc>
                <m:accPr>
                  <m:chr m:val="̇"/>
                </m:accPr>
                <m:e>
                  <m:r>
                    <m:t>C</m:t>
                  </m:r>
                </m:e>
              </m:acc>
            </m:e>
            <m:sub>
              <m:r>
                <m:t>C</m:t>
              </m:r>
            </m:sub>
          </m:sSub>
          <m:r>
            <m:rPr>
              <m:sty m:val="p"/>
            </m:rPr>
            <m:t>=</m:t>
          </m:r>
          <m:r>
            <m:rPr>
              <m:sty m:val="p"/>
            </m:rPr>
            <m:t>−</m:t>
          </m:r>
          <m:r>
            <m:t>D</m:t>
          </m:r>
          <m:sSub>
            <m:e>
              <m:r>
                <m:t>C</m:t>
              </m:r>
            </m:e>
            <m:sub>
              <m:r>
                <m:t>C</m:t>
              </m:r>
            </m:sub>
          </m:sSub>
          <m:r>
            <m:rPr>
              <m:sty m:val="p"/>
            </m:rPr>
            <m:t>+</m:t>
          </m:r>
          <m:r>
            <m:t>r</m:t>
          </m:r>
          <m:r>
            <m:rPr>
              <m:sty m:val="p"/>
            </m:rPr>
            <m:t>,</m:t>
          </m:r>
          <m:r>
            <m:t>  </m:t>
          </m:r>
          <m:sSub>
            <m:e>
              <m:acc>
                <m:accPr>
                  <m:chr m:val="̇"/>
                </m:accPr>
                <m:e>
                  <m:r>
                    <m:t>C</m:t>
                  </m:r>
                </m:e>
              </m:acc>
            </m:e>
            <m:sub>
              <m:r>
                <m:t>M</m:t>
              </m:r>
            </m:sub>
          </m:sSub>
          <m:r>
            <m:rPr>
              <m:sty m:val="p"/>
            </m:rPr>
            <m:t>=</m:t>
          </m:r>
          <m:sSub>
            <m:e>
              <m:r>
                <m:t>F</m:t>
              </m:r>
            </m:e>
            <m:sub>
              <m:r>
                <m:t>M</m:t>
              </m:r>
            </m:sub>
          </m:sSub>
          <m:r>
            <m:rPr>
              <m:sty m:val="p"/>
            </m:rPr>
            <m:t>/</m:t>
          </m:r>
          <m:r>
            <m:t>V</m:t>
          </m:r>
          <m:r>
            <m:rPr>
              <m:sty m:val="p"/>
            </m:rPr>
            <m:t>−</m:t>
          </m:r>
          <m:r>
            <m:t>D</m:t>
          </m:r>
          <m:sSub>
            <m:e>
              <m:r>
                <m:t>C</m:t>
              </m:r>
            </m:e>
            <m:sub>
              <m:r>
                <m:t>M</m:t>
              </m:r>
            </m:sub>
          </m:sSub>
          <m:r>
            <m:rPr>
              <m:sty m:val="p"/>
            </m:rPr>
            <m:t>.</m:t>
          </m:r>
        </m:oMath>
      </m:oMathPara>
    </w:p>
    <w:p>
      <w:pPr>
        <w:pStyle w:val="FirstParagraph"/>
      </w:pPr>
      <w:r>
        <w:t xml:space="preserve">With</w:t>
      </w:r>
      <w:r>
        <w:t xml:space="preserve"> </w:t>
      </w:r>
      <m:oMath>
        <m:r>
          <m:t>W</m:t>
        </m:r>
        <m:r>
          <m:rPr>
            <m:sty m:val="p"/>
          </m:rPr>
          <m:t>=</m:t>
        </m:r>
        <m:nary>
          <m:naryPr>
            <m:chr m:val="∑"/>
            <m:limLoc m:val="undOvr"/>
            <m:subHide m:val="off"/>
            <m:supHide m:val="on"/>
          </m:naryPr>
          <m:sub>
            <m:r>
              <m:t>i</m:t>
            </m:r>
          </m:sub>
          <m:sup>
            <m:r>
              <m:t>​</m:t>
            </m:r>
          </m:sup>
          <m:e>
            <m:sSub>
              <m:e>
                <m:r>
                  <m:t>c</m:t>
                </m:r>
              </m:e>
              <m:sub>
                <m:r>
                  <m:t>p</m:t>
                </m:r>
                <m:r>
                  <m:rPr>
                    <m:sty m:val="p"/>
                  </m:rPr>
                  <m:t>,</m:t>
                </m:r>
                <m:r>
                  <m:t>i</m:t>
                </m:r>
              </m:sub>
            </m:sSub>
          </m:e>
        </m:nary>
        <m:sSub>
          <m:e>
            <m:r>
              <m:t>C</m:t>
            </m:r>
          </m:e>
          <m:sub>
            <m:r>
              <m:t>i</m:t>
            </m:r>
          </m:sub>
        </m:sSub>
      </m:oMath>
      <w:r>
        <w:t xml:space="preserve"> </w:t>
      </w:r>
      <w:r>
        <w:t xml:space="preserve">and</w:t>
      </w:r>
      <w:r>
        <w:t xml:space="preserve"> </w:t>
      </w:r>
      <m:oMath>
        <m:sSub>
          <m:e>
            <m:r>
              <m:t>F</m:t>
            </m:r>
          </m:e>
          <m:sub>
            <m:r>
              <m:t>c</m:t>
            </m:r>
            <m:r>
              <m:t>p</m:t>
            </m:r>
          </m:sub>
        </m:sSub>
        <m:r>
          <m:rPr>
            <m:sty m:val="p"/>
          </m:rPr>
          <m:t>=</m:t>
        </m:r>
        <m:sSub>
          <m:e>
            <m:r>
              <m:t>F</m:t>
            </m:r>
          </m:e>
          <m:sub>
            <m:r>
              <m:t>A</m:t>
            </m:r>
          </m:sub>
        </m:sSub>
        <m:sSub>
          <m:e>
            <m:r>
              <m:t>c</m:t>
            </m:r>
          </m:e>
          <m:sub>
            <m:r>
              <m:t>p</m:t>
            </m:r>
            <m:r>
              <m:rPr>
                <m:sty m:val="p"/>
              </m:rPr>
              <m:t>,</m:t>
            </m:r>
            <m:r>
              <m:t>A</m:t>
            </m:r>
          </m:sub>
        </m:sSub>
        <m:r>
          <m:rPr>
            <m:sty m:val="p"/>
          </m:rPr>
          <m:t>+</m:t>
        </m:r>
        <m:sSub>
          <m:e>
            <m:r>
              <m:t>F</m:t>
            </m:r>
          </m:e>
          <m:sub>
            <m:r>
              <m:t>B</m:t>
            </m:r>
          </m:sub>
        </m:sSub>
        <m:sSub>
          <m:e>
            <m:r>
              <m:t>c</m:t>
            </m:r>
          </m:e>
          <m:sub>
            <m:r>
              <m:t>p</m:t>
            </m:r>
            <m:r>
              <m:rPr>
                <m:sty m:val="p"/>
              </m:rPr>
              <m:t>,</m:t>
            </m:r>
            <m:r>
              <m:t>B</m:t>
            </m:r>
          </m:sub>
        </m:sSub>
        <m:r>
          <m:rPr>
            <m:sty m:val="p"/>
          </m:rPr>
          <m:t>+</m:t>
        </m:r>
        <m:sSub>
          <m:e>
            <m:r>
              <m:t>F</m:t>
            </m:r>
          </m:e>
          <m:sub>
            <m:r>
              <m:t>M</m:t>
            </m:r>
          </m:sub>
        </m:sSub>
        <m:sSub>
          <m:e>
            <m:r>
              <m:t>c</m:t>
            </m:r>
          </m:e>
          <m:sub>
            <m:r>
              <m:t>p</m:t>
            </m:r>
            <m:r>
              <m:rPr>
                <m:sty m:val="p"/>
              </m:rPr>
              <m:t>,</m:t>
            </m:r>
            <m:r>
              <m:t>M</m:t>
            </m:r>
          </m:sub>
        </m:sSub>
      </m:oMath>
      <w:r>
        <w:t xml:space="preserve">,</w:t>
      </w:r>
    </w:p>
    <w:p>
      <w:pPr>
        <w:pStyle w:val="BodyText"/>
      </w:pPr>
      <m:oMathPara>
        <m:oMathParaPr>
          <m:jc m:val="center"/>
        </m:oMathParaPr>
        <m:oMath>
          <m:r>
            <m:t>Q</m:t>
          </m:r>
          <m:r>
            <m:rPr>
              <m:sty m:val="p"/>
            </m:rPr>
            <m:t>=</m:t>
          </m:r>
          <m:sSub>
            <m:e>
              <m:r>
                <m:t>m</m:t>
              </m:r>
            </m:e>
            <m:sub>
              <m:r>
                <m:t>w</m:t>
              </m:r>
            </m:sub>
          </m:sSub>
          <m:sSub>
            <m:e>
              <m:r>
                <m:t>c</m:t>
              </m:r>
            </m:e>
            <m:sub>
              <m:r>
                <m:t>p</m:t>
              </m:r>
              <m:r>
                <m:rPr>
                  <m:sty m:val="p"/>
                </m:rPr>
                <m:t>,</m:t>
              </m:r>
              <m:r>
                <m:t>B</m:t>
              </m:r>
            </m:sub>
          </m:sSub>
          <m:d>
            <m:dPr>
              <m:begChr m:val="("/>
              <m:endChr m:val=")"/>
              <m:sepChr m:val=""/>
              <m:grow/>
            </m:dPr>
            <m:e>
              <m:sSub>
                <m:e>
                  <m:r>
                    <m:t>T</m:t>
                  </m:r>
                </m:e>
                <m:sub>
                  <m:r>
                    <m:t>a</m:t>
                  </m:r>
                </m:sub>
              </m:sSub>
              <m:r>
                <m:rPr>
                  <m:sty m:val="p"/>
                </m:rPr>
                <m:t>−</m:t>
              </m:r>
              <m:r>
                <m:t>T</m:t>
              </m:r>
            </m:e>
          </m:d>
          <m:d>
            <m:dPr>
              <m:begChr m:val="["/>
              <m:endChr m:val="]"/>
              <m:sepChr m:val=""/>
              <m:grow/>
            </m:dPr>
            <m:e>
              <m:r>
                <m:t>1</m:t>
              </m:r>
              <m:r>
                <m:rPr>
                  <m:sty m:val="p"/>
                </m:rPr>
                <m:t>−</m:t>
              </m:r>
              <m:sSup>
                <m:e>
                  <m:r>
                    <m:t>e</m:t>
                  </m:r>
                </m:e>
                <m:sup>
                  <m:r>
                    <m:rPr>
                      <m:sty m:val="p"/>
                    </m:rPr>
                    <m:t>−</m:t>
                  </m:r>
                  <m:r>
                    <m:t>U</m:t>
                  </m:r>
                  <m:r>
                    <m:t>A</m:t>
                  </m:r>
                  <m:r>
                    <m:rPr>
                      <m:sty m:val="p"/>
                    </m:rPr>
                    <m:t>/</m:t>
                  </m:r>
                  <m:d>
                    <m:dPr>
                      <m:begChr m:val="("/>
                      <m:endChr m:val=")"/>
                      <m:sepChr m:val=""/>
                      <m:grow/>
                    </m:dPr>
                    <m:e>
                      <m:sSub>
                        <m:e>
                          <m:r>
                            <m:t>m</m:t>
                          </m:r>
                        </m:e>
                        <m:sub>
                          <m:r>
                            <m:t>w</m:t>
                          </m:r>
                        </m:sub>
                      </m:sSub>
                      <m:sSub>
                        <m:e>
                          <m:r>
                            <m:t>c</m:t>
                          </m:r>
                        </m:e>
                        <m:sub>
                          <m:r>
                            <m:t>p</m:t>
                          </m:r>
                          <m:r>
                            <m:rPr>
                              <m:sty m:val="p"/>
                            </m:rPr>
                            <m:t>,</m:t>
                          </m:r>
                          <m:r>
                            <m:t>B</m:t>
                          </m:r>
                        </m:sub>
                      </m:sSub>
                    </m:e>
                  </m:d>
                </m:sup>
              </m:sSup>
            </m:e>
          </m:d>
          <m:r>
            <m:rPr>
              <m:sty m:val="p"/>
            </m:rPr>
            <m:t>,</m:t>
          </m:r>
        </m:oMath>
      </m:oMathPara>
    </w:p>
    <w:p>
      <w:pPr>
        <w:pStyle w:val="FirstParagraph"/>
      </w:pPr>
      <m:oMathPara>
        <m:oMathParaPr>
          <m:jc m:val="center"/>
        </m:oMathParaPr>
        <m:oMath>
          <m:acc>
            <m:accPr>
              <m:chr m:val="̇"/>
            </m:accPr>
            <m:e>
              <m:r>
                <m:t>T</m:t>
              </m:r>
            </m:e>
          </m:acc>
          <m:r>
            <m:rPr>
              <m:sty m:val="p"/>
            </m:rPr>
            <m:t>=</m:t>
          </m:r>
          <m:f>
            <m:fPr>
              <m:type m:val="bar"/>
            </m:fPr>
            <m:num>
              <m:r>
                <m:t>Q</m:t>
              </m:r>
              <m:r>
                <m:rPr>
                  <m:sty m:val="p"/>
                </m:rPr>
                <m:t>+</m:t>
              </m:r>
              <m:sSub>
                <m:e>
                  <m:r>
                    <m:t>F</m:t>
                  </m:r>
                </m:e>
                <m:sub>
                  <m:r>
                    <m:t>c</m:t>
                  </m:r>
                  <m:r>
                    <m:t>p</m:t>
                  </m:r>
                </m:sub>
              </m:sSub>
              <m:d>
                <m:dPr>
                  <m:begChr m:val="("/>
                  <m:endChr m:val=")"/>
                  <m:sepChr m:val=""/>
                  <m:grow/>
                </m:dPr>
                <m:e>
                  <m:sSub>
                    <m:e>
                      <m:r>
                        <m:t>T</m:t>
                      </m:r>
                    </m:e>
                    <m:sub>
                      <m:r>
                        <m:t>0</m:t>
                      </m:r>
                    </m:sub>
                  </m:sSub>
                  <m:r>
                    <m:rPr>
                      <m:sty m:val="p"/>
                    </m:rPr>
                    <m:t>−</m:t>
                  </m:r>
                  <m:r>
                    <m:t>T</m:t>
                  </m:r>
                </m:e>
              </m:d>
              <m:r>
                <m:rPr>
                  <m:sty m:val="p"/>
                </m:rPr>
                <m:t>−</m:t>
              </m:r>
              <m:r>
                <m:t>Δ</m:t>
              </m:r>
              <m:sSub>
                <m:e>
                  <m:r>
                    <m:t>H</m:t>
                  </m:r>
                </m:e>
                <m:sub>
                  <m:r>
                    <m:t>r</m:t>
                  </m:r>
                </m:sub>
              </m:sSub>
              <m:r>
                <m:t>r</m:t>
              </m:r>
              <m:r>
                <m:t>V</m:t>
              </m:r>
            </m:num>
            <m:den>
              <m:r>
                <m:t>V</m:t>
              </m:r>
              <m:r>
                <m:t>W</m:t>
              </m:r>
            </m:den>
          </m:f>
          <m:r>
            <m:rPr>
              <m:sty m:val="p"/>
            </m:rPr>
            <m:t>,</m:t>
          </m:r>
          <m:r>
            <m:t>  </m:t>
          </m:r>
          <m:sSub>
            <m:e>
              <m:acc>
                <m:accPr>
                  <m:chr m:val="̇"/>
                </m:accPr>
                <m:e>
                  <m:r>
                    <m:t>T</m:t>
                  </m:r>
                </m:e>
              </m:acc>
            </m:e>
            <m:sub>
              <m:r>
                <m:t>t</m:t>
              </m:r>
            </m:sub>
          </m:sSub>
          <m:r>
            <m:rPr>
              <m:sty m:val="p"/>
            </m:rPr>
            <m:t>=</m:t>
          </m:r>
          <m:f>
            <m:fPr>
              <m:type m:val="bar"/>
            </m:fPr>
            <m:num>
              <m:sSub>
                <m:e>
                  <m:r>
                    <m:t>m</m:t>
                  </m:r>
                </m:e>
                <m:sub>
                  <m:r>
                    <m:t>w</m:t>
                  </m:r>
                </m:sub>
              </m:sSub>
              <m:sSub>
                <m:e>
                  <m:r>
                    <m:t>c</m:t>
                  </m:r>
                </m:e>
                <m:sub>
                  <m:r>
                    <m:t>p</m:t>
                  </m:r>
                  <m:r>
                    <m:rPr>
                      <m:sty m:val="p"/>
                    </m:rPr>
                    <m:t>,</m:t>
                  </m:r>
                  <m:r>
                    <m:t>B</m:t>
                  </m:r>
                </m:sub>
              </m:sSub>
              <m:d>
                <m:dPr>
                  <m:begChr m:val="("/>
                  <m:endChr m:val=")"/>
                  <m:sepChr m:val=""/>
                  <m:grow/>
                </m:dPr>
                <m:e>
                  <m:sSub>
                    <m:e>
                      <m:r>
                        <m:t>T</m:t>
                      </m:r>
                    </m:e>
                    <m:sub>
                      <m:r>
                        <m:t>a</m:t>
                      </m:r>
                    </m:sub>
                  </m:sSub>
                  <m:r>
                    <m:rPr>
                      <m:sty m:val="p"/>
                    </m:rPr>
                    <m:t>−</m:t>
                  </m:r>
                  <m:sSub>
                    <m:e>
                      <m:r>
                        <m:t>T</m:t>
                      </m:r>
                    </m:e>
                    <m:sub>
                      <m:r>
                        <m:t>t</m:t>
                      </m:r>
                    </m:sub>
                  </m:sSub>
                </m:e>
              </m:d>
              <m:r>
                <m:rPr>
                  <m:sty m:val="p"/>
                </m:rPr>
                <m:t>−</m:t>
              </m:r>
              <m:r>
                <m:t>Q</m:t>
              </m:r>
            </m:num>
            <m:den>
              <m:sSub>
                <m:e>
                  <m:r>
                    <m:t>ρ</m:t>
                  </m:r>
                </m:e>
                <m:sub>
                  <m:r>
                    <m:t>B</m:t>
                  </m:r>
                </m:sub>
              </m:sSub>
              <m:sSub>
                <m:e>
                  <m:r>
                    <m:t>V</m:t>
                  </m:r>
                </m:e>
                <m:sub>
                  <m:r>
                    <m:t>t</m:t>
                  </m:r>
                </m:sub>
              </m:sSub>
              <m:sSub>
                <m:e>
                  <m:r>
                    <m:t>c</m:t>
                  </m:r>
                </m:e>
                <m:sub>
                  <m:r>
                    <m:t>p</m:t>
                  </m:r>
                  <m:r>
                    <m:rPr>
                      <m:sty m:val="p"/>
                    </m:rPr>
                    <m:t>,</m:t>
                  </m:r>
                  <m:r>
                    <m:t>B</m:t>
                  </m:r>
                </m:sub>
              </m:sSub>
            </m:den>
          </m:f>
          <m:r>
            <m:rPr>
              <m:sty m:val="p"/>
            </m:rPr>
            <m:t>.</m:t>
          </m:r>
        </m:oMath>
      </m:oMathPara>
    </w:p>
    <w:p>
      <w:pPr>
        <w:pStyle w:val="FirstParagraph"/>
      </w:pPr>
      <w:r>
        <w:t xml:space="preserve">Only</w:t>
      </w:r>
      <w:r>
        <w:t xml:space="preserve"> </w:t>
      </w:r>
      <m:oMath>
        <m:r>
          <m:t>T</m:t>
        </m:r>
        <m:r>
          <m:rPr>
            <m:sty m:val="p"/>
          </m:rPr>
          <m:t>,</m:t>
        </m:r>
        <m:sSub>
          <m:e>
            <m:r>
              <m:t>T</m:t>
            </m:r>
          </m:e>
          <m:sub>
            <m:r>
              <m:t>t</m:t>
            </m:r>
          </m:sub>
        </m:sSub>
      </m:oMath>
      <w:r>
        <w:t xml:space="preserve"> </w:t>
      </w:r>
      <w:r>
        <w:t xml:space="preserve">are measured. The sole optimized input is</w:t>
      </w:r>
      <w:r>
        <w:t xml:space="preserve"> </w:t>
      </w:r>
      <m:oMath>
        <m:sSub>
          <m:e>
            <m:r>
              <m:t>m</m:t>
            </m:r>
          </m:e>
          <m:sub>
            <m:r>
              <m:t>w</m:t>
            </m:r>
          </m:sub>
        </m:sSub>
        <m:r>
          <m:rPr>
            <m:sty m:val="p"/>
          </m:rPr>
          <m:t>=</m:t>
        </m:r>
        <m:r>
          <m:t>q</m:t>
        </m:r>
        <m:r>
          <m:t> </m:t>
        </m:r>
        <m:r>
          <m:t>453.59237</m:t>
        </m:r>
      </m:oMath>
      <w:r>
        <w:t xml:space="preserve"> </w:t>
      </w:r>
      <w:r>
        <w:t xml:space="preserve">kmol/h; current feeds are known, future disturbances are not. The historical asymmetry is retained:</w:t>
      </w:r>
      <w:r>
        <w:t xml:space="preserve"> </w:t>
      </w:r>
      <m:oMath>
        <m:sSub>
          <m:e>
            <m:r>
              <m:t>T</m:t>
            </m:r>
          </m:e>
          <m:sub>
            <m:r>
              <m:t>t</m:t>
            </m:r>
          </m:sub>
        </m:sSub>
      </m:oMath>
      <w:r>
        <w:t xml:space="preserve"> </w:t>
      </w:r>
      <w:r>
        <w:t xml:space="preserve">does not enter</w:t>
      </w:r>
      <w:r>
        <w:t xml:space="preserve"> </w:t>
      </w:r>
      <m:oMath>
        <m:r>
          <m:t>Q</m:t>
        </m:r>
      </m:oMath>
      <w:r>
        <w:t xml:space="preserve">.</w:t>
      </w:r>
    </w:p>
    <w:p>
      <w:pPr>
        <w:pStyle w:val="BodyText"/>
      </w:pPr>
      <w:r>
        <w:t xml:space="preserve">The executable enthalpy is -83736 kJ/kmol; the dissertation table instead lists -91556.90. The archive’s rounded imperial conversion and Fahrenheit offset are preserved as benchmark conventions, not new physical findings. The public Fogler example also contains a temperature correction to reaction heat, but at different operating conditions</w:t>
      </w:r>
      <w:r>
        <w:t xml:space="preserve"> </w:t>
      </w:r>
      <w:r>
        <w:t xml:space="preserve">(Fogler, n.d.)</w:t>
      </w:r>
      <w:r>
        <w:t xml:space="preserve">. It does not justify replacing the dissertation constants without calibration.</w:t>
      </w:r>
    </w:p>
    <w:p>
      <w:pPr>
        <w:pStyle w:val="BodyText"/>
      </w:pPr>
      <w:r>
        <w:t xml:space="preserve">A related teaching case uses excess-water first-order kinetics and models the liquid as nonideal</w:t>
      </w:r>
      <w:r>
        <w:t xml:space="preserve"> </w:t>
      </w:r>
      <w:r>
        <w:t xml:space="preserve">(Chan and Seider 2004)</w:t>
      </w:r>
      <w:r>
        <w:t xml:space="preserve">. This supports retaining the historical kinetic approximation as a benchmark, while showing why ideal-mixture calorimetry alone cannot establish physical equivalence in a real reactor.</w:t>
      </w:r>
    </w:p>
    <w:p>
      <w:pPr>
        <w:pStyle w:val="BodyText"/>
      </w:pPr>
      <w:r>
        <w:t xml:space="preserve">The constant-volume benchmark computes volumetric outflow from feed densities but does not impose a composition-dependent equation of state or partial-molar-volume closure on each candidate inventory. Positivity therefore establishes model admissibility, not full physical admissibility of a liquid mixture. Additional exact composition/volume constraints would intersect the invisible subspace and can reduce it; they require independent physical data. Reaction volume change and nonideal mixture enthalpy remain outside the reconciliations tested here.</w:t>
      </w:r>
    </w:p>
    <w:bookmarkStart w:id="22" w:name="explicit-physical-alternatives"/>
    <w:p>
      <w:pPr>
        <w:pStyle w:val="Heading2"/>
      </w:pPr>
      <w:r>
        <w:rPr>
          <w:rStyle w:val="SectionNumber"/>
        </w:rPr>
        <w:t xml:space="preserve">3.1</w:t>
      </w:r>
      <w:r>
        <w:tab/>
      </w:r>
      <w:r>
        <w:t xml:space="preserve">Explicit physical alternatives</w:t>
      </w:r>
    </w:p>
    <w:p>
      <w:pPr>
        <w:pStyle w:val="FirstParagraph"/>
      </w:pPr>
      <w:r>
        <w:t xml:space="preserve">M1H adds Kirchhoff consistency:</w:t>
      </w:r>
      <w:r>
        <w:t xml:space="preserve"> </w:t>
      </w:r>
      <m:oMath>
        <m:r>
          <m:t>Δ</m:t>
        </m:r>
        <m:sSub>
          <m:e>
            <m:r>
              <m:t>H</m:t>
            </m:r>
          </m:e>
          <m:sub>
            <m:r>
              <m:t>r</m:t>
            </m:r>
          </m:sub>
        </m:sSub>
        <m:d>
          <m:dPr>
            <m:begChr m:val="("/>
            <m:endChr m:val=")"/>
            <m:sepChr m:val=""/>
            <m:grow/>
          </m:dPr>
          <m:e>
            <m:r>
              <m:t>T</m:t>
            </m:r>
          </m:e>
        </m:d>
        <m:r>
          <m:rPr>
            <m:sty m:val="p"/>
          </m:rPr>
          <m:t>=</m:t>
        </m:r>
        <m:r>
          <m:t>Δ</m:t>
        </m:r>
        <m:sSub>
          <m:e>
            <m:r>
              <m:t>H</m:t>
            </m:r>
          </m:e>
          <m:sub>
            <m:r>
              <m:t>r</m:t>
            </m:r>
          </m:sub>
        </m:sSub>
        <m:d>
          <m:dPr>
            <m:begChr m:val="("/>
            <m:endChr m:val=")"/>
            <m:sepChr m:val=""/>
            <m:grow/>
          </m:dPr>
          <m:e>
            <m:sSub>
              <m:e>
                <m:r>
                  <m:t>T</m:t>
                </m:r>
              </m:e>
              <m:sub>
                <m:r>
                  <m:t>r</m:t>
                </m:r>
              </m:sub>
            </m:sSub>
          </m:e>
        </m:d>
        <m:r>
          <m:rPr>
            <m:sty m:val="p"/>
          </m:rPr>
          <m:t>+</m:t>
        </m:r>
        <m:nary>
          <m:naryPr>
            <m:chr m:val="∫"/>
            <m:limLoc m:val="subSup"/>
            <m:subHide m:val="off"/>
            <m:supHide m:val="off"/>
          </m:naryPr>
          <m:sub>
            <m:sSub>
              <m:e>
                <m:r>
                  <m:t>T</m:t>
                </m:r>
              </m:e>
              <m:sub>
                <m:r>
                  <m:t>r</m:t>
                </m:r>
              </m:sub>
            </m:sSub>
          </m:sub>
          <m:sup>
            <m:r>
              <m:t>T</m:t>
            </m:r>
          </m:sup>
          <m:e>
            <m:d>
              <m:dPr>
                <m:begChr m:val="("/>
                <m:endChr m:val=")"/>
                <m:sepChr m:val=""/>
                <m:grow/>
              </m:dPr>
              <m:e>
                <m:sSub>
                  <m:e>
                    <m:r>
                      <m:t>c</m:t>
                    </m:r>
                  </m:e>
                  <m:sub>
                    <m:r>
                      <m:t>p</m:t>
                    </m:r>
                    <m:r>
                      <m:rPr>
                        <m:sty m:val="p"/>
                      </m:rPr>
                      <m:t>,</m:t>
                    </m:r>
                    <m:r>
                      <m:t>C</m:t>
                    </m:r>
                  </m:sub>
                </m:sSub>
                <m:r>
                  <m:rPr>
                    <m:sty m:val="p"/>
                  </m:rPr>
                  <m:t>−</m:t>
                </m:r>
                <m:sSub>
                  <m:e>
                    <m:r>
                      <m:t>c</m:t>
                    </m:r>
                  </m:e>
                  <m:sub>
                    <m:r>
                      <m:t>p</m:t>
                    </m:r>
                    <m:r>
                      <m:rPr>
                        <m:sty m:val="p"/>
                      </m:rPr>
                      <m:t>,</m:t>
                    </m:r>
                    <m:r>
                      <m:t>A</m:t>
                    </m:r>
                  </m:sub>
                </m:sSub>
                <m:r>
                  <m:rPr>
                    <m:sty m:val="p"/>
                  </m:rPr>
                  <m:t>−</m:t>
                </m:r>
                <m:sSub>
                  <m:e>
                    <m:r>
                      <m:t>c</m:t>
                    </m:r>
                  </m:e>
                  <m:sub>
                    <m:r>
                      <m:t>p</m:t>
                    </m:r>
                    <m:r>
                      <m:rPr>
                        <m:sty m:val="p"/>
                      </m:rPr>
                      <m:t>,</m:t>
                    </m:r>
                    <m:r>
                      <m:t>B</m:t>
                    </m:r>
                  </m:sub>
                </m:sSub>
              </m:e>
            </m:d>
          </m:e>
        </m:nary>
        <m:r>
          <m:t> </m:t>
        </m:r>
        <m:r>
          <m:t>d</m:t>
        </m:r>
        <m:r>
          <m:t>θ</m:t>
        </m:r>
      </m:oMath>
      <w:r>
        <w:t xml:space="preserve">, with the historical enthalpy assumed to refer to nominal</w:t>
      </w:r>
      <w:r>
        <w:t xml:space="preserve"> </w:t>
      </w:r>
      <m:oMath>
        <m:sSub>
          <m:e>
            <m:r>
              <m:t>T</m:t>
            </m:r>
          </m:e>
          <m:sub>
            <m:r>
              <m:t>r</m:t>
            </m:r>
          </m:sub>
        </m:sSub>
        <m:r>
          <m:rPr>
            <m:sty m:val="p"/>
          </m:rPr>
          <m:t>=</m:t>
        </m:r>
        <m:r>
          <m:t>332.333618020</m:t>
        </m:r>
      </m:oMath>
      <w:r>
        <w:t xml:space="preserve"> </w:t>
      </w:r>
      <w:r>
        <w:t xml:space="preserve">K. This reference is not independently known. M1J also uses</w:t>
      </w:r>
      <w:r>
        <w:t xml:space="preserve"> </w:t>
      </w:r>
      <m:oMath>
        <m:r>
          <m:t>Q</m:t>
        </m:r>
        <m:r>
          <m:rPr>
            <m:sty m:val="p"/>
          </m:rPr>
          <m:t>=</m:t>
        </m:r>
        <m:r>
          <m:t>G</m:t>
        </m:r>
        <m:d>
          <m:dPr>
            <m:begChr m:val="("/>
            <m:endChr m:val=")"/>
            <m:sepChr m:val=""/>
            <m:grow/>
          </m:dPr>
          <m:e>
            <m:sSub>
              <m:e>
                <m:r>
                  <m:t>T</m:t>
                </m:r>
              </m:e>
              <m:sub>
                <m:r>
                  <m:t>t</m:t>
                </m:r>
              </m:sub>
            </m:sSub>
            <m:r>
              <m:rPr>
                <m:sty m:val="p"/>
              </m:rPr>
              <m:t>−</m:t>
            </m:r>
            <m:r>
              <m:t>T</m:t>
            </m:r>
          </m:e>
        </m:d>
      </m:oMath>
      <w:r>
        <w:t xml:space="preserve"> </w:t>
      </w:r>
      <w:r>
        <w:t xml:space="preserve">and the existing jacket storage balance. The conductance</w:t>
      </w:r>
      <w:r>
        <w:t xml:space="preserve"> </w:t>
      </w:r>
      <m:oMath>
        <m:r>
          <m:t>G</m:t>
        </m:r>
        <m:r>
          <m:rPr>
            <m:sty m:val="p"/>
          </m:rPr>
          <m:t>=</m:t>
        </m:r>
        <m:sSub>
          <m:e>
            <m:r>
              <m:t>m</m:t>
            </m:r>
          </m:e>
          <m:sub>
            <m:r>
              <m:t>w</m:t>
            </m:r>
            <m:r>
              <m:t>0</m:t>
            </m:r>
          </m:sub>
        </m:sSub>
        <m:sSub>
          <m:e>
            <m:r>
              <m:t>c</m:t>
            </m:r>
          </m:e>
          <m:sub>
            <m:r>
              <m:t>p</m:t>
            </m:r>
            <m:r>
              <m:rPr>
                <m:sty m:val="p"/>
              </m:rPr>
              <m:t>,</m:t>
            </m:r>
            <m:r>
              <m:t>B</m:t>
            </m:r>
          </m:sub>
        </m:sSub>
        <m:d>
          <m:dPr>
            <m:begChr m:val="["/>
            <m:endChr m:val="]"/>
            <m:sepChr m:val=""/>
            <m:grow/>
          </m:dPr>
          <m:e>
            <m:r>
              <m:rPr>
                <m:sty m:val="p"/>
              </m:rPr>
              <m:t>exp</m:t>
            </m:r>
            <m:d>
              <m:dPr>
                <m:begChr m:val="("/>
                <m:endChr m:val=")"/>
                <m:sepChr m:val=""/>
                <m:grow/>
              </m:dPr>
              <m:e>
                <m:r>
                  <m:t>U</m:t>
                </m:r>
                <m:r>
                  <m:t>A</m:t>
                </m:r>
                <m:r>
                  <m:rPr>
                    <m:sty m:val="p"/>
                  </m:rPr>
                  <m:t>/</m:t>
                </m:r>
                <m:d>
                  <m:dPr>
                    <m:begChr m:val="("/>
                    <m:endChr m:val=")"/>
                    <m:sepChr m:val=""/>
                    <m:grow/>
                  </m:dPr>
                  <m:e>
                    <m:sSub>
                      <m:e>
                        <m:r>
                          <m:t>m</m:t>
                        </m:r>
                      </m:e>
                      <m:sub>
                        <m:r>
                          <m:t>w</m:t>
                        </m:r>
                        <m:r>
                          <m:t>0</m:t>
                        </m:r>
                      </m:sub>
                    </m:sSub>
                    <m:sSub>
                      <m:e>
                        <m:r>
                          <m:t>c</m:t>
                        </m:r>
                      </m:e>
                      <m:sub>
                        <m:r>
                          <m:t>p</m:t>
                        </m:r>
                        <m:r>
                          <m:rPr>
                            <m:sty m:val="p"/>
                          </m:rPr>
                          <m:t>,</m:t>
                        </m:r>
                        <m:r>
                          <m:t>B</m:t>
                        </m:r>
                      </m:sub>
                    </m:sSub>
                  </m:e>
                </m:d>
              </m:e>
            </m:d>
            <m:r>
              <m:rPr>
                <m:sty m:val="p"/>
              </m:rPr>
              <m:t>−</m:t>
            </m:r>
            <m:r>
              <m:t>1</m:t>
            </m:r>
          </m:e>
        </m:d>
      </m:oMath>
      <w:r>
        <w:t xml:space="preserve"> </w:t>
      </w:r>
      <w:r>
        <w:t xml:space="preserve">matches nominal stationary cooling, rather than asserting that coil UA and mixed-jacket conductance are identical.</w:t>
      </w:r>
    </w:p>
    <w:p>
      <w:pPr>
        <w:pStyle w:val="BodyText"/>
      </w:pPr>
      <w:r>
        <w:t xml:space="preserve">M2L and M2Q use</w:t>
      </w:r>
      <w:r>
        <w:t xml:space="preserve"> </w:t>
      </w:r>
      <m:oMath>
        <m:sSub>
          <m:e>
            <m:r>
              <m:t>c</m:t>
            </m:r>
          </m:e>
          <m:sub>
            <m:r>
              <m:t>p</m:t>
            </m:r>
            <m:r>
              <m:rPr>
                <m:sty m:val="p"/>
              </m:rPr>
              <m:t>,</m:t>
            </m:r>
            <m:r>
              <m:t>i</m:t>
            </m:r>
          </m:sub>
        </m:sSub>
        <m:d>
          <m:dPr>
            <m:begChr m:val="("/>
            <m:endChr m:val=")"/>
            <m:sepChr m:val=""/>
            <m:grow/>
          </m:dPr>
          <m:e>
            <m:r>
              <m:t>T</m:t>
            </m:r>
          </m:e>
        </m:d>
        <m:r>
          <m:rPr>
            <m:sty m:val="p"/>
          </m:rPr>
          <m:t>=</m:t>
        </m:r>
        <m:sSub>
          <m:e>
            <m:r>
              <m:t>a</m:t>
            </m:r>
          </m:e>
          <m:sub>
            <m:r>
              <m:t>i</m:t>
            </m:r>
          </m:sub>
        </m:sSub>
        <m:r>
          <m:rPr>
            <m:sty m:val="p"/>
          </m:rPr>
          <m:t>+</m:t>
        </m:r>
        <m:sSub>
          <m:e>
            <m:r>
              <m:t>b</m:t>
            </m:r>
          </m:e>
          <m:sub>
            <m:r>
              <m:t>i</m:t>
            </m:r>
          </m:sub>
        </m:sSub>
        <m:d>
          <m:dPr>
            <m:begChr m:val="("/>
            <m:endChr m:val=")"/>
            <m:sepChr m:val=""/>
            <m:grow/>
          </m:dPr>
          <m:e>
            <m:r>
              <m:t>T</m:t>
            </m:r>
            <m:r>
              <m:rPr>
                <m:sty m:val="p"/>
              </m:rPr>
              <m:t>−</m:t>
            </m:r>
            <m:sSub>
              <m:e>
                <m:r>
                  <m:t>T</m:t>
                </m:r>
              </m:e>
              <m:sub>
                <m:r>
                  <m:t>r</m:t>
                </m:r>
              </m:sub>
            </m:sSub>
          </m:e>
        </m:d>
        <m:r>
          <m:rPr>
            <m:sty m:val="p"/>
          </m:rPr>
          <m:t>+</m:t>
        </m:r>
        <m:sSub>
          <m:e>
            <m:r>
              <m:t>c</m:t>
            </m:r>
          </m:e>
          <m:sub>
            <m:r>
              <m:t>i</m:t>
            </m:r>
          </m:sub>
        </m:sSub>
        <m:sSup>
          <m:e>
            <m:d>
              <m:dPr>
                <m:begChr m:val="("/>
                <m:endChr m:val=")"/>
                <m:sepChr m:val=""/>
                <m:grow/>
              </m:dPr>
              <m:e>
                <m:r>
                  <m:t>T</m:t>
                </m:r>
                <m:r>
                  <m:rPr>
                    <m:sty m:val="p"/>
                  </m:rPr>
                  <m:t>−</m:t>
                </m:r>
                <m:sSub>
                  <m:e>
                    <m:r>
                      <m:t>T</m:t>
                    </m:r>
                  </m:e>
                  <m:sub>
                    <m:r>
                      <m:t>r</m:t>
                    </m:r>
                  </m:sub>
                </m:sSub>
              </m:e>
            </m:d>
          </m:e>
          <m:sup>
            <m:r>
              <m:t>2</m:t>
            </m:r>
          </m:sup>
        </m:sSup>
      </m:oMath>
      <w:r>
        <w:t xml:space="preserve">, where</w:t>
      </w:r>
      <w:r>
        <w:t xml:space="preserve"> </w:t>
      </w:r>
      <m:oMath>
        <m:sSub>
          <m:e>
            <m:r>
              <m:t>a</m:t>
            </m:r>
          </m:e>
          <m:sub>
            <m:r>
              <m:t>i</m:t>
            </m:r>
          </m:sub>
        </m:sSub>
      </m:oMath>
      <w:r>
        <w:t xml:space="preserve"> </w:t>
      </w:r>
      <w:r>
        <w:t xml:space="preserve">are historical capacities. Relative slopes are (0.0015,0.0002,0.0025,0.0010) per K; relative curvatures are (0.000010,0.000002,0.000016,-0.000003) per K squared. M2L sets all curvatures to zero. Feed sensible enthalpies and reaction enthalpy are integrated consistently. These are synthetic sensitivity models. They are not calibrated physical-property correlations, and no one is called the validated M1 of the original research request.</w:t>
      </w:r>
    </w:p>
    <w:bookmarkEnd w:id="22"/>
    <w:bookmarkEnd w:id="23"/>
    <w:bookmarkStart w:id="24" w:name="estimation-and-control-architectures"/>
    <w:p>
      <w:pPr>
        <w:pStyle w:val="Heading1"/>
      </w:pPr>
      <w:r>
        <w:rPr>
          <w:rStyle w:val="SectionNumber"/>
        </w:rPr>
        <w:t xml:space="preserve">4</w:t>
      </w:r>
      <w:r>
        <w:tab/>
      </w:r>
      <w:r>
        <w:t xml:space="preserve">Estimation and control architectures</w:t>
      </w:r>
    </w:p>
    <w:p>
      <w:pPr>
        <w:pStyle w:val="FirstParagraph"/>
      </w:pPr>
      <w:r>
        <w:t xml:space="preserve">B1 uses a six-state UKF and nominal predictive model. B2_estimator augments the UKF with log kinetic and heat-transfer factors, while retaining a nominal predictor. B2_both shares the same estimated factors with the predictor. Neither receives true parameters. B0 is a documented fixed PI using the inferred product, with gains 4 and 2 and antiwindup. It is not a reproduced optimally tuned historical cascade.</w:t>
      </w:r>
    </w:p>
    <w:p>
      <w:pPr>
        <w:pStyle w:val="BodyText"/>
      </w:pPr>
      <w:r>
        <w:t xml:space="preserve">B3_assumed_inventory imposes nominal initial inventories. B3_known_inventory receives exact initial inventories once, and therefore has additional information. The reduced state is</w:t>
      </w:r>
      <w:r>
        <w:t xml:space="preserve"> </w:t>
      </w:r>
      <m:oMath>
        <m:d>
          <m:dPr>
            <m:begChr m:val="("/>
            <m:endChr m:val=")"/>
            <m:sepChr m:val=""/>
            <m:grow/>
          </m:dPr>
          <m:e>
            <m:sSub>
              <m:e>
                <m:r>
                  <m:t>C</m:t>
                </m:r>
              </m:e>
              <m:sub>
                <m:r>
                  <m:t>C</m:t>
                </m:r>
              </m:sub>
            </m:sSub>
            <m:r>
              <m:rPr>
                <m:sty m:val="p"/>
              </m:rPr>
              <m:t>,</m:t>
            </m:r>
            <m:r>
              <m:t>T</m:t>
            </m:r>
            <m:r>
              <m:rPr>
                <m:sty m:val="p"/>
              </m:rPr>
              <m:t>,</m:t>
            </m:r>
            <m:sSub>
              <m:e>
                <m:r>
                  <m:t>T</m:t>
                </m:r>
              </m:e>
              <m:sub>
                <m:r>
                  <m:t>t</m:t>
                </m:r>
              </m:sub>
            </m:sSub>
          </m:e>
        </m:d>
      </m:oMath>
      <w:r>
        <w:t xml:space="preserve">; conserved totals follow their feed/dilution equations. B4 is a deterministic six-step MHE with an approximate arrival prior, no process-noise decision variables and 18 function-evaluation budget. B5 uses the true current state only as a diagnostic oracle, with nominal predictive parameters.</w:t>
      </w:r>
    </w:p>
    <w:p>
      <w:pPr>
        <w:pStyle w:val="BodyText"/>
      </w:pPr>
      <w:r>
        <w:t xml:space="preserve">P1 evaluates mean cost of three representatives. P2 minimizes their largest regret. P3 combines this rule with causal parameter adaptation. P4 uses the robust action when representative first actions differ by at least 0.2 nominal coolant units; otherwise it applies the adapted nominal policy. The representatives are a UKF point and calorimetrically compensated product offsets of plus/minus</w:t>
      </w:r>
      <w:r>
        <w:t xml:space="preserve"> </w:t>
      </w:r>
      <m:oMath>
        <m:r>
          <m:t>0.4</m:t>
        </m:r>
        <m:sSup>
          <m:e>
            <m:r>
              <m:t>e</m:t>
            </m:r>
          </m:e>
          <m:sup>
            <m:r>
              <m:rPr>
                <m:sty m:val="p"/>
              </m:rPr>
              <m:t>−</m:t>
            </m:r>
            <m:r>
              <m:rPr>
                <m:sty m:val="p"/>
              </m:rPr>
              <m:t>∫</m:t>
            </m:r>
            <m:r>
              <m:t>D</m:t>
            </m:r>
            <m:r>
              <m:t>d</m:t>
            </m:r>
            <m:r>
              <m:t>t</m:t>
            </m:r>
          </m:sup>
        </m:sSup>
      </m:oMath>
      <w:r>
        <w:t xml:space="preserve">. They are not a certified set enclosure or a posterior sample; a finite set cannot represent every possible physical state.</w:t>
      </w:r>
    </w:p>
    <w:p>
      <w:pPr>
        <w:pStyle w:val="BodyText"/>
      </w:pPr>
      <w:r>
        <w:t xml:space="preserve">P5 variants retain nominal control and add chemical samples: initial only; four periodic samples; event-triggered with quota four; three-step delay; higher measurement noise; or up to eight frequent samples. Immediate product samples have standard deviation 0.03 kmol/m3, the noisy case 0.15. Delayed innovations are transported approximately with dilution and an explicit variance increment; a full out-of-sequence smoother is not implemented. Event requests use available belief width and previous action disagreement, never future measurements.</w:t>
      </w:r>
    </w:p>
    <w:p>
      <w:pPr>
        <w:pStyle w:val="BodyText"/>
      </w:pPr>
      <w:r>
        <w:t xml:space="preserve">The standard policy enumerates at most 25 two-block sequences: the first action lasts three steps and the second eleven. Candidate increments are five equally spaced values from -0.4 to 0.4. All methods in each scenario share</w:t>
      </w:r>
      <w:r>
        <w:t xml:space="preserve"> </w:t>
      </w:r>
      <m:oMath>
        <m:r>
          <m:t>0.05</m:t>
        </m:r>
        <m:r>
          <m:rPr>
            <m:sty m:val="p"/>
          </m:rPr>
          <m:t>≤</m:t>
        </m:r>
        <m:r>
          <m:t>q</m:t>
        </m:r>
        <m:r>
          <m:rPr>
            <m:sty m:val="p"/>
          </m:rPr>
          <m:t>≤</m:t>
        </m:r>
        <m:r>
          <m:t>3</m:t>
        </m:r>
      </m:oMath>
      <w:r>
        <w:t xml:space="preserve"> </w:t>
      </w:r>
      <w:r>
        <w:t xml:space="preserve">and step change at most 0.4; saturation cases use the same lower maximum 1.3 for all methods. The sampled constraint is</w:t>
      </w:r>
      <w:r>
        <w:t xml:space="preserve"> </w:t>
      </w:r>
      <m:oMath>
        <m:r>
          <m:t>T</m:t>
        </m:r>
        <m:r>
          <m:rPr>
            <m:sty m:val="p"/>
          </m:rPr>
          <m:t>≤</m:t>
        </m:r>
        <m:r>
          <m:t>344.261111</m:t>
        </m:r>
      </m:oMath>
      <w:r>
        <w:t xml:space="preserve"> </w:t>
      </w:r>
      <w:r>
        <w:t xml:space="preserve">K. A no-common-feasible-plan event triggers an explicitly logged least-violation fallback; no safety guarantee is inferred.</w:t>
      </w:r>
    </w:p>
    <w:p>
      <w:pPr>
        <w:pStyle w:val="BodyText"/>
      </w:pPr>
      <w:r>
        <w:t xml:space="preserve">The dimensionless horizon cost is</w:t>
      </w:r>
    </w:p>
    <w:p>
      <w:pPr>
        <w:pStyle w:val="BodyText"/>
      </w:pPr>
      <w:r>
        <w:t xml:space="preserve">$$J=\sum_{j=1}^{14}\left[0.8\left(\frac{C_{C,j}-r_k}{2.295764605}\right)^2+
1000\left(\frac{\max(T_j-344.261111,0)}{160/1.8}\right)^2\right]
+0.2[(q_1-q_{\rm prev})^2+(q_2-q_1)^2].$$</w:t>
      </w:r>
    </w:p>
    <w:p>
      <w:pPr>
        <w:pStyle w:val="FirstParagraph"/>
      </w:pPr>
      <w:r>
        <w:t xml:space="preserve">This cost is not IAE. B1_continuous additionally optimizes the same two-block problem using SLSQP, initialized by the grid solution; it is a local numerical comparator, not the full historical 57-step/six-move NMPC.</w:t>
      </w:r>
    </w:p>
    <w:bookmarkEnd w:id="24"/>
    <w:bookmarkStart w:id="25" w:name="experimental-methodology"/>
    <w:p>
      <w:pPr>
        <w:pStyle w:val="Heading1"/>
      </w:pPr>
      <w:r>
        <w:rPr>
          <w:rStyle w:val="SectionNumber"/>
        </w:rPr>
        <w:t xml:space="preserve">5</w:t>
      </w:r>
      <w:r>
        <w:tab/>
      </w:r>
      <w:r>
        <w:t xml:space="preserve">Experimental methodology</w:t>
      </w:r>
    </w:p>
    <w:p>
      <w:pPr>
        <w:pStyle w:val="FirstParagraph"/>
      </w:pPr>
      <w:r>
        <w:t xml:space="preserve">The frozen protocol specifies 14 scenarios, 19 methods and 20 paired seeds per combination. Sixty intervals of 0.015 h give 0.9 h per trajectory. Scenarios include nominal operation, reference changes, kinetic and heat-transfer errors, signed inventory ambiguity, current feed disturbances, heat-capacity error, correlated noise, sensor dropout, saturation, combined perturbations, a state outside the representative prior and an unreachable reference. Hypothetical structural-physics variants are analyzed separately from the M0 control benchmark.</w:t>
      </w:r>
    </w:p>
    <w:p>
      <w:pPr>
        <w:pStyle w:val="BodyText"/>
      </w:pPr>
      <w:r>
        <w:t xml:space="preserve">The UKF prior standard deviations are (0.15,0.8,0.4,0.3,0.5,0.5); process covariance diagonal is (2e-6,2e-5,2e-6,1e-7,0.015,0.006). Temperature-noise standard deviations are (1.385,1.062)/1.8 K. Adaptive log factors have initial variance 0.15 squared, process variance 1e-5 and bounds [-0.5,0.5]. UKF alpha=0.5 and beta=2. No tuning uses held-out outcomes.</w:t>
      </w:r>
    </w:p>
    <w:p>
      <w:pPr>
        <w:pStyle w:val="BodyText"/>
      </w:pPr>
      <w:r>
        <w:t xml:space="preserve">Main seeds are 4100–4119. Confirmation seeds 8100–8119 address four declared scenarios and five relevant methods. Validation seeds 101–103 evaluate a denser grid. Development seed 11 is used for short runtime checks. Noise trajectories are matched across methods. Bootstrap units are paired seeds; finite-suite means first average each seed across the fixed scenario list. Uncertainty describes this finite suite, not an industrial population. Three primary contrasts receive Holm adjustment; other contrasts remain exploratory.</w:t>
      </w:r>
    </w:p>
    <w:p>
      <w:pPr>
        <w:pStyle w:val="BodyText"/>
      </w:pPr>
      <w:r>
        <w:t xml:space="preserve">The plant uses RK4 with 12 substeps, compared against SciPy DOP853 with rtol 2e-11 and atol 1e-12. Prediction uses three substeps; filtering uses four. Physical state trajectories are not clipped. Filter positivity and covariance repairs are logged. Scalar metrics are independently recalculated from saved trajectories. Timing is from a Linux hosted CPU, without evidence of performance on the target Ryzen system.</w:t>
      </w:r>
    </w:p>
    <w:bookmarkEnd w:id="25"/>
    <w:bookmarkStart w:id="26" w:name="parameters-and-initial-condition"/>
    <w:p>
      <w:pPr>
        <w:pStyle w:val="Heading1"/>
      </w:pPr>
      <w:r>
        <w:rPr>
          <w:rStyle w:val="SectionNumber"/>
        </w:rPr>
        <w:t xml:space="preserve">6</w:t>
      </w:r>
      <w:r>
        <w:tab/>
      </w:r>
      <w:r>
        <w:t xml:space="preserve">Parameters and initial condition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Unit</w:t>
            </w:r>
          </w:p>
        </w:tc>
      </w:tr>
      <w:tr>
        <w:tc>
          <w:tcPr/>
          <w:p>
            <w:pPr>
              <w:pStyle w:val="Compact"/>
              <w:jc w:val="left"/>
            </w:pPr>
            <w:r>
              <w:t xml:space="preserve">V</w:t>
            </w:r>
          </w:p>
        </w:tc>
        <w:tc>
          <w:tcPr/>
          <w:p>
            <w:pPr>
              <w:pStyle w:val="Compact"/>
              <w:jc w:val="left"/>
            </w:pPr>
            <w:r>
              <w:t xml:space="preserve">1.8918</w:t>
            </w:r>
          </w:p>
        </w:tc>
        <w:tc>
          <w:tcPr/>
          <w:p>
            <w:pPr>
              <w:pStyle w:val="Compact"/>
              <w:jc w:val="left"/>
            </w:pPr>
            <w:r>
              <w:t xml:space="preserve">m3</w:t>
            </w:r>
          </w:p>
        </w:tc>
      </w:tr>
      <w:tr>
        <w:tc>
          <w:tcPr/>
          <w:p>
            <w:pPr>
              <w:pStyle w:val="Compact"/>
              <w:jc w:val="left"/>
            </w:pPr>
            <w:r>
              <w:t xml:space="preserve">Vt</w:t>
            </w:r>
          </w:p>
        </w:tc>
        <w:tc>
          <w:tcPr/>
          <w:p>
            <w:pPr>
              <w:pStyle w:val="Compact"/>
              <w:jc w:val="left"/>
            </w:pPr>
            <w:r>
              <w:t xml:space="preserve">1.1001</w:t>
            </w:r>
          </w:p>
        </w:tc>
        <w:tc>
          <w:tcPr/>
          <w:p>
            <w:pPr>
              <w:pStyle w:val="Compact"/>
              <w:jc w:val="left"/>
            </w:pPr>
            <w:r>
              <w:t xml:space="preserve">m3</w:t>
            </w:r>
          </w:p>
        </w:tc>
      </w:tr>
      <w:tr>
        <w:tc>
          <w:tcPr/>
          <w:p>
            <w:pPr>
              <w:pStyle w:val="Compact"/>
              <w:jc w:val="left"/>
            </w:pPr>
            <w:r>
              <w:t xml:space="preserve">UA</w:t>
            </w:r>
          </w:p>
        </w:tc>
        <w:tc>
          <w:tcPr/>
          <w:p>
            <w:pPr>
              <w:pStyle w:val="Compact"/>
              <w:jc w:val="left"/>
            </w:pPr>
            <w:r>
              <w:t xml:space="preserve">30386</w:t>
            </w:r>
          </w:p>
        </w:tc>
        <w:tc>
          <w:tcPr/>
          <w:p>
            <w:pPr>
              <w:pStyle w:val="Compact"/>
              <w:jc w:val="left"/>
            </w:pPr>
            <w:r>
              <w:t xml:space="preserve">kJ/(h K)</w:t>
            </w:r>
          </w:p>
        </w:tc>
      </w:tr>
      <w:tr>
        <w:tc>
          <w:tcPr/>
          <w:p>
            <w:pPr>
              <w:pStyle w:val="Compact"/>
              <w:jc w:val="left"/>
            </w:pPr>
            <w:r>
              <w:t xml:space="preserve">CpA</w:t>
            </w:r>
          </w:p>
        </w:tc>
        <w:tc>
          <w:tcPr/>
          <w:p>
            <w:pPr>
              <w:pStyle w:val="Compact"/>
              <w:jc w:val="left"/>
            </w:pPr>
            <w:r>
              <w:t xml:space="preserve">146.54</w:t>
            </w:r>
          </w:p>
        </w:tc>
        <w:tc>
          <w:tcPr/>
          <w:p>
            <w:pPr>
              <w:pStyle w:val="Compact"/>
              <w:jc w:val="left"/>
            </w:pPr>
            <w:r>
              <w:t xml:space="preserve">kJ/(kmol K)</w:t>
            </w:r>
          </w:p>
        </w:tc>
      </w:tr>
      <w:tr>
        <w:tc>
          <w:tcPr/>
          <w:p>
            <w:pPr>
              <w:pStyle w:val="Compact"/>
              <w:jc w:val="left"/>
            </w:pPr>
            <w:r>
              <w:t xml:space="preserve">CpB</w:t>
            </w:r>
          </w:p>
        </w:tc>
        <w:tc>
          <w:tcPr/>
          <w:p>
            <w:pPr>
              <w:pStyle w:val="Compact"/>
              <w:jc w:val="left"/>
            </w:pPr>
            <w:r>
              <w:t xml:space="preserve">75.362</w:t>
            </w:r>
          </w:p>
        </w:tc>
        <w:tc>
          <w:tcPr/>
          <w:p>
            <w:pPr>
              <w:pStyle w:val="Compact"/>
              <w:jc w:val="left"/>
            </w:pPr>
            <w:r>
              <w:t xml:space="preserve">kJ/(kmol K)</w:t>
            </w:r>
          </w:p>
        </w:tc>
      </w:tr>
      <w:tr>
        <w:tc>
          <w:tcPr/>
          <w:p>
            <w:pPr>
              <w:pStyle w:val="Compact"/>
              <w:jc w:val="left"/>
            </w:pPr>
            <w:r>
              <w:t xml:space="preserve">CpC</w:t>
            </w:r>
          </w:p>
        </w:tc>
        <w:tc>
          <w:tcPr/>
          <w:p>
            <w:pPr>
              <w:pStyle w:val="Compact"/>
              <w:jc w:val="left"/>
            </w:pPr>
            <w:r>
              <w:t xml:space="preserve">192.59</w:t>
            </w:r>
          </w:p>
        </w:tc>
        <w:tc>
          <w:tcPr/>
          <w:p>
            <w:pPr>
              <w:pStyle w:val="Compact"/>
              <w:jc w:val="left"/>
            </w:pPr>
            <w:r>
              <w:t xml:space="preserve">kJ/(kmol K)</w:t>
            </w:r>
          </w:p>
        </w:tc>
      </w:tr>
      <w:tr>
        <w:tc>
          <w:tcPr/>
          <w:p>
            <w:pPr>
              <w:pStyle w:val="Compact"/>
              <w:jc w:val="left"/>
            </w:pPr>
            <w:r>
              <w:t xml:space="preserve">CpM</w:t>
            </w:r>
          </w:p>
        </w:tc>
        <w:tc>
          <w:tcPr/>
          <w:p>
            <w:pPr>
              <w:pStyle w:val="Compact"/>
              <w:jc w:val="left"/>
            </w:pPr>
            <w:r>
              <w:t xml:space="preserve">81.643</w:t>
            </w:r>
          </w:p>
        </w:tc>
        <w:tc>
          <w:tcPr/>
          <w:p>
            <w:pPr>
              <w:pStyle w:val="Compact"/>
              <w:jc w:val="left"/>
            </w:pPr>
            <w:r>
              <w:t xml:space="preserve">kJ/(kmol K)</w:t>
            </w:r>
          </w:p>
        </w:tc>
      </w:tr>
      <w:tr>
        <w:tc>
          <w:tcPr/>
          <w:p>
            <w:pPr>
              <w:pStyle w:val="Compact"/>
              <w:jc w:val="left"/>
            </w:pPr>
            <w:r>
              <w:t xml:space="preserve">E</w:t>
            </w:r>
          </w:p>
        </w:tc>
        <w:tc>
          <w:tcPr/>
          <w:p>
            <w:pPr>
              <w:pStyle w:val="Compact"/>
              <w:jc w:val="left"/>
            </w:pPr>
            <w:r>
              <w:t xml:space="preserve">75362</w:t>
            </w:r>
          </w:p>
        </w:tc>
        <w:tc>
          <w:tcPr/>
          <w:p>
            <w:pPr>
              <w:pStyle w:val="Compact"/>
              <w:jc w:val="left"/>
            </w:pPr>
            <w:r>
              <w:t xml:space="preserve">kJ/kmol</w:t>
            </w:r>
          </w:p>
        </w:tc>
      </w:tr>
      <w:tr>
        <w:tc>
          <w:tcPr/>
          <w:p>
            <w:pPr>
              <w:pStyle w:val="Compact"/>
              <w:jc w:val="left"/>
            </w:pPr>
            <w:r>
              <w:t xml:space="preserve">R</w:t>
            </w:r>
          </w:p>
        </w:tc>
        <w:tc>
          <w:tcPr/>
          <w:p>
            <w:pPr>
              <w:pStyle w:val="Compact"/>
              <w:jc w:val="left"/>
            </w:pPr>
            <w:r>
              <w:t xml:space="preserve">8.3192</w:t>
            </w:r>
          </w:p>
        </w:tc>
        <w:tc>
          <w:tcPr/>
          <w:p>
            <w:pPr>
              <w:pStyle w:val="Compact"/>
              <w:jc w:val="left"/>
            </w:pPr>
            <w:r>
              <w:t xml:space="preserve">kJ/(kmol K)</w:t>
            </w:r>
          </w:p>
        </w:tc>
      </w:tr>
      <w:tr>
        <w:tc>
          <w:tcPr/>
          <w:p>
            <w:pPr>
              <w:pStyle w:val="Compact"/>
              <w:jc w:val="left"/>
            </w:pPr>
            <w:r>
              <w:t xml:space="preserve">k0</w:t>
            </w:r>
          </w:p>
        </w:tc>
        <w:tc>
          <w:tcPr/>
          <w:p>
            <w:pPr>
              <w:pStyle w:val="Compact"/>
              <w:jc w:val="left"/>
            </w:pPr>
            <w:r>
              <w:t xml:space="preserve">1.696e+13</w:t>
            </w:r>
          </w:p>
        </w:tc>
        <w:tc>
          <w:tcPr/>
          <w:p>
            <w:pPr>
              <w:pStyle w:val="Compact"/>
              <w:jc w:val="left"/>
            </w:pPr>
            <w:r>
              <w:t xml:space="preserve">1/h</w:t>
            </w:r>
          </w:p>
        </w:tc>
      </w:tr>
      <w:tr>
        <w:tc>
          <w:tcPr/>
          <w:p>
            <w:pPr>
              <w:pStyle w:val="Compact"/>
              <w:jc w:val="left"/>
            </w:pPr>
            <w:r>
              <w:t xml:space="preserve">DeltaH</w:t>
            </w:r>
          </w:p>
        </w:tc>
        <w:tc>
          <w:tcPr/>
          <w:p>
            <w:pPr>
              <w:pStyle w:val="Compact"/>
              <w:jc w:val="left"/>
            </w:pPr>
            <w:r>
              <w:t xml:space="preserve">-83736</w:t>
            </w:r>
          </w:p>
        </w:tc>
        <w:tc>
          <w:tcPr/>
          <w:p>
            <w:pPr>
              <w:pStyle w:val="Compact"/>
              <w:jc w:val="left"/>
            </w:pPr>
            <w:r>
              <w:t xml:space="preserve">kJ/kmol</w:t>
            </w:r>
          </w:p>
        </w:tc>
      </w:tr>
      <w:tr>
        <w:tc>
          <w:tcPr/>
          <w:p>
            <w:pPr>
              <w:pStyle w:val="Compact"/>
              <w:jc w:val="left"/>
            </w:pPr>
            <w:r>
              <w:t xml:space="preserve">FA</w:t>
            </w:r>
          </w:p>
        </w:tc>
        <w:tc>
          <w:tcPr/>
          <w:p>
            <w:pPr>
              <w:pStyle w:val="Compact"/>
              <w:jc w:val="left"/>
            </w:pPr>
            <w:r>
              <w:t xml:space="preserve">36.287</w:t>
            </w:r>
          </w:p>
        </w:tc>
        <w:tc>
          <w:tcPr/>
          <w:p>
            <w:pPr>
              <w:pStyle w:val="Compact"/>
              <w:jc w:val="left"/>
            </w:pPr>
            <w:r>
              <w:t xml:space="preserve">kmol/h</w:t>
            </w:r>
          </w:p>
        </w:tc>
      </w:tr>
      <w:tr>
        <w:tc>
          <w:tcPr/>
          <w:p>
            <w:pPr>
              <w:pStyle w:val="Compact"/>
              <w:jc w:val="left"/>
            </w:pPr>
            <w:r>
              <w:t xml:space="preserve">FB</w:t>
            </w:r>
          </w:p>
        </w:tc>
        <w:tc>
          <w:tcPr/>
          <w:p>
            <w:pPr>
              <w:pStyle w:val="Compact"/>
              <w:jc w:val="left"/>
            </w:pPr>
            <w:r>
              <w:t xml:space="preserve">453.59</w:t>
            </w:r>
          </w:p>
        </w:tc>
        <w:tc>
          <w:tcPr/>
          <w:p>
            <w:pPr>
              <w:pStyle w:val="Compact"/>
              <w:jc w:val="left"/>
            </w:pPr>
            <w:r>
              <w:t xml:space="preserve">kmol/h</w:t>
            </w:r>
          </w:p>
        </w:tc>
      </w:tr>
      <w:tr>
        <w:tc>
          <w:tcPr/>
          <w:p>
            <w:pPr>
              <w:pStyle w:val="Compact"/>
              <w:jc w:val="left"/>
            </w:pPr>
            <w:r>
              <w:t xml:space="preserve">FM</w:t>
            </w:r>
          </w:p>
        </w:tc>
        <w:tc>
          <w:tcPr/>
          <w:p>
            <w:pPr>
              <w:pStyle w:val="Compact"/>
              <w:jc w:val="left"/>
            </w:pPr>
            <w:r>
              <w:t xml:space="preserve">45.359</w:t>
            </w:r>
          </w:p>
        </w:tc>
        <w:tc>
          <w:tcPr/>
          <w:p>
            <w:pPr>
              <w:pStyle w:val="Compact"/>
              <w:jc w:val="left"/>
            </w:pPr>
            <w:r>
              <w:t xml:space="preserve">kmol/h</w:t>
            </w:r>
          </w:p>
        </w:tc>
      </w:tr>
      <w:tr>
        <w:tc>
          <w:tcPr/>
          <w:p>
            <w:pPr>
              <w:pStyle w:val="Compact"/>
              <w:jc w:val="left"/>
            </w:pPr>
            <w:r>
              <w:t xml:space="preserve">mw0</w:t>
            </w:r>
          </w:p>
        </w:tc>
        <w:tc>
          <w:tcPr/>
          <w:p>
            <w:pPr>
              <w:pStyle w:val="Compact"/>
              <w:jc w:val="left"/>
            </w:pPr>
            <w:r>
              <w:t xml:space="preserve">453.59</w:t>
            </w:r>
          </w:p>
        </w:tc>
        <w:tc>
          <w:tcPr/>
          <w:p>
            <w:pPr>
              <w:pStyle w:val="Compact"/>
              <w:jc w:val="left"/>
            </w:pPr>
            <w:r>
              <w:t xml:space="preserve">kmol/h</w:t>
            </w:r>
          </w:p>
        </w:tc>
      </w:tr>
      <w:tr>
        <w:tc>
          <w:tcPr/>
          <w:p>
            <w:pPr>
              <w:pStyle w:val="Compact"/>
              <w:jc w:val="left"/>
            </w:pPr>
            <w:r>
              <w:t xml:space="preserve">T0</w:t>
            </w:r>
          </w:p>
        </w:tc>
        <w:tc>
          <w:tcPr/>
          <w:p>
            <w:pPr>
              <w:pStyle w:val="Compact"/>
              <w:jc w:val="left"/>
            </w:pPr>
            <w:r>
              <w:t xml:space="preserve">297.04</w:t>
            </w:r>
          </w:p>
        </w:tc>
        <w:tc>
          <w:tcPr/>
          <w:p>
            <w:pPr>
              <w:pStyle w:val="Compact"/>
              <w:jc w:val="left"/>
            </w:pPr>
            <w:r>
              <w:t xml:space="preserve">K</w:t>
            </w:r>
          </w:p>
        </w:tc>
      </w:tr>
      <w:tr>
        <w:tc>
          <w:tcPr/>
          <w:p>
            <w:pPr>
              <w:pStyle w:val="Compact"/>
              <w:jc w:val="left"/>
            </w:pPr>
            <w:r>
              <w:t xml:space="preserve">Ta</w:t>
            </w:r>
          </w:p>
        </w:tc>
        <w:tc>
          <w:tcPr/>
          <w:p>
            <w:pPr>
              <w:pStyle w:val="Compact"/>
              <w:jc w:val="left"/>
            </w:pPr>
            <w:r>
              <w:t xml:space="preserve">288.71</w:t>
            </w:r>
          </w:p>
        </w:tc>
        <w:tc>
          <w:tcPr/>
          <w:p>
            <w:pPr>
              <w:pStyle w:val="Compact"/>
              <w:jc w:val="left"/>
            </w:pPr>
            <w:r>
              <w:t xml:space="preserve">K</w:t>
            </w:r>
          </w:p>
        </w:tc>
      </w:tr>
    </w:tbl>
    <w:p>
      <w:pPr>
        <w:pStyle w:val="BodyText"/>
      </w:pPr>
      <w:r>
        <w:t xml:space="preserve">Nominal equilibrium: 0.607024732, 33.989102107, 2.295764605, 3.628486671, 332.333618020, 314.397585330.</w:t>
      </w:r>
    </w:p>
    <w:bookmarkEnd w:id="26"/>
    <w:bookmarkStart w:id="35" w:name="mathematical-scope-and-proofs"/>
    <w:p>
      <w:pPr>
        <w:pStyle w:val="Heading1"/>
      </w:pPr>
      <w:r>
        <w:rPr>
          <w:rStyle w:val="SectionNumber"/>
        </w:rPr>
        <w:t xml:space="preserve">7</w:t>
      </w:r>
      <w:r>
        <w:tab/>
      </w:r>
      <w:r>
        <w:t xml:space="preserve">Mathematical scope and proofs</w:t>
      </w:r>
    </w:p>
    <w:p>
      <w:pPr>
        <w:pStyle w:val="FirstParagraph"/>
      </w:pPr>
      <w:r>
        <w:t xml:space="preserve">All statements below concern the stated model class, not an experimentally identified industrial reactor. Time is in hours. All worlds share the same known feed histories, parameters, reference, actuator constraints and initial measured temperatures. Initial chemical states range over an open positive domain admitted by the six-state benchmark. This does not impose a separately validated liquid equation of state. If additional exact admissibility constraints are imposed, the constructed equivalence class must be intersected with them; its quoted dimension need not survive. Solutions are unique up to the considered finite horizon and remain in that set. Inputs can depend causally on measured temperatures. Exact information statements use noiseless measurements or a coupling with the same additive sensor-noise realization.</w:t>
      </w:r>
    </w:p>
    <w:bookmarkStart w:id="27" w:name="Xfef453d5c0e6d709a386a5ed703372c8e962250"/>
    <w:p>
      <w:pPr>
        <w:pStyle w:val="Heading2"/>
      </w:pPr>
      <w:r>
        <w:rPr>
          <w:rStyle w:val="SectionNumber"/>
        </w:rPr>
        <w:t xml:space="preserve">7.1</w:t>
      </w:r>
      <w:r>
        <w:tab/>
      </w:r>
      <w:r>
        <w:t xml:space="preserve">Proposition 1: a calorimetric equivalence class</w:t>
      </w:r>
    </w:p>
    <w:p>
      <w:pPr>
        <w:pStyle w:val="FirstParagraph"/>
      </w:pPr>
      <w:r>
        <w:t xml:space="preserve">Let the four species obey</w:t>
      </w:r>
      <w:r>
        <w:t xml:space="preserve"> </w:t>
      </w:r>
      <m:oMath>
        <m:acc>
          <m:accPr>
            <m:chr m:val="̇"/>
          </m:accPr>
          <m:e>
            <m:r>
              <m:t>c</m:t>
            </m:r>
          </m:e>
        </m:acc>
        <m:r>
          <m:rPr>
            <m:sty m:val="p"/>
          </m:rPr>
          <m:t>=</m:t>
        </m:r>
        <m:r>
          <m:t>F</m:t>
        </m:r>
        <m:r>
          <m:rPr>
            <m:sty m:val="p"/>
          </m:rPr>
          <m:t>/</m:t>
        </m:r>
        <m:r>
          <m:t>V</m:t>
        </m:r>
        <m:r>
          <m:rPr>
            <m:sty m:val="p"/>
          </m:rPr>
          <m:t>−</m:t>
        </m:r>
        <m:r>
          <m:t>D</m:t>
        </m:r>
        <m:d>
          <m:dPr>
            <m:begChr m:val="("/>
            <m:endChr m:val=")"/>
            <m:sepChr m:val=""/>
            <m:grow/>
          </m:dPr>
          <m:e>
            <m:r>
              <m:t>t</m:t>
            </m:r>
          </m:e>
        </m:d>
        <m:r>
          <m:t>c</m:t>
        </m:r>
        <m:r>
          <m:rPr>
            <m:sty m:val="p"/>
          </m:rPr>
          <m:t>+</m:t>
        </m:r>
        <m:r>
          <m:t>ν</m:t>
        </m:r>
        <m:r>
          <m:t>r</m:t>
        </m:r>
      </m:oMath>
      <w:r>
        <w:t xml:space="preserve">, with</w:t>
      </w:r>
      <w:r>
        <w:t xml:space="preserve"> </w:t>
      </w:r>
      <m:oMath>
        <m:r>
          <m:t>ν</m:t>
        </m:r>
        <m:r>
          <m:rPr>
            <m:sty m:val="p"/>
          </m:rPr>
          <m:t>=</m:t>
        </m:r>
        <m:sSup>
          <m:e>
            <m:d>
              <m:dPr>
                <m:begChr m:val="("/>
                <m:endChr m:val=")"/>
                <m:sepChr m:val=""/>
                <m:grow/>
              </m:dPr>
              <m:e>
                <m:r>
                  <m:rPr>
                    <m:sty m:val="p"/>
                  </m:rPr>
                  <m:t>−</m:t>
                </m:r>
                <m:r>
                  <m:t>1</m:t>
                </m:r>
                <m:r>
                  <m:rPr>
                    <m:sty m:val="p"/>
                  </m:rPr>
                  <m:t>,</m:t>
                </m:r>
                <m:r>
                  <m:rPr>
                    <m:sty m:val="p"/>
                  </m:rPr>
                  <m:t>−</m:t>
                </m:r>
                <m:r>
                  <m:t>1</m:t>
                </m:r>
                <m:r>
                  <m:rPr>
                    <m:sty m:val="p"/>
                  </m:rPr>
                  <m:t>,</m:t>
                </m:r>
                <m:r>
                  <m:t>1</m:t>
                </m:r>
                <m:r>
                  <m:rPr>
                    <m:sty m:val="p"/>
                  </m:rPr>
                  <m:t>,</m:t>
                </m:r>
                <m:r>
                  <m:t>0</m:t>
                </m:r>
              </m:e>
            </m:d>
          </m:e>
          <m:sup>
            <m:r>
              <m:t>T</m:t>
            </m:r>
          </m:sup>
        </m:sSup>
      </m:oMath>
      <w:r>
        <w:t xml:space="preserve"> </w:t>
      </w:r>
      <w:r>
        <w:t xml:space="preserve">and</w:t>
      </w:r>
      <w:r>
        <w:t xml:space="preserve"> </w:t>
      </w:r>
      <m:oMath>
        <m:r>
          <m:t>r</m:t>
        </m:r>
        <m:r>
          <m:rPr>
            <m:sty m:val="p"/>
          </m:rPr>
          <m:t>=</m:t>
        </m:r>
        <m:r>
          <m:t>k</m:t>
        </m:r>
        <m:d>
          <m:dPr>
            <m:begChr m:val="("/>
            <m:endChr m:val=")"/>
            <m:sepChr m:val=""/>
            <m:grow/>
          </m:dPr>
          <m:e>
            <m:r>
              <m:t>T</m:t>
            </m:r>
          </m:e>
        </m:d>
        <m:sSub>
          <m:e>
            <m:r>
              <m:t>C</m:t>
            </m:r>
          </m:e>
          <m:sub>
            <m:r>
              <m:t>A</m:t>
            </m:r>
          </m:sub>
        </m:sSub>
      </m:oMath>
      <w:r>
        <w:t xml:space="preserve">. Suppose the thermal dynamics depend on composition only through</w:t>
      </w:r>
      <w:r>
        <w:t xml:space="preserve"> </w:t>
      </w:r>
      <m:oMath>
        <m:sSub>
          <m:e>
            <m:r>
              <m:t>C</m:t>
            </m:r>
          </m:e>
          <m:sub>
            <m:r>
              <m:t>A</m:t>
            </m:r>
          </m:sub>
        </m:sSub>
      </m:oMath>
      <w:r>
        <w:t xml:space="preserve"> </w:t>
      </w:r>
      <w:r>
        <w:t xml:space="preserve">and</w:t>
      </w:r>
      <w:r>
        <w:t xml:space="preserve"> </w:t>
      </w:r>
      <m:oMath>
        <m:r>
          <m:t>W</m:t>
        </m:r>
        <m:d>
          <m:dPr>
            <m:begChr m:val="("/>
            <m:endChr m:val=")"/>
            <m:sepChr m:val=""/>
            <m:grow/>
          </m:dPr>
          <m:e>
            <m:r>
              <m:t>T</m:t>
            </m:r>
            <m:r>
              <m:rPr>
                <m:sty m:val="p"/>
              </m:rPr>
              <m:t>,</m:t>
            </m:r>
            <m:r>
              <m:t>c</m:t>
            </m:r>
          </m:e>
        </m:d>
        <m:r>
          <m:rPr>
            <m:sty m:val="p"/>
          </m:rPr>
          <m:t>=</m:t>
        </m:r>
        <m:nary>
          <m:naryPr>
            <m:chr m:val="∑"/>
            <m:limLoc m:val="undOvr"/>
            <m:subHide m:val="off"/>
            <m:supHide m:val="on"/>
          </m:naryPr>
          <m:sub>
            <m:r>
              <m:t>i</m:t>
            </m:r>
          </m:sub>
          <m:sup>
            <m:r>
              <m:t>​</m:t>
            </m:r>
          </m:sup>
          <m:e>
            <m:sSub>
              <m:e>
                <m:r>
                  <m:t>c</m:t>
                </m:r>
              </m:e>
              <m:sub>
                <m:r>
                  <m:t>p</m:t>
                </m:r>
                <m:r>
                  <m:rPr>
                    <m:sty m:val="p"/>
                  </m:rPr>
                  <m:t>,</m:t>
                </m:r>
                <m:r>
                  <m:t>i</m:t>
                </m:r>
              </m:sub>
            </m:sSub>
          </m:e>
        </m:nary>
        <m:d>
          <m:dPr>
            <m:begChr m:val="("/>
            <m:endChr m:val=")"/>
            <m:sepChr m:val=""/>
            <m:grow/>
          </m:dPr>
          <m:e>
            <m:r>
              <m:t>T</m:t>
            </m:r>
          </m:e>
        </m:d>
        <m:sSub>
          <m:e>
            <m:r>
              <m:t>C</m:t>
            </m:r>
          </m:e>
          <m:sub>
            <m:r>
              <m:t>i</m:t>
            </m:r>
          </m:sub>
        </m:sSub>
      </m:oMath>
      <w:r>
        <w:t xml:space="preserve">. Heat exchange can be any locally Lipschitz function of</w:t>
      </w:r>
      <w:r>
        <w:t xml:space="preserve"> </w:t>
      </w:r>
      <m:oMath>
        <m:r>
          <m:t>T</m:t>
        </m:r>
        <m:r>
          <m:rPr>
            <m:sty m:val="p"/>
          </m:rPr>
          <m:t>,</m:t>
        </m:r>
        <m:sSub>
          <m:e>
            <m:r>
              <m:t>T</m:t>
            </m:r>
          </m:e>
          <m:sub>
            <m:r>
              <m:t>t</m:t>
            </m:r>
          </m:sub>
        </m:sSub>
        <m:r>
          <m:rPr>
            <m:sty m:val="p"/>
          </m:rPr>
          <m:t>,</m:t>
        </m:r>
        <m:r>
          <m:t>u</m:t>
        </m:r>
      </m:oMath>
      <w:r>
        <w:t xml:space="preserve"> </w:t>
      </w:r>
      <w:r>
        <w:t xml:space="preserve">independent of the remaining chemical coordinates. Reaction enthalpy can depend on temperature, consistently or otherwise, without changing this statement.</w:t>
      </w:r>
    </w:p>
    <w:p>
      <w:pPr>
        <w:pStyle w:val="BodyText"/>
      </w:pPr>
      <w:r>
        <w:t xml:space="preserve">For constant heat capacities, two initial states satisfying</w:t>
      </w:r>
    </w:p>
    <w:p>
      <w:pPr>
        <w:pStyle w:val="BodyText"/>
      </w:pPr>
      <m:oMathPara>
        <m:oMathParaPr>
          <m:jc m:val="center"/>
        </m:oMathParaPr>
        <m:oMath>
          <m:r>
            <m:t>δ</m:t>
          </m:r>
          <m:sSub>
            <m:e>
              <m:r>
                <m:t>C</m:t>
              </m:r>
            </m:e>
            <m:sub>
              <m:r>
                <m:t>A</m:t>
              </m:r>
            </m:sub>
          </m:sSub>
          <m:r>
            <m:rPr>
              <m:sty m:val="p"/>
            </m:rPr>
            <m:t>=</m:t>
          </m:r>
          <m:r>
            <m:t>0</m:t>
          </m:r>
          <m:r>
            <m:rPr>
              <m:sty m:val="p"/>
            </m:rPr>
            <m:t>,</m:t>
          </m:r>
          <m:r>
            <m:t> </m:t>
          </m:r>
          <m:r>
            <m:t>δ</m:t>
          </m:r>
          <m:r>
            <m:t>T</m:t>
          </m:r>
          <m:r>
            <m:rPr>
              <m:sty m:val="p"/>
            </m:rPr>
            <m:t>=</m:t>
          </m:r>
          <m:r>
            <m:t>δ</m:t>
          </m:r>
          <m:sSub>
            <m:e>
              <m:r>
                <m:t>T</m:t>
              </m:r>
            </m:e>
            <m:sub>
              <m:r>
                <m:t>t</m:t>
              </m:r>
            </m:sub>
          </m:sSub>
          <m:r>
            <m:rPr>
              <m:sty m:val="p"/>
            </m:rPr>
            <m:t>=</m:t>
          </m:r>
          <m:r>
            <m:t>0</m:t>
          </m:r>
          <m:r>
            <m:rPr>
              <m:sty m:val="p"/>
            </m:rPr>
            <m:t>,</m:t>
          </m:r>
          <m:r>
            <m:t>  </m:t>
          </m:r>
          <m:sSub>
            <m:e>
              <m:r>
                <m:t>c</m:t>
              </m:r>
            </m:e>
            <m:sub>
              <m:r>
                <m:t>p</m:t>
              </m:r>
              <m:r>
                <m:rPr>
                  <m:sty m:val="p"/>
                </m:rPr>
                <m:t>,</m:t>
              </m:r>
              <m:r>
                <m:t>B</m:t>
              </m:r>
            </m:sub>
          </m:sSub>
          <m:r>
            <m:t>δ</m:t>
          </m:r>
          <m:sSub>
            <m:e>
              <m:r>
                <m:t>C</m:t>
              </m:r>
            </m:e>
            <m:sub>
              <m:r>
                <m:t>B</m:t>
              </m:r>
            </m:sub>
          </m:sSub>
          <m:r>
            <m:rPr>
              <m:sty m:val="p"/>
            </m:rPr>
            <m:t>+</m:t>
          </m:r>
          <m:sSub>
            <m:e>
              <m:r>
                <m:t>c</m:t>
              </m:r>
            </m:e>
            <m:sub>
              <m:r>
                <m:t>p</m:t>
              </m:r>
              <m:r>
                <m:rPr>
                  <m:sty m:val="p"/>
                </m:rPr>
                <m:t>,</m:t>
              </m:r>
              <m:r>
                <m:t>C</m:t>
              </m:r>
            </m:sub>
          </m:sSub>
          <m:r>
            <m:t>δ</m:t>
          </m:r>
          <m:sSub>
            <m:e>
              <m:r>
                <m:t>C</m:t>
              </m:r>
            </m:e>
            <m:sub>
              <m:r>
                <m:t>C</m:t>
              </m:r>
            </m:sub>
          </m:sSub>
          <m:r>
            <m:rPr>
              <m:sty m:val="p"/>
            </m:rPr>
            <m:t>+</m:t>
          </m:r>
          <m:sSub>
            <m:e>
              <m:r>
                <m:t>c</m:t>
              </m:r>
            </m:e>
            <m:sub>
              <m:r>
                <m:t>p</m:t>
              </m:r>
              <m:r>
                <m:rPr>
                  <m:sty m:val="p"/>
                </m:rPr>
                <m:t>,</m:t>
              </m:r>
              <m:r>
                <m:t>M</m:t>
              </m:r>
            </m:sub>
          </m:sSub>
          <m:r>
            <m:t>δ</m:t>
          </m:r>
          <m:sSub>
            <m:e>
              <m:r>
                <m:t>C</m:t>
              </m:r>
            </m:e>
            <m:sub>
              <m:r>
                <m:t>M</m:t>
              </m:r>
            </m:sub>
          </m:sSub>
          <m:r>
            <m:rPr>
              <m:sty m:val="p"/>
            </m:rPr>
            <m:t>=</m:t>
          </m:r>
          <m:r>
            <m:t>0</m:t>
          </m:r>
        </m:oMath>
      </m:oMathPara>
    </w:p>
    <w:p>
      <w:pPr>
        <w:pStyle w:val="FirstParagraph"/>
      </w:pPr>
      <w:r>
        <w:t xml:space="preserve">generate identical temperatures for every common admissible input, for as long as both trajectories exist in the physical domain. The chemical differences are</w:t>
      </w:r>
    </w:p>
    <w:p>
      <w:pPr>
        <w:pStyle w:val="BodyText"/>
      </w:pPr>
      <m:oMathPara>
        <m:oMathParaPr>
          <m:jc m:val="center"/>
        </m:oMathParaPr>
        <m:oMath>
          <m:r>
            <m:t>δ</m:t>
          </m:r>
          <m:r>
            <m:t>c</m:t>
          </m:r>
          <m:d>
            <m:dPr>
              <m:begChr m:val="("/>
              <m:endChr m:val=")"/>
              <m:sepChr m:val=""/>
              <m:grow/>
            </m:dPr>
            <m:e>
              <m:r>
                <m:t>t</m:t>
              </m:r>
            </m:e>
          </m:d>
          <m:r>
            <m:rPr>
              <m:sty m:val="p"/>
            </m:rPr>
            <m:t>=</m:t>
          </m:r>
          <m:sSup>
            <m:e>
              <m:r>
                <m:t>e</m:t>
              </m:r>
            </m:e>
            <m:sup>
              <m:r>
                <m:rPr>
                  <m:sty m:val="p"/>
                </m:rPr>
                <m:t>−</m:t>
              </m:r>
              <m:nary>
                <m:naryPr>
                  <m:chr m:val="∫"/>
                  <m:limLoc m:val="subSup"/>
                  <m:subHide m:val="off"/>
                  <m:supHide m:val="off"/>
                </m:naryPr>
                <m:sub>
                  <m:r>
                    <m:t>0</m:t>
                  </m:r>
                </m:sub>
                <m:sup>
                  <m:r>
                    <m:t>t</m:t>
                  </m:r>
                </m:sup>
                <m:e>
                  <m:r>
                    <m:t>D</m:t>
                  </m:r>
                </m:e>
              </m:nary>
              <m:d>
                <m:dPr>
                  <m:begChr m:val="("/>
                  <m:endChr m:val=")"/>
                  <m:sepChr m:val=""/>
                  <m:grow/>
                </m:dPr>
                <m:e>
                  <m:r>
                    <m:t>s</m:t>
                  </m:r>
                </m:e>
              </m:d>
              <m:r>
                <m:t> </m:t>
              </m:r>
              <m:r>
                <m:t>d</m:t>
              </m:r>
              <m:r>
                <m:t>s</m:t>
              </m:r>
            </m:sup>
          </m:sSup>
          <m:r>
            <m:t>δ</m:t>
          </m:r>
          <m:r>
            <m:t>c</m:t>
          </m:r>
          <m:d>
            <m:dPr>
              <m:begChr m:val="("/>
              <m:endChr m:val=")"/>
              <m:sepChr m:val=""/>
              <m:grow/>
            </m:dPr>
            <m:e>
              <m:r>
                <m:t>0</m:t>
              </m:r>
            </m:e>
          </m:d>
          <m:r>
            <m:rPr>
              <m:sty m:val="p"/>
            </m:rPr>
            <m:t>.</m:t>
          </m:r>
        </m:oMath>
      </m:oMathPara>
    </w:p>
    <w:p>
      <w:pPr>
        <w:pStyle w:val="FirstParagraph"/>
      </w:pPr>
      <w:r>
        <w:t xml:space="preserve">Proof. Equal</w:t>
      </w:r>
      <w:r>
        <w:t xml:space="preserve"> </w:t>
      </w:r>
      <m:oMath>
        <m:sSub>
          <m:e>
            <m:r>
              <m:t>C</m:t>
            </m:r>
          </m:e>
          <m:sub>
            <m:r>
              <m:t>A</m:t>
            </m:r>
          </m:sub>
        </m:sSub>
        <m:r>
          <m:rPr>
            <m:sty m:val="p"/>
          </m:rPr>
          <m:t>,</m:t>
        </m:r>
        <m:r>
          <m:t>T</m:t>
        </m:r>
      </m:oMath>
      <w:r>
        <w:t xml:space="preserve"> </w:t>
      </w:r>
      <w:r>
        <w:t xml:space="preserve">imply equal reaction rates. Subtraction of the species balances then gives homogeneous dilution for the remaining differences. Their calorimetric combination stays zero, so both thermal derivatives agree. Uniqueness closes the argument. Under causal feedback, equal histories imply equal next actions, and uniqueness continues the equality. There are two independent chemical directions in this kernel. Thus the six free states cannot be locally reconstructed in full. The observable quotient has at most four coordinates</w:t>
      </w:r>
      <w:r>
        <w:t xml:space="preserve"> </w:t>
      </w:r>
      <m:oMath>
        <m:d>
          <m:dPr>
            <m:begChr m:val="("/>
            <m:endChr m:val=")"/>
            <m:sepChr m:val=""/>
            <m:grow/>
          </m:dPr>
          <m:e>
            <m:sSub>
              <m:e>
                <m:r>
                  <m:t>C</m:t>
                </m:r>
              </m:e>
              <m:sub>
                <m:r>
                  <m:t>A</m:t>
                </m:r>
              </m:sub>
            </m:sSub>
            <m:r>
              <m:rPr>
                <m:sty m:val="p"/>
              </m:rPr>
              <m:t>,</m:t>
            </m:r>
            <m:r>
              <m:t>W</m:t>
            </m:r>
            <m:r>
              <m:rPr>
                <m:sty m:val="p"/>
              </m:rPr>
              <m:t>,</m:t>
            </m:r>
            <m:r>
              <m:t>T</m:t>
            </m:r>
            <m:r>
              <m:rPr>
                <m:sty m:val="p"/>
              </m:rPr>
              <m:t>,</m:t>
            </m:r>
            <m:sSub>
              <m:e>
                <m:r>
                  <m:t>T</m:t>
                </m:r>
              </m:e>
              <m:sub>
                <m:r>
                  <m:t>t</m:t>
                </m:r>
              </m:sub>
            </m:sSub>
          </m:e>
        </m:d>
      </m:oMath>
      <w:r>
        <w:t xml:space="preserve">. This is a sufficient construction of indistinguishability, not a claim that all indistinguishable pairs have this form.</w:t>
      </w:r>
    </w:p>
    <w:p>
      <w:pPr>
        <w:pStyle w:val="BodyText"/>
      </w:pPr>
      <w:r>
        <w:t xml:space="preserve">This result survives restoring reciprocal heat transfer between jacket and reactor. Therefore the absence of jacket feedback is not, by itself, the cause of the two-dimensional composition ambiguity.</w:t>
      </w:r>
    </w:p>
    <w:bookmarkEnd w:id="27"/>
    <w:bookmarkStart w:id="28" w:name="X2868f3f6045f61ff2c8ee56c8a17d969449c751"/>
    <w:p>
      <w:pPr>
        <w:pStyle w:val="Heading2"/>
      </w:pPr>
      <w:r>
        <w:rPr>
          <w:rStyle w:val="SectionNumber"/>
        </w:rPr>
        <w:t xml:space="preserve">7.2</w:t>
      </w:r>
      <w:r>
        <w:tab/>
      </w:r>
      <w:r>
        <w:t xml:space="preserve">Proposition 1b: functional heat-capacity rank</w:t>
      </w:r>
    </w:p>
    <w:p>
      <w:pPr>
        <w:pStyle w:val="FirstParagraph"/>
      </w:pPr>
      <w:r>
        <w:t xml:space="preserve">Define the linear space</w:t>
      </w:r>
    </w:p>
    <w:p>
      <w:pPr>
        <w:pStyle w:val="BodyText"/>
      </w:pPr>
      <m:oMathPara>
        <m:oMathParaPr>
          <m:jc m:val="center"/>
        </m:oMathParaPr>
        <m:oMath>
          <m:r>
            <m:rPr>
              <m:sty m:val="p"/>
              <m:scr m:val="script"/>
            </m:rPr>
            <m:t>S</m:t>
          </m:r>
          <m:r>
            <m:rPr>
              <m:sty m:val="p"/>
            </m:rPr>
            <m:t>=</m:t>
          </m:r>
          <m:r>
            <m:rPr>
              <m:sty m:val="p"/>
            </m:rPr>
            <m:t>span</m:t>
          </m:r>
          <m:r>
            <m:rPr>
              <m:sty m:val="p"/>
            </m:rPr>
            <m:t>{</m:t>
          </m:r>
          <m:d>
            <m:dPr>
              <m:begChr m:val="("/>
              <m:endChr m:val=")"/>
              <m:sepChr m:val=""/>
              <m:grow/>
            </m:dPr>
            <m:e>
              <m:sSub>
                <m:e>
                  <m:r>
                    <m:t>c</m:t>
                  </m:r>
                </m:e>
                <m:sub>
                  <m:r>
                    <m:t>p</m:t>
                  </m:r>
                  <m:r>
                    <m:rPr>
                      <m:sty m:val="p"/>
                    </m:rPr>
                    <m:t>,</m:t>
                  </m:r>
                  <m:r>
                    <m:t>B</m:t>
                  </m:r>
                </m:sub>
              </m:sSub>
              <m:d>
                <m:dPr>
                  <m:begChr m:val="("/>
                  <m:endChr m:val=")"/>
                  <m:sepChr m:val=""/>
                  <m:grow/>
                </m:dPr>
                <m:e>
                  <m:r>
                    <m:t>T</m:t>
                  </m:r>
                </m:e>
              </m:d>
              <m:r>
                <m:rPr>
                  <m:sty m:val="p"/>
                </m:rPr>
                <m:t>,</m:t>
              </m:r>
              <m:sSub>
                <m:e>
                  <m:r>
                    <m:t>c</m:t>
                  </m:r>
                </m:e>
                <m:sub>
                  <m:r>
                    <m:t>p</m:t>
                  </m:r>
                  <m:r>
                    <m:rPr>
                      <m:sty m:val="p"/>
                    </m:rPr>
                    <m:t>,</m:t>
                  </m:r>
                  <m:r>
                    <m:t>C</m:t>
                  </m:r>
                </m:sub>
              </m:sSub>
              <m:d>
                <m:dPr>
                  <m:begChr m:val="("/>
                  <m:endChr m:val=")"/>
                  <m:sepChr m:val=""/>
                  <m:grow/>
                </m:dPr>
                <m:e>
                  <m:r>
                    <m:t>T</m:t>
                  </m:r>
                </m:e>
              </m:d>
              <m:r>
                <m:rPr>
                  <m:sty m:val="p"/>
                </m:rPr>
                <m:t>,</m:t>
              </m:r>
              <m:sSub>
                <m:e>
                  <m:r>
                    <m:t>c</m:t>
                  </m:r>
                </m:e>
                <m:sub>
                  <m:r>
                    <m:t>p</m:t>
                  </m:r>
                  <m:r>
                    <m:rPr>
                      <m:sty m:val="p"/>
                    </m:rPr>
                    <m:t>,</m:t>
                  </m:r>
                  <m:r>
                    <m:t>M</m:t>
                  </m:r>
                </m:sub>
              </m:sSub>
              <m:d>
                <m:dPr>
                  <m:begChr m:val="("/>
                  <m:endChr m:val=")"/>
                  <m:sepChr m:val=""/>
                  <m:grow/>
                </m:dPr>
                <m:e>
                  <m:r>
                    <m:t>T</m:t>
                  </m:r>
                </m:e>
              </m:d>
            </m:e>
          </m:d>
          <m:r>
            <m:rPr>
              <m:sty m:val="p"/>
            </m:rPr>
            <m:t>:</m:t>
          </m:r>
          <m:r>
            <m:t>T</m:t>
          </m:r>
          <m:r>
            <m:rPr>
              <m:sty m:val="p"/>
            </m:rPr>
            <m:t>∈</m:t>
          </m:r>
          <m:r>
            <m:rPr>
              <m:sty m:val="p"/>
              <m:scr m:val="script"/>
            </m:rPr>
            <m:t>I</m:t>
          </m:r>
          <m:r>
            <m:rPr>
              <m:sty m:val="p"/>
            </m:rPr>
            <m:t>}</m:t>
          </m:r>
          <m:r>
            <m:rPr>
              <m:sty m:val="p"/>
            </m:rPr>
            <m:t>.</m:t>
          </m:r>
        </m:oMath>
      </m:oMathPara>
    </w:p>
    <w:p>
      <w:pPr>
        <w:pStyle w:val="FirstParagraph"/>
      </w:pPr>
      <w:r>
        <w:t xml:space="preserve">Every difference with</w:t>
      </w:r>
      <w:r>
        <w:t xml:space="preserve"> </w:t>
      </w:r>
      <m:oMath>
        <m:r>
          <m:t>δ</m:t>
        </m:r>
        <m:sSub>
          <m:e>
            <m:r>
              <m:t>C</m:t>
            </m:r>
          </m:e>
          <m:sub>
            <m:r>
              <m:t>A</m:t>
            </m:r>
          </m:sub>
        </m:sSub>
        <m:r>
          <m:rPr>
            <m:sty m:val="p"/>
          </m:rPr>
          <m:t>=</m:t>
        </m:r>
        <m:r>
          <m:t>0</m:t>
        </m:r>
      </m:oMath>
      <w:r>
        <w:t xml:space="preserve"> </w:t>
      </w:r>
      <w:r>
        <w:t xml:space="preserve">and</w:t>
      </w:r>
      <w:r>
        <w:t xml:space="preserve"> </w:t>
      </w:r>
      <m:oMath>
        <m:d>
          <m:dPr>
            <m:begChr m:val="("/>
            <m:endChr m:val=")"/>
            <m:sepChr m:val=""/>
            <m:grow/>
          </m:dPr>
          <m:e>
            <m:r>
              <m:t>δ</m:t>
            </m:r>
            <m:sSub>
              <m:e>
                <m:r>
                  <m:t>C</m:t>
                </m:r>
              </m:e>
              <m:sub>
                <m:r>
                  <m:t>B</m:t>
                </m:r>
              </m:sub>
            </m:sSub>
            <m:r>
              <m:rPr>
                <m:sty m:val="p"/>
              </m:rPr>
              <m:t>,</m:t>
            </m:r>
            <m:r>
              <m:t>δ</m:t>
            </m:r>
            <m:sSub>
              <m:e>
                <m:r>
                  <m:t>C</m:t>
                </m:r>
              </m:e>
              <m:sub>
                <m:r>
                  <m:t>C</m:t>
                </m:r>
              </m:sub>
            </m:sSub>
            <m:r>
              <m:rPr>
                <m:sty m:val="p"/>
              </m:rPr>
              <m:t>,</m:t>
            </m:r>
            <m:r>
              <m:t>δ</m:t>
            </m:r>
            <m:sSub>
              <m:e>
                <m:r>
                  <m:t>C</m:t>
                </m:r>
              </m:e>
              <m:sub>
                <m:r>
                  <m:t>M</m:t>
                </m:r>
              </m:sub>
            </m:sSub>
          </m:e>
        </m:d>
        <m:r>
          <m:rPr>
            <m:sty m:val="p"/>
          </m:rPr>
          <m:t>∈</m:t>
        </m:r>
        <m:sSup>
          <m:e>
            <m:r>
              <m:rPr>
                <m:sty m:val="p"/>
                <m:scr m:val="script"/>
              </m:rPr>
              <m:t>S</m:t>
            </m:r>
          </m:e>
          <m:sup>
            <m:r>
              <m:rPr>
                <m:sty m:val="p"/>
              </m:rPr>
              <m:t>⊥</m:t>
            </m:r>
          </m:sup>
        </m:sSup>
      </m:oMath>
      <w:r>
        <w:t xml:space="preserve"> </w:t>
      </w:r>
      <w:r>
        <w:t xml:space="preserve">satisfies the same construction. Its dimension is</w:t>
      </w:r>
      <w:r>
        <w:t xml:space="preserve"> </w:t>
      </w:r>
      <m:oMath>
        <m:r>
          <m:t>3</m:t>
        </m:r>
        <m:r>
          <m:rPr>
            <m:sty m:val="p"/>
          </m:rPr>
          <m:t>−</m:t>
        </m:r>
        <m:r>
          <m:rPr>
            <m:sty m:val="p"/>
          </m:rPr>
          <m:t>dim</m:t>
        </m:r>
        <m:r>
          <m:rPr>
            <m:sty m:val="p"/>
            <m:scr m:val="script"/>
          </m:rPr>
          <m:t>S</m:t>
        </m:r>
      </m:oMath>
      <w:r>
        <w:t xml:space="preserve">.</w:t>
      </w:r>
    </w:p>
    <w:p>
      <w:pPr>
        <w:pStyle w:val="BodyText"/>
      </w:pPr>
      <w:r>
        <w:t xml:space="preserve">Proof. Its thermal capacity difference vanishes at every temperature in</w:t>
      </w:r>
      <w:r>
        <w:t xml:space="preserve"> </w:t>
      </w:r>
      <m:oMath>
        <m:r>
          <m:rPr>
            <m:sty m:val="p"/>
            <m:scr m:val="script"/>
          </m:rPr>
          <m:t>I</m:t>
        </m:r>
      </m:oMath>
      <w:r>
        <w:t xml:space="preserve">. The species differences all acquire the same scalar dilution factor. The preceding proof applies unchanged, including temperature-dependent reaction enthalpy and feed sensible enthalpies. For constant Cp, rank is one. For species-wise affine Cp(T), rank is at most two, leaving at least one invisible direction. For independent quadratic Cp functions, this particular kernel can disappear. The absence of this kernel is NOT a proof of complete nonlinear observability: other symmetries, singular operating states and poor sensitivity may remain.</w:t>
      </w:r>
    </w:p>
    <w:p>
      <w:pPr>
        <w:pStyle w:val="BodyText"/>
      </w:pPr>
      <w:r>
        <w:t xml:space="preserve">A useful sensor-design consequence follows. A scalar chemical measurement</w:t>
      </w:r>
      <w:r>
        <w:t xml:space="preserve"> </w:t>
      </w:r>
      <m:oMath>
        <m:sSup>
          <m:e>
            <m:r>
              <m:t>a</m:t>
            </m:r>
          </m:e>
          <m:sup>
            <m:r>
              <m:t>T</m:t>
            </m:r>
          </m:sup>
        </m:sSup>
        <m:r>
          <m:t>c</m:t>
        </m:r>
      </m:oMath>
      <w:r>
        <w:t xml:space="preserve"> </w:t>
      </w:r>
      <w:r>
        <w:t xml:space="preserve">resolves product on a given equivalence class only if</w:t>
      </w:r>
    </w:p>
    <w:p>
      <w:pPr>
        <w:pStyle w:val="BodyText"/>
      </w:pPr>
      <m:oMathPara>
        <m:oMathParaPr>
          <m:jc m:val="center"/>
        </m:oMathParaPr>
        <m:oMath>
          <m:r>
            <m:rPr>
              <m:sty m:val="p"/>
            </m:rPr>
            <m:t>ker</m:t>
          </m:r>
          <m:d>
            <m:dPr>
              <m:begChr m:val="("/>
              <m:endChr m:val=")"/>
              <m:sepChr m:val=""/>
              <m:grow/>
            </m:dPr>
            <m:e>
              <m:sSup>
                <m:e>
                  <m:r>
                    <m:t>a</m:t>
                  </m:r>
                </m:e>
                <m:sup>
                  <m:r>
                    <m:t>T</m:t>
                  </m:r>
                </m:sup>
              </m:sSup>
              <m:sSub>
                <m:e>
                  <m:r>
                    <m:rPr>
                      <m:sty m:val="p"/>
                    </m:rPr>
                    <m:t>|</m:t>
                  </m:r>
                </m:e>
                <m:sub>
                  <m:r>
                    <m:rPr>
                      <m:sty m:val="p"/>
                      <m:scr m:val="script"/>
                    </m:rPr>
                    <m:t>N</m:t>
                  </m:r>
                </m:sub>
              </m:sSub>
            </m:e>
          </m:d>
          <m:r>
            <m:rPr>
              <m:sty m:val="p"/>
            </m:rPr>
            <m:t>⊆</m:t>
          </m:r>
          <m:r>
            <m:rPr>
              <m:sty m:val="p"/>
            </m:rPr>
            <m:t>ker</m:t>
          </m:r>
          <m:d>
            <m:dPr>
              <m:begChr m:val="("/>
              <m:endChr m:val=")"/>
              <m:sepChr m:val=""/>
              <m:grow/>
            </m:dPr>
            <m:e>
              <m:sSubSup>
                <m:e>
                  <m:r>
                    <m:t>e</m:t>
                  </m:r>
                </m:e>
                <m:sub>
                  <m:r>
                    <m:t>C</m:t>
                  </m:r>
                </m:sub>
                <m:sup>
                  <m:r>
                    <m:t>T</m:t>
                  </m:r>
                </m:sup>
              </m:sSubSup>
              <m:sSub>
                <m:e>
                  <m:r>
                    <m:rPr>
                      <m:sty m:val="p"/>
                    </m:rPr>
                    <m:t>|</m:t>
                  </m:r>
                </m:e>
                <m:sub>
                  <m:r>
                    <m:rPr>
                      <m:sty m:val="p"/>
                      <m:scr m:val="script"/>
                    </m:rPr>
                    <m:t>N</m:t>
                  </m:r>
                </m:sub>
              </m:sSub>
            </m:e>
          </m:d>
          <m:r>
            <m:rPr>
              <m:sty m:val="p"/>
            </m:rPr>
            <m:t>,</m:t>
          </m:r>
        </m:oMath>
      </m:oMathPara>
    </w:p>
    <w:p>
      <w:pPr>
        <w:pStyle w:val="FirstParagraph"/>
      </w:pPr>
      <w:r>
        <w:t xml:space="preserve">where</w:t>
      </w:r>
      <w:r>
        <w:t xml:space="preserve"> </w:t>
      </w:r>
      <m:oMath>
        <m:r>
          <m:rPr>
            <m:sty m:val="p"/>
            <m:scr m:val="script"/>
          </m:rPr>
          <m:t>N</m:t>
        </m:r>
      </m:oMath>
      <w:r>
        <w:t xml:space="preserve"> </w:t>
      </w:r>
      <w:r>
        <w:t xml:space="preserve">is the invisible chemical subspace. Measuring</w:t>
      </w:r>
      <w:r>
        <w:t xml:space="preserve"> </w:t>
      </w:r>
      <m:oMath>
        <m:sSub>
          <m:e>
            <m:r>
              <m:t>C</m:t>
            </m:r>
          </m:e>
          <m:sub>
            <m:r>
              <m:t>C</m:t>
            </m:r>
          </m:sub>
        </m:sSub>
      </m:oMath>
      <w:r>
        <w:t xml:space="preserve"> </w:t>
      </w:r>
      <w:r>
        <w:t xml:space="preserve">directly satisfies this requirement, while an arbitrary additional concentration need not. Known</w:t>
      </w:r>
      <w:r>
        <w:t xml:space="preserve"> </w:t>
      </w:r>
      <m:oMath>
        <m:sSub>
          <m:e>
            <m:r>
              <m:t>C</m:t>
            </m:r>
          </m:e>
          <m:sub>
            <m:r>
              <m:t>A</m:t>
            </m:r>
          </m:sub>
        </m:sSub>
        <m:r>
          <m:rPr>
            <m:sty m:val="p"/>
          </m:rPr>
          <m:t>+</m:t>
        </m:r>
        <m:sSub>
          <m:e>
            <m:r>
              <m:t>C</m:t>
            </m:r>
          </m:e>
          <m:sub>
            <m:r>
              <m:t>C</m:t>
            </m:r>
          </m:sub>
        </m:sSub>
      </m:oMath>
      <w:r>
        <w:t xml:space="preserve"> </w:t>
      </w:r>
      <w:r>
        <w:t xml:space="preserve">also determines product once</w:t>
      </w:r>
      <w:r>
        <w:t xml:space="preserve"> </w:t>
      </w:r>
      <m:oMath>
        <m:sSub>
          <m:e>
            <m:r>
              <m:t>C</m:t>
            </m:r>
          </m:e>
          <m:sub>
            <m:r>
              <m:t>A</m:t>
            </m:r>
          </m:sub>
        </m:sSub>
      </m:oMath>
      <w:r>
        <w:t xml:space="preserve"> </w:t>
      </w:r>
      <w:r>
        <w:t xml:space="preserve">is identified, but its initial value is additional information.</w:t>
      </w:r>
    </w:p>
    <w:bookmarkEnd w:id="28"/>
    <w:bookmarkStart w:id="29" w:name="X805c59eae1f7d1446779ea2341e3dcc50ab4114"/>
    <w:p>
      <w:pPr>
        <w:pStyle w:val="Heading2"/>
      </w:pPr>
      <w:r>
        <w:rPr>
          <w:rStyle w:val="SectionNumber"/>
        </w:rPr>
        <w:t xml:space="preserve">7.3</w:t>
      </w:r>
      <w:r>
        <w:tab/>
      </w:r>
      <w:r>
        <w:t xml:space="preserve">Proposition 1c: a bad constant input and a local quotient test</w:t>
      </w:r>
    </w:p>
    <w:p>
      <w:pPr>
        <w:pStyle w:val="FirstParagraph"/>
      </w:pPr>
      <w:r>
        <w:t xml:space="preserve">For M0 with constant inputs, write</w:t>
      </w:r>
      <w:r>
        <w:t xml:space="preserve"> </w:t>
      </w:r>
      <m:oMath>
        <m:r>
          <m:t>A</m:t>
        </m:r>
        <m:r>
          <m:rPr>
            <m:sty m:val="p"/>
          </m:rPr>
          <m:t>=</m:t>
        </m:r>
        <m:sSub>
          <m:e>
            <m:r>
              <m:t>C</m:t>
            </m:r>
          </m:e>
          <m:sub>
            <m:r>
              <m:t>A</m:t>
            </m:r>
          </m:sub>
        </m:sSub>
      </m:oMath>
      <w:r>
        <w:t xml:space="preserve">,</w:t>
      </w:r>
      <w:r>
        <w:t xml:space="preserve"> </w:t>
      </w:r>
      <m:oMath>
        <m:r>
          <m:t>W</m:t>
        </m:r>
        <m:r>
          <m:rPr>
            <m:sty m:val="p"/>
          </m:rPr>
          <m:t>=</m:t>
        </m:r>
        <m:r>
          <m:rPr>
            <m:sty m:val="p"/>
          </m:rPr>
          <m:t>∑</m:t>
        </m:r>
        <m:sSub>
          <m:e>
            <m:r>
              <m:t>c</m:t>
            </m:r>
          </m:e>
          <m:sub>
            <m:r>
              <m:t>p</m:t>
            </m:r>
            <m:r>
              <m:rPr>
                <m:sty m:val="p"/>
              </m:rPr>
              <m:t>,</m:t>
            </m:r>
            <m:r>
              <m:t>i</m:t>
            </m:r>
          </m:sub>
        </m:sSub>
        <m:sSub>
          <m:e>
            <m:r>
              <m:t>C</m:t>
            </m:r>
          </m:e>
          <m:sub>
            <m:r>
              <m:t>i</m:t>
            </m:r>
          </m:sub>
        </m:sSub>
      </m:oMath>
      <w:r>
        <w:t xml:space="preserve">,</w:t>
      </w:r>
      <w:r>
        <w:t xml:space="preserve"> </w:t>
      </w:r>
      <m:oMath>
        <m:r>
          <m:t>q</m:t>
        </m:r>
        <m:r>
          <m:rPr>
            <m:sty m:val="p"/>
          </m:rPr>
          <m:t>=</m:t>
        </m:r>
        <m:sSub>
          <m:e>
            <m:r>
              <m:t>F</m:t>
            </m:r>
          </m:e>
          <m:sub>
            <m:r>
              <m:t>A</m:t>
            </m:r>
          </m:sub>
        </m:sSub>
        <m:r>
          <m:rPr>
            <m:sty m:val="p"/>
          </m:rPr>
          <m:t>/</m:t>
        </m:r>
        <m:r>
          <m:t>V</m:t>
        </m:r>
      </m:oMath>
      <w:r>
        <w:t xml:space="preserve">,</w:t>
      </w:r>
      <w:r>
        <w:t xml:space="preserve"> </w:t>
      </w:r>
      <m:oMath>
        <m:r>
          <m:t>c</m:t>
        </m:r>
        <m:r>
          <m:rPr>
            <m:sty m:val="p"/>
          </m:rPr>
          <m:t>=</m:t>
        </m:r>
        <m:sSub>
          <m:e>
            <m:r>
              <m:t>F</m:t>
            </m:r>
          </m:e>
          <m:sub>
            <m:r>
              <m:t>c</m:t>
            </m:r>
            <m:r>
              <m:t>p</m:t>
            </m:r>
          </m:sub>
        </m:sSub>
        <m:r>
          <m:rPr>
            <m:sty m:val="p"/>
          </m:rPr>
          <m:t>/</m:t>
        </m:r>
        <m:r>
          <m:t>V</m:t>
        </m:r>
      </m:oMath>
      <w:r>
        <w:t xml:space="preserve">,</w:t>
      </w:r>
      <w:r>
        <w:t xml:space="preserve"> </w:t>
      </w:r>
      <m:oMath>
        <m:r>
          <m:t>n</m:t>
        </m:r>
        <m:r>
          <m:rPr>
            <m:sty m:val="p"/>
          </m:rPr>
          <m:t>=</m:t>
        </m:r>
        <m:sSub>
          <m:e>
            <m:r>
              <m:t>c</m:t>
            </m:r>
          </m:e>
          <m:sub>
            <m:r>
              <m:t>p</m:t>
            </m:r>
            <m:r>
              <m:rPr>
                <m:sty m:val="p"/>
              </m:rPr>
              <m:t>,</m:t>
            </m:r>
            <m:r>
              <m:t>C</m:t>
            </m:r>
          </m:sub>
        </m:sSub>
        <m:r>
          <m:rPr>
            <m:sty m:val="p"/>
          </m:rPr>
          <m:t>−</m:t>
        </m:r>
        <m:sSub>
          <m:e>
            <m:r>
              <m:t>c</m:t>
            </m:r>
          </m:e>
          <m:sub>
            <m:r>
              <m:t>p</m:t>
            </m:r>
            <m:r>
              <m:rPr>
                <m:sty m:val="p"/>
              </m:rPr>
              <m:t>,</m:t>
            </m:r>
            <m:r>
              <m:t>A</m:t>
            </m:r>
          </m:sub>
        </m:sSub>
        <m:r>
          <m:rPr>
            <m:sty m:val="p"/>
          </m:rPr>
          <m:t>−</m:t>
        </m:r>
        <m:sSub>
          <m:e>
            <m:r>
              <m:t>c</m:t>
            </m:r>
          </m:e>
          <m:sub>
            <m:r>
              <m:t>p</m:t>
            </m:r>
            <m:r>
              <m:rPr>
                <m:sty m:val="p"/>
              </m:rPr>
              <m:t>,</m:t>
            </m:r>
            <m:r>
              <m:t>B</m:t>
            </m:r>
          </m:sub>
        </m:sSub>
      </m:oMath>
      <w:r>
        <w:t xml:space="preserve">,</w:t>
      </w:r>
      <w:r>
        <w:t xml:space="preserve"> </w:t>
      </w:r>
      <m:oMath>
        <m:r>
          <m:t>a</m:t>
        </m:r>
        <m:d>
          <m:dPr>
            <m:begChr m:val="("/>
            <m:endChr m:val=")"/>
            <m:sepChr m:val=""/>
            <m:grow/>
          </m:dPr>
          <m:e>
            <m:r>
              <m:t>T</m:t>
            </m:r>
          </m:e>
        </m:d>
        <m:r>
          <m:rPr>
            <m:sty m:val="p"/>
          </m:rPr>
          <m:t>=</m:t>
        </m:r>
        <m:d>
          <m:dPr>
            <m:begChr m:val="["/>
            <m:endChr m:val="]"/>
            <m:sepChr m:val=""/>
            <m:grow/>
          </m:dPr>
          <m:e>
            <m:r>
              <m:t>Q</m:t>
            </m:r>
            <m:d>
              <m:dPr>
                <m:begChr m:val="("/>
                <m:endChr m:val=")"/>
                <m:sepChr m:val=""/>
                <m:grow/>
              </m:dPr>
              <m:e>
                <m:r>
                  <m:t>T</m:t>
                </m:r>
              </m:e>
            </m:d>
            <m:r>
              <m:rPr>
                <m:sty m:val="p"/>
              </m:rPr>
              <m:t>+</m:t>
            </m:r>
            <m:sSub>
              <m:e>
                <m:r>
                  <m:t>F</m:t>
                </m:r>
              </m:e>
              <m:sub>
                <m:r>
                  <m:t>c</m:t>
                </m:r>
                <m:r>
                  <m:t>p</m:t>
                </m:r>
              </m:sub>
            </m:sSub>
            <m:d>
              <m:dPr>
                <m:begChr m:val="("/>
                <m:endChr m:val=")"/>
                <m:sepChr m:val=""/>
                <m:grow/>
              </m:dPr>
              <m:e>
                <m:sSub>
                  <m:e>
                    <m:r>
                      <m:t>T</m:t>
                    </m:r>
                  </m:e>
                  <m:sub>
                    <m:r>
                      <m:t>0</m:t>
                    </m:r>
                  </m:sub>
                </m:sSub>
                <m:r>
                  <m:rPr>
                    <m:sty m:val="p"/>
                  </m:rPr>
                  <m:t>−</m:t>
                </m:r>
                <m:r>
                  <m:t>T</m:t>
                </m:r>
              </m:e>
            </m:d>
          </m:e>
        </m:d>
        <m:r>
          <m:rPr>
            <m:sty m:val="p"/>
          </m:rPr>
          <m:t>/</m:t>
        </m:r>
        <m:r>
          <m:t>V</m:t>
        </m:r>
      </m:oMath>
      <w:r>
        <w:t xml:space="preserve"> </w:t>
      </w:r>
      <w:r>
        <w:t xml:space="preserve">and</w:t>
      </w:r>
      <w:r>
        <w:t xml:space="preserve"> </w:t>
      </w:r>
      <m:oMath>
        <m:r>
          <m:t>b</m:t>
        </m:r>
        <m:d>
          <m:dPr>
            <m:begChr m:val="("/>
            <m:endChr m:val=")"/>
            <m:sepChr m:val=""/>
            <m:grow/>
          </m:dPr>
          <m:e>
            <m:r>
              <m:t>T</m:t>
            </m:r>
          </m:e>
        </m:d>
        <m:r>
          <m:rPr>
            <m:sty m:val="p"/>
          </m:rPr>
          <m:t>=</m:t>
        </m:r>
        <m:r>
          <m:rPr>
            <m:sty m:val="p"/>
          </m:rPr>
          <m:t>−</m:t>
        </m:r>
        <m:r>
          <m:t>Δ</m:t>
        </m:r>
        <m:sSub>
          <m:e>
            <m:r>
              <m:t>H</m:t>
            </m:r>
          </m:e>
          <m:sub>
            <m:r>
              <m:t>r</m:t>
            </m:r>
          </m:sub>
        </m:sSub>
        <m:r>
          <m:t>k</m:t>
        </m:r>
        <m:d>
          <m:dPr>
            <m:begChr m:val="("/>
            <m:endChr m:val=")"/>
            <m:sepChr m:val=""/>
            <m:grow/>
          </m:dPr>
          <m:e>
            <m:r>
              <m:t>T</m:t>
            </m:r>
          </m:e>
        </m:d>
      </m:oMath>
      <w:r>
        <w:t xml:space="preserve">.</w:t>
      </w:r>
      <w:r>
        <w:t xml:space="preserve"> </w:t>
      </w:r>
      <w:r>
        <w:t xml:space="preserve">Then</w:t>
      </w:r>
      <w:r>
        <w:t xml:space="preserve"> </w:t>
      </w:r>
      <m:oMath>
        <m:acc>
          <m:accPr>
            <m:chr m:val="̇"/>
          </m:accPr>
          <m:e>
            <m:r>
              <m:t>A</m:t>
            </m:r>
          </m:e>
        </m:acc>
        <m:r>
          <m:rPr>
            <m:sty m:val="p"/>
          </m:rPr>
          <m:t>=</m:t>
        </m:r>
        <m:r>
          <m:t>q</m:t>
        </m:r>
        <m:r>
          <m:rPr>
            <m:sty m:val="p"/>
          </m:rPr>
          <m:t>−</m:t>
        </m:r>
        <m:d>
          <m:dPr>
            <m:begChr m:val="("/>
            <m:endChr m:val=")"/>
            <m:sepChr m:val=""/>
            <m:grow/>
          </m:dPr>
          <m:e>
            <m:r>
              <m:t>D</m:t>
            </m:r>
            <m:r>
              <m:rPr>
                <m:sty m:val="p"/>
              </m:rPr>
              <m:t>+</m:t>
            </m:r>
            <m:r>
              <m:t>k</m:t>
            </m:r>
          </m:e>
        </m:d>
        <m:r>
          <m:t>A</m:t>
        </m:r>
        <m:r>
          <m:rPr>
            <m:sty m:val="p"/>
          </m:rPr>
          <m:t>,</m:t>
        </m:r>
        <m:r>
          <m:t> </m:t>
        </m:r>
        <m:acc>
          <m:accPr>
            <m:chr m:val="̇"/>
          </m:accPr>
          <m:e>
            <m:r>
              <m:t>W</m:t>
            </m:r>
          </m:e>
        </m:acc>
        <m:r>
          <m:rPr>
            <m:sty m:val="p"/>
          </m:rPr>
          <m:t>=</m:t>
        </m:r>
        <m:r>
          <m:t>c</m:t>
        </m:r>
        <m:r>
          <m:rPr>
            <m:sty m:val="p"/>
          </m:rPr>
          <m:t>−</m:t>
        </m:r>
        <m:r>
          <m:t>D</m:t>
        </m:r>
        <m:r>
          <m:t>W</m:t>
        </m:r>
        <m:r>
          <m:rPr>
            <m:sty m:val="p"/>
          </m:rPr>
          <m:t>+</m:t>
        </m:r>
        <m:r>
          <m:t>n</m:t>
        </m:r>
        <m:r>
          <m:t>k</m:t>
        </m:r>
        <m:r>
          <m:t>A</m:t>
        </m:r>
        <m:r>
          <m:rPr>
            <m:sty m:val="p"/>
          </m:rPr>
          <m:t>,</m:t>
        </m:r>
        <m:r>
          <m:t> </m:t>
        </m:r>
        <m:r>
          <m:t>g</m:t>
        </m:r>
        <m:r>
          <m:rPr>
            <m:sty m:val="p"/>
          </m:rPr>
          <m:t>=</m:t>
        </m:r>
        <m:acc>
          <m:accPr>
            <m:chr m:val="̇"/>
          </m:accPr>
          <m:e>
            <m:r>
              <m:t>T</m:t>
            </m:r>
          </m:e>
        </m:acc>
        <m:r>
          <m:rPr>
            <m:sty m:val="p"/>
          </m:rPr>
          <m:t>=</m:t>
        </m:r>
        <m:d>
          <m:dPr>
            <m:begChr m:val="("/>
            <m:endChr m:val=")"/>
            <m:sepChr m:val=""/>
            <m:grow/>
          </m:dPr>
          <m:e>
            <m:r>
              <m:t>a</m:t>
            </m:r>
            <m:r>
              <m:rPr>
                <m:sty m:val="p"/>
              </m:rPr>
              <m:t>+</m:t>
            </m:r>
            <m:r>
              <m:t>b</m:t>
            </m:r>
            <m:r>
              <m:t>A</m:t>
            </m:r>
          </m:e>
        </m:d>
        <m:r>
          <m:rPr>
            <m:sty m:val="p"/>
          </m:rPr>
          <m:t>/</m:t>
        </m:r>
        <m:r>
          <m:t>W</m:t>
        </m:r>
        <m:r>
          <m:rPr>
            <m:sty m:val="p"/>
          </m:rPr>
          <m:t>.</m:t>
        </m:r>
      </m:oMath>
      <w:r>
        <w:t xml:space="preserve"> </w:t>
      </w:r>
      <w:r>
        <w:t xml:space="preserve">At a chemical/thermal stationary point with</w:t>
      </w:r>
      <w:r>
        <w:t xml:space="preserve"> </w:t>
      </w:r>
      <m:oMath>
        <m:acc>
          <m:accPr>
            <m:chr m:val="̇"/>
          </m:accPr>
          <m:e>
            <m:r>
              <m:t>A</m:t>
            </m:r>
          </m:e>
        </m:acc>
        <m:r>
          <m:rPr>
            <m:sty m:val="p"/>
          </m:rPr>
          <m:t>=</m:t>
        </m:r>
        <m:r>
          <m:t>0</m:t>
        </m:r>
      </m:oMath>
      <w:r>
        <w:t xml:space="preserve"> </w:t>
      </w:r>
      <w:r>
        <w:t xml:space="preserve">and</w:t>
      </w:r>
      <w:r>
        <w:t xml:space="preserve"> </w:t>
      </w:r>
      <m:oMath>
        <m:r>
          <m:t>a</m:t>
        </m:r>
        <m:r>
          <m:rPr>
            <m:sty m:val="p"/>
          </m:rPr>
          <m:t>+</m:t>
        </m:r>
        <m:r>
          <m:t>b</m:t>
        </m:r>
        <m:r>
          <m:t>A</m:t>
        </m:r>
        <m:r>
          <m:rPr>
            <m:sty m:val="p"/>
          </m:rPr>
          <m:t>=</m:t>
        </m:r>
        <m:r>
          <m:t>0</m:t>
        </m:r>
      </m:oMath>
      <w:r>
        <w:t xml:space="preserve">, arbitrary sufficiently small perturbations of B, C and M leave A and both temperatures constant under this same fixed input. They merely change W and decay with dilution. Thus three chemical directions are invisible under this particular unexcited experiment, although only two belong to the preceding all-input calorimetric family. Excitation can distinguish the extra direction. This is a property of a fixed input experiment, not a claim of a three-dimensional all-input symmetry.</w:t>
      </w:r>
    </w:p>
    <w:p>
      <w:pPr>
        <w:pStyle w:val="BodyText"/>
      </w:pPr>
      <w:r>
        <w:t xml:space="preserve">A useful sufficient local test uses the gradients of</w:t>
      </w:r>
      <w:r>
        <w:t xml:space="preserve"> </w:t>
      </w:r>
      <m:oMath>
        <m:r>
          <m:t>T</m:t>
        </m:r>
        <m:r>
          <m:rPr>
            <m:sty m:val="p"/>
          </m:rPr>
          <m:t>,</m:t>
        </m:r>
        <m:sSub>
          <m:e>
            <m:r>
              <m:t>T</m:t>
            </m:r>
          </m:e>
          <m:sub>
            <m:r>
              <m:t>t</m:t>
            </m:r>
          </m:sub>
        </m:sSub>
        <m:r>
          <m:rPr>
            <m:sty m:val="p"/>
          </m:rPr>
          <m:t>,</m:t>
        </m:r>
        <m:sSub>
          <m:e>
            <m:r>
              <m:t>L</m:t>
            </m:r>
          </m:e>
          <m:sub>
            <m:r>
              <m:t>f</m:t>
            </m:r>
          </m:sub>
        </m:sSub>
        <m:r>
          <m:t>T</m:t>
        </m:r>
        <m:r>
          <m:rPr>
            <m:sty m:val="p"/>
          </m:rPr>
          <m:t>,</m:t>
        </m:r>
        <m:sSubSup>
          <m:e>
            <m:r>
              <m:t>L</m:t>
            </m:r>
          </m:e>
          <m:sub>
            <m:r>
              <m:t>f</m:t>
            </m:r>
          </m:sub>
          <m:sup>
            <m:r>
              <m:t>2</m:t>
            </m:r>
          </m:sup>
        </m:sSubSup>
        <m:r>
          <m:t>T</m:t>
        </m:r>
      </m:oMath>
      <w:r>
        <w:t xml:space="preserve"> </w:t>
      </w:r>
      <w:r>
        <w:t xml:space="preserve">on the quotient</w:t>
      </w:r>
      <w:r>
        <w:t xml:space="preserve"> </w:t>
      </w:r>
      <m:oMath>
        <m:d>
          <m:dPr>
            <m:begChr m:val="("/>
            <m:endChr m:val=")"/>
            <m:sepChr m:val=""/>
            <m:grow/>
          </m:dPr>
          <m:e>
            <m:r>
              <m:t>A</m:t>
            </m:r>
            <m:r>
              <m:rPr>
                <m:sty m:val="p"/>
              </m:rPr>
              <m:t>,</m:t>
            </m:r>
            <m:r>
              <m:t>W</m:t>
            </m:r>
            <m:r>
              <m:rPr>
                <m:sty m:val="p"/>
              </m:rPr>
              <m:t>,</m:t>
            </m:r>
            <m:r>
              <m:t>T</m:t>
            </m:r>
            <m:r>
              <m:rPr>
                <m:sty m:val="p"/>
              </m:rPr>
              <m:t>,</m:t>
            </m:r>
            <m:sSub>
              <m:e>
                <m:r>
                  <m:t>T</m:t>
                </m:r>
              </m:e>
              <m:sub>
                <m:r>
                  <m:t>t</m:t>
                </m:r>
              </m:sub>
            </m:sSub>
          </m:e>
        </m:d>
      </m:oMath>
      <w:r>
        <w:t xml:space="preserve">. The relevant two-by-two minor for</w:t>
      </w:r>
      <w:r>
        <w:t xml:space="preserve"> </w:t>
      </w:r>
      <m:oMath>
        <m:d>
          <m:dPr>
            <m:begChr m:val="("/>
            <m:endChr m:val=")"/>
            <m:sepChr m:val=""/>
            <m:grow/>
          </m:dPr>
          <m:e>
            <m:r>
              <m:t>A</m:t>
            </m:r>
            <m:r>
              <m:rPr>
                <m:sty m:val="p"/>
              </m:rPr>
              <m:t>,</m:t>
            </m:r>
            <m:r>
              <m:t>W</m:t>
            </m:r>
          </m:e>
        </m:d>
      </m:oMath>
      <w:r>
        <w:t xml:space="preserve"> </w:t>
      </w:r>
      <w:r>
        <w:t xml:space="preserve">is</w:t>
      </w:r>
      <w:r>
        <w:t xml:space="preserve"> </w:t>
      </w:r>
      <m:oMath>
        <m:r>
          <m:rPr>
            <m:sty m:val="p"/>
          </m:rPr>
          <m:t>det</m:t>
        </m:r>
        <m:d>
          <m:dPr>
            <m:begChr m:val="["/>
            <m:endChr m:val="]"/>
            <m:sepChr m:val=""/>
            <m:grow/>
          </m:dPr>
          <m:e>
            <m:m>
              <m:mPr>
                <m:baseJc m:val="center"/>
                <m:plcHide m:val="on"/>
                <m:mcs>
                  <m:mc>
                    <m:mcPr>
                      <m:mcJc m:val="center"/>
                      <m:count m:val="1"/>
                    </m:mcPr>
                  </m:mc>
                  <m:mc>
                    <m:mcPr>
                      <m:mcJc m:val="center"/>
                      <m:count m:val="1"/>
                    </m:mcPr>
                  </m:mc>
                </m:mcs>
              </m:mPr>
              <m:mr>
                <m:e>
                  <m:sSub>
                    <m:e>
                      <m:r>
                        <m:t>g</m:t>
                      </m:r>
                    </m:e>
                    <m:sub>
                      <m:r>
                        <m:t>A</m:t>
                      </m:r>
                    </m:sub>
                  </m:sSub>
                </m:e>
                <m:e>
                  <m:sSub>
                    <m:e>
                      <m:r>
                        <m:t>g</m:t>
                      </m:r>
                    </m:e>
                    <m:sub>
                      <m:r>
                        <m:t>W</m:t>
                      </m:r>
                    </m:sub>
                  </m:sSub>
                </m:e>
              </m:mr>
              <m:mr>
                <m:e>
                  <m:sSub>
                    <m:e>
                      <m:d>
                        <m:dPr>
                          <m:begChr m:val="("/>
                          <m:endChr m:val=")"/>
                          <m:sepChr m:val=""/>
                          <m:grow/>
                        </m:dPr>
                        <m:e>
                          <m:sSub>
                            <m:e>
                              <m:r>
                                <m:t>L</m:t>
                              </m:r>
                            </m:e>
                            <m:sub>
                              <m:r>
                                <m:t>f</m:t>
                              </m:r>
                            </m:sub>
                          </m:sSub>
                          <m:r>
                            <m:t>g</m:t>
                          </m:r>
                        </m:e>
                      </m:d>
                    </m:e>
                    <m:sub>
                      <m:r>
                        <m:t>A</m:t>
                      </m:r>
                    </m:sub>
                  </m:sSub>
                </m:e>
                <m:e>
                  <m:sSub>
                    <m:e>
                      <m:d>
                        <m:dPr>
                          <m:begChr m:val="("/>
                          <m:endChr m:val=")"/>
                          <m:sepChr m:val=""/>
                          <m:grow/>
                        </m:dPr>
                        <m:e>
                          <m:sSub>
                            <m:e>
                              <m:r>
                                <m:t>L</m:t>
                              </m:r>
                            </m:e>
                            <m:sub>
                              <m:r>
                                <m:t>f</m:t>
                              </m:r>
                            </m:sub>
                          </m:sSub>
                          <m:r>
                            <m:t>g</m:t>
                          </m:r>
                        </m:e>
                      </m:d>
                    </m:e>
                    <m:sub>
                      <m:r>
                        <m:t>W</m:t>
                      </m:r>
                    </m:sub>
                  </m:sSub>
                </m:e>
              </m:mr>
            </m:m>
          </m:e>
        </m:d>
        <m:r>
          <m:rPr>
            <m:sty m:val="p"/>
          </m:rPr>
          <m:t>=</m:t>
        </m:r>
        <m:r>
          <m:rPr>
            <m:sty m:val="p"/>
          </m:rPr>
          <m:t>−</m:t>
        </m:r>
        <m:f>
          <m:fPr>
            <m:type m:val="bar"/>
          </m:fPr>
          <m:num>
            <m:r>
              <m:t>b</m:t>
            </m:r>
            <m:d>
              <m:dPr>
                <m:begChr m:val="["/>
                <m:endChr m:val="]"/>
                <m:sepChr m:val=""/>
                <m:grow/>
              </m:dPr>
              <m:e>
                <m:r>
                  <m:t>b</m:t>
                </m:r>
                <m:r>
                  <m:t>q</m:t>
                </m:r>
                <m:r>
                  <m:rPr>
                    <m:sty m:val="p"/>
                  </m:rPr>
                  <m:t>+</m:t>
                </m:r>
                <m:d>
                  <m:dPr>
                    <m:begChr m:val="("/>
                    <m:endChr m:val=")"/>
                    <m:sepChr m:val=""/>
                    <m:grow/>
                  </m:dPr>
                  <m:e>
                    <m:r>
                      <m:t>D</m:t>
                    </m:r>
                    <m:r>
                      <m:rPr>
                        <m:sty m:val="p"/>
                      </m:rPr>
                      <m:t>+</m:t>
                    </m:r>
                    <m:r>
                      <m:t>k</m:t>
                    </m:r>
                  </m:e>
                </m:d>
                <m:r>
                  <m:t>a</m:t>
                </m:r>
              </m:e>
            </m:d>
          </m:num>
          <m:den>
            <m:sSup>
              <m:e>
                <m:r>
                  <m:t>W</m:t>
                </m:r>
              </m:e>
              <m:sup>
                <m:r>
                  <m:t>3</m:t>
                </m:r>
              </m:sup>
            </m:sSup>
          </m:den>
        </m:f>
        <m:r>
          <m:rPr>
            <m:sty m:val="p"/>
          </m:rPr>
          <m:t>+</m:t>
        </m:r>
        <m:f>
          <m:fPr>
            <m:type m:val="bar"/>
          </m:fPr>
          <m:num>
            <m:d>
              <m:dPr>
                <m:begChr m:val="("/>
                <m:endChr m:val=")"/>
                <m:sepChr m:val=""/>
                <m:grow/>
              </m:dPr>
              <m:e>
                <m:r>
                  <m:t>a</m:t>
                </m:r>
                <m:r>
                  <m:rPr>
                    <m:sty m:val="p"/>
                  </m:rPr>
                  <m:t>+</m:t>
                </m:r>
                <m:r>
                  <m:t>b</m:t>
                </m:r>
                <m:r>
                  <m:t>A</m:t>
                </m:r>
              </m:e>
            </m:d>
            <m:d>
              <m:dPr>
                <m:begChr m:val="["/>
                <m:endChr m:val="]"/>
                <m:sepChr m:val=""/>
                <m:grow/>
              </m:dPr>
              <m:e>
                <m:r>
                  <m:rPr>
                    <m:sty m:val="p"/>
                  </m:rPr>
                  <m:t>−</m:t>
                </m:r>
                <m:r>
                  <m:t>b</m:t>
                </m:r>
                <m:sSub>
                  <m:e>
                    <m:r>
                      <m:t>a</m:t>
                    </m:r>
                  </m:e>
                  <m:sub>
                    <m:r>
                      <m:t>T</m:t>
                    </m:r>
                  </m:sub>
                </m:sSub>
                <m:r>
                  <m:rPr>
                    <m:sty m:val="p"/>
                  </m:rPr>
                  <m:t>+</m:t>
                </m:r>
                <m:r>
                  <m:t>b</m:t>
                </m:r>
                <m:r>
                  <m:t>c</m:t>
                </m:r>
                <m:r>
                  <m:rPr>
                    <m:sty m:val="p"/>
                  </m:rPr>
                  <m:t>+</m:t>
                </m:r>
                <m:r>
                  <m:t>a</m:t>
                </m:r>
                <m:sSub>
                  <m:e>
                    <m:r>
                      <m:t>b</m:t>
                    </m:r>
                  </m:e>
                  <m:sub>
                    <m:r>
                      <m:t>T</m:t>
                    </m:r>
                  </m:sub>
                </m:sSub>
                <m:r>
                  <m:rPr>
                    <m:sty m:val="p"/>
                  </m:rPr>
                  <m:t>−</m:t>
                </m:r>
                <m:r>
                  <m:t>a</m:t>
                </m:r>
                <m:r>
                  <m:t>n</m:t>
                </m:r>
                <m:r>
                  <m:t>k</m:t>
                </m:r>
              </m:e>
            </m:d>
          </m:num>
          <m:den>
            <m:sSup>
              <m:e>
                <m:r>
                  <m:t>W</m:t>
                </m:r>
              </m:e>
              <m:sup>
                <m:r>
                  <m:t>4</m:t>
                </m:r>
              </m:sup>
            </m:sSup>
          </m:den>
        </m:f>
        <m:r>
          <m:rPr>
            <m:sty m:val="p"/>
          </m:rPr>
          <m:t>.</m:t>
        </m:r>
      </m:oMath>
      <w:r>
        <w:t xml:space="preserve"> </w:t>
      </w:r>
      <w:r>
        <w:t xml:space="preserve">This follows by differentiating</w:t>
      </w:r>
      <w:r>
        <w:t xml:space="preserve"> </w:t>
      </w:r>
      <m:oMath>
        <m:sSub>
          <m:e>
            <m:r>
              <m:t>L</m:t>
            </m:r>
          </m:e>
          <m:sub>
            <m:r>
              <m:t>f</m:t>
            </m:r>
          </m:sub>
        </m:sSub>
        <m:r>
          <m:t>g</m:t>
        </m:r>
        <m:r>
          <m:rPr>
            <m:sty m:val="p"/>
          </m:rPr>
          <m:t>=</m:t>
        </m:r>
        <m:f>
          <m:fPr>
            <m:type m:val="bar"/>
          </m:fPr>
          <m:num>
            <m:r>
              <m:t>b</m:t>
            </m:r>
            <m:r>
              <m:t>q</m:t>
            </m:r>
            <m:r>
              <m:rPr>
                <m:sty m:val="p"/>
              </m:rPr>
              <m:t>+</m:t>
            </m:r>
            <m:r>
              <m:t>D</m:t>
            </m:r>
            <m:r>
              <m:t>a</m:t>
            </m:r>
            <m:r>
              <m:rPr>
                <m:sty m:val="p"/>
              </m:rPr>
              <m:t>−</m:t>
            </m:r>
            <m:r>
              <m:t>b</m:t>
            </m:r>
            <m:r>
              <m:t>k</m:t>
            </m:r>
            <m:r>
              <m:t>A</m:t>
            </m:r>
          </m:num>
          <m:den>
            <m:r>
              <m:t>W</m:t>
            </m:r>
          </m:den>
        </m:f>
        <m:r>
          <m:rPr>
            <m:sty m:val="p"/>
          </m:rPr>
          <m:t>+</m:t>
        </m:r>
        <m:f>
          <m:fPr>
            <m:type m:val="bar"/>
          </m:fPr>
          <m:num>
            <m:d>
              <m:dPr>
                <m:begChr m:val="("/>
                <m:endChr m:val=")"/>
                <m:sepChr m:val=""/>
                <m:grow/>
              </m:dPr>
              <m:e>
                <m:r>
                  <m:t>a</m:t>
                </m:r>
                <m:r>
                  <m:rPr>
                    <m:sty m:val="p"/>
                  </m:rPr>
                  <m:t>+</m:t>
                </m:r>
                <m:r>
                  <m:t>b</m:t>
                </m:r>
                <m:r>
                  <m:t>A</m:t>
                </m:r>
              </m:e>
            </m:d>
            <m:d>
              <m:dPr>
                <m:begChr m:val="("/>
                <m:endChr m:val=")"/>
                <m:sepChr m:val=""/>
                <m:grow/>
              </m:dPr>
              <m:e>
                <m:sSub>
                  <m:e>
                    <m:r>
                      <m:t>a</m:t>
                    </m:r>
                  </m:e>
                  <m:sub>
                    <m:r>
                      <m:t>T</m:t>
                    </m:r>
                  </m:sub>
                </m:sSub>
                <m:r>
                  <m:rPr>
                    <m:sty m:val="p"/>
                  </m:rPr>
                  <m:t>+</m:t>
                </m:r>
                <m:sSub>
                  <m:e>
                    <m:r>
                      <m:t>b</m:t>
                    </m:r>
                  </m:e>
                  <m:sub>
                    <m:r>
                      <m:t>T</m:t>
                    </m:r>
                  </m:sub>
                </m:sSub>
                <m:r>
                  <m:t>A</m:t>
                </m:r>
                <m:r>
                  <m:rPr>
                    <m:sty m:val="p"/>
                  </m:rPr>
                  <m:t>−</m:t>
                </m:r>
                <m:r>
                  <m:t>c</m:t>
                </m:r>
                <m:r>
                  <m:rPr>
                    <m:sty m:val="p"/>
                  </m:rPr>
                  <m:t>−</m:t>
                </m:r>
                <m:r>
                  <m:t>n</m:t>
                </m:r>
                <m:r>
                  <m:t>k</m:t>
                </m:r>
                <m:r>
                  <m:t>A</m:t>
                </m:r>
              </m:e>
            </m:d>
          </m:num>
          <m:den>
            <m:sSup>
              <m:e>
                <m:r>
                  <m:t>W</m:t>
                </m:r>
              </m:e>
              <m:sup>
                <m:r>
                  <m:t>2</m:t>
                </m:r>
              </m:sup>
            </m:sSup>
          </m:den>
        </m:f>
        <m:r>
          <m:rPr>
            <m:sty m:val="p"/>
          </m:rPr>
          <m:t>.</m:t>
        </m:r>
      </m:oMath>
      <w:r>
        <w:t xml:space="preserve"> </w:t>
      </w:r>
      <w:r>
        <w:t xml:space="preserve">A nonzero minor is sufficient for rank four of this local quotient observability test. It vanishes at the nominal equilibrium under the constant input. A zero value alone does not prove unobservability; the explicit invariant-trajectory construction above proves the special equilibrium case. The six-state model still has rank at most four under the all-input symmetry. Numerical arbitrary-precision evaluations are supporting local computations, not a global rank theorem.</w:t>
      </w:r>
    </w:p>
    <w:bookmarkEnd w:id="29"/>
    <w:bookmarkStart w:id="30" w:name="X21b448d4d284858788fae18f74e746d7da7bbb9"/>
    <w:p>
      <w:pPr>
        <w:pStyle w:val="Heading2"/>
      </w:pPr>
      <w:r>
        <w:rPr>
          <w:rStyle w:val="SectionNumber"/>
        </w:rPr>
        <w:t xml:space="preserve">7.4</w:t>
      </w:r>
      <w:r>
        <w:tab/>
      </w:r>
      <w:r>
        <w:t xml:space="preserve">Proposition 2: estimation and tracking bounds</w:t>
      </w:r>
    </w:p>
    <w:p>
      <w:pPr>
        <w:pStyle w:val="FirstParagraph"/>
      </w:pPr>
      <w:r>
        <w:t xml:space="preserve">Let two possible product concentrations at time</w:t>
      </w:r>
      <w:r>
        <w:t xml:space="preserve"> </w:t>
      </w:r>
      <m:oMath>
        <m:r>
          <m:t>t</m:t>
        </m:r>
      </m:oMath>
      <w:r>
        <w:t xml:space="preserve"> </w:t>
      </w:r>
      <w:r>
        <w:t xml:space="preserve">have separation</w:t>
      </w:r>
      <w:r>
        <w:t xml:space="preserve"> </w:t>
      </w:r>
      <m:oMath>
        <m:r>
          <m:t>Δ</m:t>
        </m:r>
        <m:d>
          <m:dPr>
            <m:begChr m:val="("/>
            <m:endChr m:val=")"/>
            <m:sepChr m:val=""/>
            <m:grow/>
          </m:dPr>
          <m:e>
            <m:r>
              <m:t>t</m:t>
            </m:r>
          </m:e>
        </m:d>
      </m:oMath>
      <w:r>
        <w:t xml:space="preserve">. Any estimator based on their common information has the same output in both worlds, hence</w:t>
      </w:r>
    </w:p>
    <w:p>
      <w:pPr>
        <w:pStyle w:val="BodyText"/>
      </w:pPr>
      <m:oMathPara>
        <m:oMathParaPr>
          <m:jc m:val="center"/>
        </m:oMathParaPr>
        <m:oMath>
          <m:limLow>
            <m:e>
              <m:r>
                <m:rPr>
                  <m:sty m:val="p"/>
                </m:rPr>
                <m:t>max</m:t>
              </m:r>
            </m:e>
            <m:lim>
              <m:r>
                <m:t>i</m:t>
              </m:r>
            </m:lim>
          </m:limLow>
          <m:d>
            <m:dPr>
              <m:begChr m:val="|"/>
              <m:endChr m:val="|"/>
              <m:sepChr m:val=""/>
              <m:grow/>
            </m:dPr>
            <m:e>
              <m:sSub>
                <m:e>
                  <m:acc>
                    <m:accPr>
                      <m:chr m:val="̂"/>
                    </m:accPr>
                    <m:e>
                      <m:r>
                        <m:t>C</m:t>
                      </m:r>
                    </m:e>
                  </m:acc>
                </m:e>
                <m:sub>
                  <m:r>
                    <m:t>C</m:t>
                  </m:r>
                </m:sub>
              </m:sSub>
              <m:d>
                <m:dPr>
                  <m:begChr m:val="("/>
                  <m:endChr m:val=")"/>
                  <m:sepChr m:val=""/>
                  <m:grow/>
                </m:dPr>
                <m:e>
                  <m:r>
                    <m:t>t</m:t>
                  </m:r>
                </m:e>
              </m:d>
              <m:r>
                <m:rPr>
                  <m:sty m:val="p"/>
                </m:rPr>
                <m:t>−</m:t>
              </m:r>
              <m:sSubSup>
                <m:e>
                  <m:r>
                    <m:t>C</m:t>
                  </m:r>
                </m:e>
                <m:sub>
                  <m:r>
                    <m:t>C</m:t>
                  </m:r>
                </m:sub>
                <m:sup>
                  <m:d>
                    <m:dPr>
                      <m:begChr m:val="("/>
                      <m:endChr m:val=")"/>
                      <m:sepChr m:val=""/>
                      <m:grow/>
                    </m:dPr>
                    <m:e>
                      <m:r>
                        <m:t>i</m:t>
                      </m:r>
                    </m:e>
                  </m:d>
                </m:sup>
              </m:sSubSup>
              <m:d>
                <m:dPr>
                  <m:begChr m:val="("/>
                  <m:endChr m:val=")"/>
                  <m:sepChr m:val=""/>
                  <m:grow/>
                </m:dPr>
                <m:e>
                  <m:r>
                    <m:t>t</m:t>
                  </m:r>
                </m:e>
              </m:d>
            </m:e>
          </m:d>
          <m:r>
            <m:rPr>
              <m:sty m:val="p"/>
            </m:rPr>
            <m:t>≥</m:t>
          </m:r>
          <m:r>
            <m:t>Δ</m:t>
          </m:r>
          <m:d>
            <m:dPr>
              <m:begChr m:val="("/>
              <m:endChr m:val=")"/>
              <m:sepChr m:val=""/>
              <m:grow/>
            </m:dPr>
            <m:e>
              <m:r>
                <m:t>t</m:t>
              </m:r>
            </m:e>
          </m:d>
          <m:r>
            <m:rPr>
              <m:sty m:val="p"/>
            </m:rPr>
            <m:t>/</m:t>
          </m:r>
          <m:r>
            <m:t>2</m:t>
          </m:r>
          <m:r>
            <m:rPr>
              <m:sty m:val="p"/>
            </m:rPr>
            <m:t>.</m:t>
          </m:r>
        </m:oMath>
      </m:oMathPara>
    </w:p>
    <w:p>
      <w:pPr>
        <w:pStyle w:val="FirstParagraph"/>
      </w:pPr>
      <w:r>
        <w:t xml:space="preserve">The proof is the triangle inequality. The midpoint attains the bound if precisely those two values are the only possibilities, so the two-point bound is sharp under that information model.</w:t>
      </w:r>
    </w:p>
    <w:p>
      <w:pPr>
        <w:pStyle w:val="BodyText"/>
      </w:pPr>
      <w:r>
        <w:t xml:space="preserve">The same inequality holds with a common tracking reference in place of the estimate. Integrating gives a different, trajectory-level statement:</w:t>
      </w:r>
    </w:p>
    <w:p>
      <w:pPr>
        <w:pStyle w:val="BodyText"/>
      </w:pPr>
      <m:oMathPara>
        <m:oMathParaPr>
          <m:jc m:val="center"/>
        </m:oMathParaPr>
        <m:oMath>
          <m:limLow>
            <m:e>
              <m:r>
                <m:rPr>
                  <m:sty m:val="p"/>
                </m:rPr>
                <m:t>max</m:t>
              </m:r>
            </m:e>
            <m:lim>
              <m:r>
                <m:t>i</m:t>
              </m:r>
            </m:lim>
          </m:limLow>
          <m:sSub>
            <m:e>
              <m:r>
                <m:rPr>
                  <m:sty m:val="p"/>
                </m:rPr>
                <m:t>IAE</m:t>
              </m:r>
            </m:e>
            <m:sub>
              <m:r>
                <m:t>i</m:t>
              </m:r>
            </m:sub>
          </m:sSub>
          <m:d>
            <m:dPr>
              <m:begChr m:val="("/>
              <m:endChr m:val=")"/>
              <m:sepChr m:val=""/>
              <m:grow/>
            </m:dPr>
            <m:e>
              <m:r>
                <m:t>H</m:t>
              </m:r>
            </m:e>
          </m:d>
          <m:r>
            <m:rPr>
              <m:sty m:val="p"/>
            </m:rPr>
            <m:t>≥</m:t>
          </m:r>
          <m:f>
            <m:fPr>
              <m:type m:val="bar"/>
            </m:fPr>
            <m:num>
              <m:r>
                <m:t>1</m:t>
              </m:r>
            </m:num>
            <m:den>
              <m:r>
                <m:t>2</m:t>
              </m:r>
            </m:den>
          </m:f>
          <m:nary>
            <m:naryPr>
              <m:chr m:val="∫"/>
              <m:limLoc m:val="subSup"/>
              <m:subHide m:val="off"/>
              <m:supHide m:val="off"/>
            </m:naryPr>
            <m:sub>
              <m:r>
                <m:t>0</m:t>
              </m:r>
            </m:sub>
            <m:sup>
              <m:r>
                <m:t>H</m:t>
              </m:r>
            </m:sup>
            <m:e>
              <m:r>
                <m:t>Δ</m:t>
              </m:r>
            </m:e>
          </m:nary>
          <m:d>
            <m:dPr>
              <m:begChr m:val="("/>
              <m:endChr m:val=")"/>
              <m:sepChr m:val=""/>
              <m:grow/>
            </m:dPr>
            <m:e>
              <m:r>
                <m:t>t</m:t>
              </m:r>
            </m:e>
          </m:d>
          <m:r>
            <m:t> </m:t>
          </m:r>
          <m:r>
            <m:t>d</m:t>
          </m:r>
          <m:r>
            <m:t>t</m:t>
          </m:r>
          <m:r>
            <m:rPr>
              <m:sty m:val="p"/>
            </m:rPr>
            <m:t>.</m:t>
          </m:r>
        </m:oMath>
      </m:oMathPara>
    </w:p>
    <w:p>
      <w:pPr>
        <w:pStyle w:val="FirstParagraph"/>
      </w:pPr>
      <w:r>
        <w:t xml:space="preserve">For constant dilution and initial separation</w:t>
      </w:r>
      <w:r>
        <w:t xml:space="preserve"> </w:t>
      </w:r>
      <m:oMath>
        <m:sSub>
          <m:e>
            <m:r>
              <m:t>Δ</m:t>
            </m:r>
          </m:e>
          <m:sub>
            <m:r>
              <m:t>0</m:t>
            </m:r>
          </m:sub>
        </m:sSub>
      </m:oMath>
      <w:r>
        <w:t xml:space="preserve">, the right-hand side is</w:t>
      </w:r>
      <w:r>
        <w:t xml:space="preserve"> </w:t>
      </w:r>
      <m:oMath>
        <m:sSub>
          <m:e>
            <m:r>
              <m:t>Δ</m:t>
            </m:r>
          </m:e>
          <m:sub>
            <m:r>
              <m:t>0</m:t>
            </m:r>
          </m:sub>
        </m:sSub>
        <m:d>
          <m:dPr>
            <m:begChr m:val="("/>
            <m:endChr m:val=")"/>
            <m:sepChr m:val=""/>
            <m:grow/>
          </m:dPr>
          <m:e>
            <m:r>
              <m:t>1</m:t>
            </m:r>
            <m:r>
              <m:rPr>
                <m:sty m:val="p"/>
              </m:rPr>
              <m:t>−</m:t>
            </m:r>
            <m:sSup>
              <m:e>
                <m:r>
                  <m:t>e</m:t>
                </m:r>
              </m:e>
              <m:sup>
                <m:r>
                  <m:rPr>
                    <m:sty m:val="p"/>
                  </m:rPr>
                  <m:t>−</m:t>
                </m:r>
                <m:r>
                  <m:t>D</m:t>
                </m:r>
                <m:r>
                  <m:t>H</m:t>
                </m:r>
              </m:sup>
            </m:sSup>
          </m:e>
        </m:d>
        <m:r>
          <m:rPr>
            <m:sty m:val="p"/>
          </m:rPr>
          <m:t>/</m:t>
        </m:r>
        <m:d>
          <m:dPr>
            <m:begChr m:val="("/>
            <m:endChr m:val=")"/>
            <m:sepChr m:val=""/>
            <m:grow/>
          </m:dPr>
          <m:e>
            <m:r>
              <m:t>2</m:t>
            </m:r>
            <m:r>
              <m:t>D</m:t>
            </m:r>
          </m:e>
        </m:d>
      </m:oMath>
      <w:r>
        <w:t xml:space="preserve">. This is a bound on worst-case tracking error, not on regret relative to a state-informed oracle. The oracle may itself have unavoidable transient tracking loss. Decay of these bounds by dilution is physical replacement of the unknown initial inventory, not information supplied by the sensors.</w:t>
      </w:r>
    </w:p>
    <w:p>
      <w:pPr>
        <w:pStyle w:val="BodyText"/>
      </w:pPr>
      <w:r>
        <w:t xml:space="preserve">For a fixed open-loop input and two Gaussian observation records with the same known covariance</w:t>
      </w:r>
      <w:r>
        <w:t xml:space="preserve"> </w:t>
      </w:r>
      <m:oMath>
        <m:r>
          <m:t>Σ</m:t>
        </m:r>
      </m:oMath>
      <w:r>
        <w:t xml:space="preserve">, their KL divergence is</w:t>
      </w:r>
      <w:r>
        <w:t xml:space="preserve"> </w:t>
      </w:r>
      <m:oMath>
        <m:f>
          <m:fPr>
            <m:type m:val="bar"/>
          </m:fPr>
          <m:num>
            <m:r>
              <m:t>1</m:t>
            </m:r>
          </m:num>
          <m:den>
            <m:r>
              <m:t>2</m:t>
            </m:r>
          </m:den>
        </m:f>
        <m:sSup>
          <m:e>
            <m:d>
              <m:dPr>
                <m:begChr m:val="("/>
                <m:endChr m:val=")"/>
                <m:sepChr m:val=""/>
                <m:grow/>
              </m:dPr>
              <m:e>
                <m:sSub>
                  <m:e>
                    <m:r>
                      <m:t>μ</m:t>
                    </m:r>
                  </m:e>
                  <m:sub>
                    <m:r>
                      <m:t>1</m:t>
                    </m:r>
                  </m:sub>
                </m:sSub>
                <m:r>
                  <m:rPr>
                    <m:sty m:val="p"/>
                  </m:rPr>
                  <m:t>−</m:t>
                </m:r>
                <m:sSub>
                  <m:e>
                    <m:r>
                      <m:t>μ</m:t>
                    </m:r>
                  </m:e>
                  <m:sub>
                    <m:r>
                      <m:t>2</m:t>
                    </m:r>
                  </m:sub>
                </m:sSub>
              </m:e>
            </m:d>
          </m:e>
          <m:sup>
            <m:r>
              <m:t>T</m:t>
            </m:r>
          </m:sup>
        </m:sSup>
        <m:sSup>
          <m:e>
            <m:r>
              <m:t>Σ</m:t>
            </m:r>
          </m:e>
          <m:sup>
            <m:r>
              <m:rPr>
                <m:sty m:val="p"/>
              </m:rPr>
              <m:t>−</m:t>
            </m:r>
            <m:r>
              <m:t>1</m:t>
            </m:r>
          </m:sup>
        </m:sSup>
        <m:d>
          <m:dPr>
            <m:begChr m:val="("/>
            <m:endChr m:val=")"/>
            <m:sepChr m:val=""/>
            <m:grow/>
          </m:dPr>
          <m:e>
            <m:sSub>
              <m:e>
                <m:r>
                  <m:t>μ</m:t>
                </m:r>
              </m:e>
              <m:sub>
                <m:r>
                  <m:t>1</m:t>
                </m:r>
              </m:sub>
            </m:sSub>
            <m:r>
              <m:rPr>
                <m:sty m:val="p"/>
              </m:rPr>
              <m:t>−</m:t>
            </m:r>
            <m:sSub>
              <m:e>
                <m:r>
                  <m:t>μ</m:t>
                </m:r>
              </m:e>
              <m:sub>
                <m:r>
                  <m:t>2</m:t>
                </m:r>
              </m:sub>
            </m:sSub>
          </m:e>
        </m:d>
      </m:oMath>
      <w:r>
        <w:t xml:space="preserve">. A two-world expected absolute estimation-risk bound is</w:t>
      </w:r>
      <w:r>
        <w:t xml:space="preserve"> </w:t>
      </w:r>
      <m:oMath>
        <m:r>
          <m:t>Δ</m:t>
        </m:r>
        <m:d>
          <m:dPr>
            <m:begChr m:val="("/>
            <m:endChr m:val=")"/>
            <m:sepChr m:val=""/>
            <m:grow/>
          </m:dPr>
          <m:e>
            <m:r>
              <m:t>1</m:t>
            </m:r>
            <m:r>
              <m:rPr>
                <m:sty m:val="p"/>
              </m:rPr>
              <m:t>−</m:t>
            </m:r>
            <m:r>
              <m:rPr>
                <m:sty m:val="p"/>
              </m:rPr>
              <m:t>T</m:t>
            </m:r>
            <m:r>
              <m:rPr>
                <m:sty m:val="p"/>
              </m:rPr>
              <m:t>V</m:t>
            </m:r>
          </m:e>
        </m:d>
        <m:r>
          <m:rPr>
            <m:sty m:val="p"/>
          </m:rPr>
          <m:t>/</m:t>
        </m:r>
        <m:r>
          <m:t>2</m:t>
        </m:r>
      </m:oMath>
      <w:r>
        <w:t xml:space="preserve">; using Pinsker gives the nonnegative bound</w:t>
      </w:r>
      <w:r>
        <w:t xml:space="preserve"> </w:t>
      </w:r>
      <m:oMath>
        <m:r>
          <m:t>Δ</m:t>
        </m:r>
        <m:r>
          <m:rPr>
            <m:sty m:val="p"/>
          </m:rPr>
          <m:t>max</m:t>
        </m:r>
        <m:d>
          <m:dPr>
            <m:begChr m:val="("/>
            <m:endChr m:val=")"/>
            <m:sepChr m:val=""/>
            <m:grow/>
          </m:dPr>
          <m:e>
            <m:r>
              <m:t>0</m:t>
            </m:r>
            <m:r>
              <m:rPr>
                <m:sty m:val="p"/>
              </m:rPr>
              <m:t>,</m:t>
            </m:r>
            <m:r>
              <m:t>1</m:t>
            </m:r>
            <m:r>
              <m:rPr>
                <m:sty m:val="p"/>
              </m:rPr>
              <m:t>−</m:t>
            </m:r>
            <m:rad>
              <m:radPr>
                <m:degHide m:val="on"/>
              </m:radPr>
              <m:deg/>
              <m:e>
                <m:r>
                  <m:rPr>
                    <m:sty m:val="p"/>
                  </m:rPr>
                  <m:t>K</m:t>
                </m:r>
                <m:r>
                  <m:rPr>
                    <m:sty m:val="p"/>
                  </m:rPr>
                  <m:t>L</m:t>
                </m:r>
                <m:r>
                  <m:rPr>
                    <m:sty m:val="p"/>
                  </m:rPr>
                  <m:t>/</m:t>
                </m:r>
                <m:r>
                  <m:t>2</m:t>
                </m:r>
              </m:e>
            </m:rad>
          </m:e>
        </m:d>
        <m:r>
          <m:rPr>
            <m:sty m:val="p"/>
          </m:rPr>
          <m:t>/</m:t>
        </m:r>
        <m:r>
          <m:t>2</m:t>
        </m:r>
      </m:oMath>
      <w:r>
        <w:t xml:space="preserve">. This does not apply unchanged to adaptive noisy feedback with action-dependent product separation. The present campaign does not claim an industrial stochastic lower bound from this formula.</w:t>
      </w:r>
    </w:p>
    <w:bookmarkEnd w:id="30"/>
    <w:bookmarkStart w:id="31" w:name="X4cf603ec949fb85d696b4c59f6ede4f831b5803"/>
    <w:p>
      <w:pPr>
        <w:pStyle w:val="Heading2"/>
      </w:pPr>
      <w:r>
        <w:rPr>
          <w:rStyle w:val="SectionNumber"/>
        </w:rPr>
        <w:t xml:space="preserve">7.5</w:t>
      </w:r>
      <w:r>
        <w:tab/>
      </w:r>
      <w:r>
        <w:t xml:space="preserve">Proposition 3: state ambiguity versus decision conflict</w:t>
      </w:r>
    </w:p>
    <w:p>
      <w:pPr>
        <w:pStyle w:val="FirstParagraph"/>
      </w:pPr>
      <w:r>
        <w:t xml:space="preserve">Let a finite set of indistinguishable worlds have continuous costs</w:t>
      </w:r>
      <w:r>
        <w:t xml:space="preserve"> </w:t>
      </w:r>
      <m:oMath>
        <m:sSub>
          <m:e>
            <m:r>
              <m:t>J</m:t>
            </m:r>
          </m:e>
          <m:sub>
            <m:r>
              <m:t>i</m:t>
            </m:r>
          </m:sub>
        </m:sSub>
      </m:oMath>
      <w:r>
        <w:t xml:space="preserve"> </w:t>
      </w:r>
      <w:r>
        <w:t xml:space="preserve">on a common nonempty compact feasible action-sequence set</w:t>
      </w:r>
      <w:r>
        <w:t xml:space="preserve"> </w:t>
      </w:r>
      <m:oMath>
        <m:r>
          <m:rPr>
            <m:sty m:val="p"/>
            <m:scr m:val="script"/>
          </m:rPr>
          <m:t>U</m:t>
        </m:r>
      </m:oMath>
      <w:r>
        <w:t xml:space="preserve">. Let</w:t>
      </w:r>
      <w:r>
        <w:t xml:space="preserve"> </w:t>
      </w:r>
      <m:oMath>
        <m:sSubSup>
          <m:e>
            <m:r>
              <m:t>J</m:t>
            </m:r>
          </m:e>
          <m:sub>
            <m:r>
              <m:t>i</m:t>
            </m:r>
          </m:sub>
          <m:sup>
            <m:r>
              <m:rPr>
                <m:sty m:val="p"/>
              </m:rPr>
              <m:t>*</m:t>
            </m:r>
          </m:sup>
        </m:sSubSup>
        <m:r>
          <m:rPr>
            <m:sty m:val="p"/>
          </m:rPr>
          <m:t>=</m:t>
        </m:r>
        <m:sSub>
          <m:e>
            <m:r>
              <m:rPr>
                <m:sty m:val="p"/>
              </m:rPr>
              <m:t>min</m:t>
            </m:r>
          </m:e>
          <m:sub>
            <m:r>
              <m:t>u</m:t>
            </m:r>
            <m:r>
              <m:rPr>
                <m:sty m:val="p"/>
              </m:rPr>
              <m:t>∈</m:t>
            </m:r>
            <m:r>
              <m:rPr>
                <m:sty m:val="p"/>
                <m:scr m:val="script"/>
              </m:rPr>
              <m:t>U</m:t>
            </m:r>
          </m:sub>
        </m:sSub>
        <m:sSub>
          <m:e>
            <m:r>
              <m:t>J</m:t>
            </m:r>
          </m:e>
          <m:sub>
            <m:r>
              <m:t>i</m:t>
            </m:r>
          </m:sub>
        </m:sSub>
        <m:d>
          <m:dPr>
            <m:begChr m:val="("/>
            <m:endChr m:val=")"/>
            <m:sepChr m:val=""/>
            <m:grow/>
          </m:dPr>
          <m:e>
            <m:r>
              <m:t>u</m:t>
            </m:r>
          </m:e>
        </m:d>
      </m:oMath>
      <w:r>
        <w:t xml:space="preserve">. Define</w:t>
      </w:r>
    </w:p>
    <w:p>
      <w:pPr>
        <w:pStyle w:val="BodyText"/>
      </w:pPr>
      <m:oMathPara>
        <m:oMathParaPr>
          <m:jc m:val="center"/>
        </m:oMathParaPr>
        <m:oMath>
          <m:sSup>
            <m:e>
              <m:r>
                <m:rPr>
                  <m:sty m:val="p"/>
                  <m:scr m:val="script"/>
                </m:rPr>
                <m:t>R</m:t>
              </m:r>
            </m:e>
            <m:sup>
              <m:r>
                <m:rPr>
                  <m:sty m:val="p"/>
                </m:rPr>
                <m:t>*</m:t>
              </m:r>
            </m:sup>
          </m:sSup>
          <m:r>
            <m:rPr>
              <m:sty m:val="p"/>
            </m:rPr>
            <m:t>=</m:t>
          </m:r>
          <m:limLow>
            <m:e>
              <m:r>
                <m:rPr>
                  <m:sty m:val="p"/>
                </m:rPr>
                <m:t>min</m:t>
              </m:r>
            </m:e>
            <m:lim>
              <m:r>
                <m:t>u</m:t>
              </m:r>
              <m:r>
                <m:rPr>
                  <m:sty m:val="p"/>
                </m:rPr>
                <m:t>∈</m:t>
              </m:r>
              <m:r>
                <m:rPr>
                  <m:sty m:val="p"/>
                  <m:scr m:val="script"/>
                </m:rPr>
                <m:t>U</m:t>
              </m:r>
            </m:lim>
          </m:limLow>
          <m:limLow>
            <m:e>
              <m:r>
                <m:rPr>
                  <m:sty m:val="p"/>
                </m:rPr>
                <m:t>max</m:t>
              </m:r>
            </m:e>
            <m:lim>
              <m:r>
                <m:t>i</m:t>
              </m:r>
            </m:lim>
          </m:limLow>
          <m:d>
            <m:dPr>
              <m:begChr m:val="["/>
              <m:endChr m:val="]"/>
              <m:sepChr m:val=""/>
              <m:grow/>
            </m:dPr>
            <m:e>
              <m:sSub>
                <m:e>
                  <m:r>
                    <m:t>J</m:t>
                  </m:r>
                </m:e>
                <m:sub>
                  <m:r>
                    <m:t>i</m:t>
                  </m:r>
                </m:sub>
              </m:sSub>
              <m:d>
                <m:dPr>
                  <m:begChr m:val="("/>
                  <m:endChr m:val=")"/>
                  <m:sepChr m:val=""/>
                  <m:grow/>
                </m:dPr>
                <m:e>
                  <m:r>
                    <m:t>u</m:t>
                  </m:r>
                </m:e>
              </m:d>
              <m:r>
                <m:rPr>
                  <m:sty m:val="p"/>
                </m:rPr>
                <m:t>−</m:t>
              </m:r>
              <m:sSubSup>
                <m:e>
                  <m:r>
                    <m:t>J</m:t>
                  </m:r>
                </m:e>
                <m:sub>
                  <m:r>
                    <m:t>i</m:t>
                  </m:r>
                </m:sub>
                <m:sup>
                  <m:r>
                    <m:rPr>
                      <m:sty m:val="p"/>
                    </m:rPr>
                    <m:t>*</m:t>
                  </m:r>
                </m:sup>
              </m:sSubSup>
            </m:e>
          </m:d>
          <m:r>
            <m:rPr>
              <m:sty m:val="p"/>
            </m:rPr>
            <m:t>.</m:t>
          </m:r>
        </m:oMath>
      </m:oMathPara>
    </w:p>
    <w:p>
      <w:pPr>
        <w:pStyle w:val="FirstParagraph"/>
      </w:pPr>
      <w:r>
        <w:t xml:space="preserve">Then</w:t>
      </w:r>
      <w:r>
        <w:t xml:space="preserve"> </w:t>
      </w:r>
      <m:oMath>
        <m:sSup>
          <m:e>
            <m:r>
              <m:rPr>
                <m:sty m:val="p"/>
                <m:scr m:val="script"/>
              </m:rPr>
              <m:t>R</m:t>
            </m:r>
          </m:e>
          <m:sup>
            <m:r>
              <m:rPr>
                <m:sty m:val="p"/>
              </m:rPr>
              <m:t>*</m:t>
            </m:r>
          </m:sup>
        </m:sSup>
        <m:r>
          <m:rPr>
            <m:sty m:val="p"/>
          </m:rPr>
          <m:t>=</m:t>
        </m:r>
        <m:r>
          <m:t>0</m:t>
        </m:r>
      </m:oMath>
      <w:r>
        <w:t xml:space="preserve"> </w:t>
      </w:r>
      <w:r>
        <w:t xml:space="preserve">if and only if the worlds’ minimizing sets have a common point. Otherwise</w:t>
      </w:r>
      <w:r>
        <w:t xml:space="preserve"> </w:t>
      </w:r>
      <m:oMath>
        <m:sSup>
          <m:e>
            <m:r>
              <m:rPr>
                <m:sty m:val="p"/>
                <m:scr m:val="script"/>
              </m:rPr>
              <m:t>R</m:t>
            </m:r>
          </m:e>
          <m:sup>
            <m:r>
              <m:rPr>
                <m:sty m:val="p"/>
              </m:rPr>
              <m:t>*</m:t>
            </m:r>
          </m:sup>
        </m:sSup>
        <m:r>
          <m:rPr>
            <m:sty m:val="p"/>
          </m:rPr>
          <m:t>&gt;</m:t>
        </m:r>
        <m:r>
          <m:t>0</m:t>
        </m:r>
      </m:oMath>
      <w:r>
        <w:t xml:space="preserve">.</w:t>
      </w:r>
    </w:p>
    <w:p>
      <w:pPr>
        <w:pStyle w:val="BodyText"/>
      </w:pPr>
      <w:r>
        <w:t xml:space="preserve">Proof. Regrets are nonnegative. A common minimizer makes every regret zero. Conversely, continuity and compactness give a minimizer of the maximum regret; if its value is zero, that point minimizes every cost. Disjoint minimizers therefore imply a strictly positive attained value. Large chemical separation can coexist with zero decision regret when all worlds prefer the same action, including common actuator saturation.</w:t>
      </w:r>
    </w:p>
    <w:p>
      <w:pPr>
        <w:pStyle w:val="BodyText"/>
      </w:pPr>
      <w:r>
        <w:t xml:space="preserve">If world-specific feasibility sets differ, evaluate individual optima in their declared sets and the robust decision in their intersection. An empty intersection is infeasibility, not finite regret. Numerical results explicitly mark absent common feasible candidates.</w:t>
      </w:r>
    </w:p>
    <w:bookmarkEnd w:id="31"/>
    <w:bookmarkStart w:id="32" w:name="Xa095afbfab404944951e27dedf327ac64b65539"/>
    <w:p>
      <w:pPr>
        <w:pStyle w:val="Heading2"/>
      </w:pPr>
      <w:r>
        <w:rPr>
          <w:rStyle w:val="SectionNumber"/>
        </w:rPr>
        <w:t xml:space="preserve">7.6</w:t>
      </w:r>
      <w:r>
        <w:tab/>
      </w:r>
      <w:r>
        <w:t xml:space="preserve">Proposition 3b: when representing ambiguity cannot change the expected-cost action</w:t>
      </w:r>
    </w:p>
    <w:p>
      <w:pPr>
        <w:pStyle w:val="FirstParagraph"/>
      </w:pPr>
      <w:r>
        <w:t xml:space="preserve">For the exact PG twins with the same known feed history, coolant flow does not change the dilution rate. Let the possible products under any common plan be</w:t>
      </w:r>
      <w:r>
        <w:t xml:space="preserve"> </w:t>
      </w:r>
      <m:oMath>
        <m:sSub>
          <m:e>
            <m:r>
              <m:t>C</m:t>
            </m:r>
          </m:e>
          <m:sub>
            <m:r>
              <m:t>C</m:t>
            </m:r>
          </m:sub>
        </m:sSub>
        <m:d>
          <m:dPr>
            <m:begChr m:val="("/>
            <m:endChr m:val=")"/>
            <m:sepChr m:val=""/>
            <m:grow/>
          </m:dPr>
          <m:e>
            <m:r>
              <m:t>t</m:t>
            </m:r>
            <m:r>
              <m:rPr>
                <m:sty m:val="p"/>
              </m:rPr>
              <m:t>;</m:t>
            </m:r>
            <m:r>
              <m:t>u</m:t>
            </m:r>
            <m:r>
              <m:rPr>
                <m:sty m:val="p"/>
              </m:rPr>
              <m:t>,</m:t>
            </m:r>
            <m:r>
              <m:t>δ</m:t>
            </m:r>
          </m:e>
        </m:d>
        <m:r>
          <m:rPr>
            <m:sty m:val="p"/>
          </m:rPr>
          <m:t>=</m:t>
        </m:r>
        <m:sSub>
          <m:e>
            <m:r>
              <m:t>C</m:t>
            </m:r>
          </m:e>
          <m:sub>
            <m:r>
              <m:t>C</m:t>
            </m:r>
          </m:sub>
        </m:sSub>
        <m:d>
          <m:dPr>
            <m:begChr m:val="("/>
            <m:endChr m:val=")"/>
            <m:sepChr m:val=""/>
            <m:grow/>
          </m:dPr>
          <m:e>
            <m:r>
              <m:t>t</m:t>
            </m:r>
            <m:r>
              <m:rPr>
                <m:sty m:val="p"/>
              </m:rPr>
              <m:t>;</m:t>
            </m:r>
            <m:r>
              <m:t>u</m:t>
            </m:r>
            <m:r>
              <m:rPr>
                <m:sty m:val="p"/>
              </m:rPr>
              <m:t>,</m:t>
            </m:r>
            <m:r>
              <m:t>0</m:t>
            </m:r>
          </m:e>
        </m:d>
        <m:r>
          <m:rPr>
            <m:sty m:val="p"/>
          </m:rPr>
          <m:t>+</m:t>
        </m:r>
        <m:r>
          <m:t>d</m:t>
        </m:r>
        <m:d>
          <m:dPr>
            <m:begChr m:val="("/>
            <m:endChr m:val=")"/>
            <m:sepChr m:val=""/>
            <m:grow/>
          </m:dPr>
          <m:e>
            <m:r>
              <m:t>t</m:t>
            </m:r>
          </m:e>
        </m:d>
        <m:r>
          <m:t>δ</m:t>
        </m:r>
      </m:oMath>
      <w:r>
        <w:t xml:space="preserve">, with</w:t>
      </w:r>
      <w:r>
        <w:t xml:space="preserve"> </w:t>
      </w:r>
      <m:oMath>
        <m:r>
          <m:t>d</m:t>
        </m:r>
        <m:d>
          <m:dPr>
            <m:begChr m:val="("/>
            <m:endChr m:val=")"/>
            <m:sepChr m:val=""/>
            <m:grow/>
          </m:dPr>
          <m:e>
            <m:r>
              <m:t>t</m:t>
            </m:r>
          </m:e>
        </m:d>
        <m:r>
          <m:rPr>
            <m:sty m:val="p"/>
          </m:rPr>
          <m:t>=</m:t>
        </m:r>
        <m:sSup>
          <m:e>
            <m:r>
              <m:t>e</m:t>
            </m:r>
          </m:e>
          <m:sup>
            <m:r>
              <m:rPr>
                <m:sty m:val="p"/>
              </m:rPr>
              <m:t>−</m:t>
            </m:r>
            <m:nary>
              <m:naryPr>
                <m:chr m:val="∫"/>
                <m:limLoc m:val="subSup"/>
                <m:subHide m:val="off"/>
                <m:supHide m:val="off"/>
              </m:naryPr>
              <m:sub>
                <m:r>
                  <m:t>0</m:t>
                </m:r>
              </m:sub>
              <m:sup>
                <m:r>
                  <m:t>t</m:t>
                </m:r>
              </m:sup>
              <m:e>
                <m:r>
                  <m:t>D</m:t>
                </m:r>
              </m:e>
            </m:nary>
            <m:d>
              <m:dPr>
                <m:begChr m:val="("/>
                <m:endChr m:val=")"/>
                <m:sepChr m:val=""/>
                <m:grow/>
              </m:dPr>
              <m:e>
                <m:r>
                  <m:t>s</m:t>
                </m:r>
              </m:e>
            </m:d>
            <m:r>
              <m:t>d</m:t>
            </m:r>
            <m:r>
              <m:t>s</m:t>
            </m:r>
          </m:sup>
        </m:sSup>
      </m:oMath>
      <w:r>
        <w:t xml:space="preserve"> </w:t>
      </w:r>
      <w:r>
        <w:t xml:space="preserve">independent of the optimized coolant plan. Suppose the distribution over offsets has zero mean, all representatives remain physically admissible, the feasibility constraints depend only on their common thermal states and actions, and the tracking cost is a fixed weighted sum of squared product errors plus common thermal and actuation costs. Then</w:t>
      </w:r>
      <w:r>
        <w:t xml:space="preserve"> </w:t>
      </w:r>
      <m:oMath>
        <m:sSub>
          <m:e>
            <m:r>
              <m:rPr>
                <m:sty m:val="p"/>
                <m:scr m:val="double-struck"/>
              </m:rPr>
              <m:t>E</m:t>
            </m:r>
          </m:e>
          <m:sub>
            <m:r>
              <m:t>δ</m:t>
            </m:r>
          </m:sub>
        </m:sSub>
        <m:sSub>
          <m:e>
            <m:r>
              <m:t>J</m:t>
            </m:r>
          </m:e>
          <m:sub>
            <m:r>
              <m:t>δ</m:t>
            </m:r>
          </m:sub>
        </m:sSub>
        <m:d>
          <m:dPr>
            <m:begChr m:val="("/>
            <m:endChr m:val=")"/>
            <m:sepChr m:val=""/>
            <m:grow/>
          </m:dPr>
          <m:e>
            <m:r>
              <m:t>u</m:t>
            </m:r>
          </m:e>
        </m:d>
        <m:r>
          <m:rPr>
            <m:sty m:val="p"/>
          </m:rPr>
          <m:t>=</m:t>
        </m:r>
        <m:sSub>
          <m:e>
            <m:r>
              <m:t>J</m:t>
            </m:r>
          </m:e>
          <m:sub>
            <m:r>
              <m:t>0</m:t>
            </m:r>
          </m:sub>
        </m:sSub>
        <m:d>
          <m:dPr>
            <m:begChr m:val="("/>
            <m:endChr m:val=")"/>
            <m:sepChr m:val=""/>
            <m:grow/>
          </m:dPr>
          <m:e>
            <m:r>
              <m:t>u</m:t>
            </m:r>
          </m:e>
        </m:d>
        <m:r>
          <m:rPr>
            <m:sty m:val="p"/>
          </m:rPr>
          <m:t>+</m:t>
        </m:r>
        <m:r>
          <m:rPr>
            <m:sty m:val="p"/>
            <m:scr m:val="double-struck"/>
          </m:rPr>
          <m:t>E</m:t>
        </m:r>
        <m:d>
          <m:dPr>
            <m:begChr m:val="["/>
            <m:endChr m:val="]"/>
            <m:sepChr m:val=""/>
            <m:grow/>
          </m:dPr>
          <m:e>
            <m:sSup>
              <m:e>
                <m:r>
                  <m:t>δ</m:t>
                </m:r>
              </m:e>
              <m:sup>
                <m:r>
                  <m:t>2</m:t>
                </m:r>
              </m:sup>
            </m:sSup>
          </m:e>
        </m:d>
        <m:nary>
          <m:naryPr>
            <m:chr m:val="∑"/>
            <m:limLoc m:val="undOvr"/>
            <m:subHide m:val="off"/>
            <m:supHide m:val="on"/>
          </m:naryPr>
          <m:sub>
            <m:r>
              <m:t>j</m:t>
            </m:r>
          </m:sub>
          <m:sup>
            <m:r>
              <m:t>​</m:t>
            </m:r>
          </m:sup>
          <m:e>
            <m:sSub>
              <m:e>
                <m:r>
                  <m:t>w</m:t>
                </m:r>
              </m:e>
              <m:sub>
                <m:r>
                  <m:t>j</m:t>
                </m:r>
              </m:sub>
            </m:sSub>
          </m:e>
        </m:nary>
        <m:r>
          <m:t>d</m:t>
        </m:r>
        <m:sSup>
          <m:e>
            <m:d>
              <m:dPr>
                <m:begChr m:val="("/>
                <m:endChr m:val=")"/>
                <m:sepChr m:val=""/>
                <m:grow/>
              </m:dPr>
              <m:e>
                <m:sSub>
                  <m:e>
                    <m:r>
                      <m:t>t</m:t>
                    </m:r>
                  </m:e>
                  <m:sub>
                    <m:r>
                      <m:t>j</m:t>
                    </m:r>
                  </m:sub>
                </m:sSub>
              </m:e>
            </m:d>
          </m:e>
          <m:sup>
            <m:r>
              <m:t>2</m:t>
            </m:r>
          </m:sup>
        </m:sSup>
        <m:r>
          <m:rPr>
            <m:sty m:val="p"/>
          </m:rPr>
          <m:t>,</m:t>
        </m:r>
      </m:oMath>
      <w:r>
        <w:t xml:space="preserve"> </w:t>
      </w:r>
      <w:r>
        <w:t xml:space="preserve">where the final term is independent of</w:t>
      </w:r>
      <w:r>
        <w:t xml:space="preserve"> </w:t>
      </w:r>
      <m:oMath>
        <m:r>
          <m:t>u</m:t>
        </m:r>
      </m:oMath>
      <w:r>
        <w:t xml:space="preserve">. Therefore nominal and expected-cost optimization have exactly the same minimizing action set. The result holds for both finite and continuous action classes under these assumptions.</w:t>
      </w:r>
    </w:p>
    <w:p>
      <w:pPr>
        <w:pStyle w:val="BodyText"/>
      </w:pPr>
      <w:r>
        <w:t xml:space="preserve">Proof. Expand each squared error and average. The cross term vanishes by the zero-mean offset, while all other costs and constraints are shared. This is a certainty-equivalence special case, not a universal robustness theorem. Nonquadratic losses, action-dependent dilution, asymmetrically truncated beliefs, state-dependent physical constraints or a changed information policy can invalidate it. In the implemented symmetric three-representative P1 experiment it predicts a null control benefit, apart from admissibility exclusions and numerical tie handling. This is a falsification of any claim that merely including those symmetric worlds must improve this quadratic NMPC.</w:t>
      </w:r>
    </w:p>
    <w:bookmarkEnd w:id="32"/>
    <w:bookmarkStart w:id="33" w:name="Xa2ace0e9533449e936d79d46b46da293cfb6693"/>
    <w:p>
      <w:pPr>
        <w:pStyle w:val="Heading2"/>
      </w:pPr>
      <w:r>
        <w:rPr>
          <w:rStyle w:val="SectionNumber"/>
        </w:rPr>
        <w:t xml:space="preserve">7.7</w:t>
      </w:r>
      <w:r>
        <w:tab/>
      </w:r>
      <w:r>
        <w:t xml:space="preserve">Proposition 4: a conditional quantitative regret bound</w:t>
      </w:r>
    </w:p>
    <w:p>
      <w:pPr>
        <w:pStyle w:val="FirstParagraph"/>
      </w:pPr>
      <w:r>
        <w:t xml:space="preserve">If two costs are</w:t>
      </w:r>
      <w:r>
        <w:t xml:space="preserve"> </w:t>
      </w:r>
      <m:oMath>
        <m:r>
          <m:t>μ</m:t>
        </m:r>
      </m:oMath>
      <w:r>
        <w:t xml:space="preserve">-strongly convex on the same convex action set and have respective minimizers</w:t>
      </w:r>
      <w:r>
        <w:t xml:space="preserve"> </w:t>
      </w:r>
      <m:oMath>
        <m:sSubSup>
          <m:e>
            <m:r>
              <m:t>u</m:t>
            </m:r>
          </m:e>
          <m:sub>
            <m:r>
              <m:t>1</m:t>
            </m:r>
          </m:sub>
          <m:sup>
            <m:r>
              <m:rPr>
                <m:sty m:val="p"/>
              </m:rPr>
              <m:t>*</m:t>
            </m:r>
          </m:sup>
        </m:sSubSup>
        <m:r>
          <m:rPr>
            <m:sty m:val="p"/>
          </m:rPr>
          <m:t>,</m:t>
        </m:r>
        <m:sSubSup>
          <m:e>
            <m:r>
              <m:t>u</m:t>
            </m:r>
          </m:e>
          <m:sub>
            <m:r>
              <m:t>2</m:t>
            </m:r>
          </m:sub>
          <m:sup>
            <m:r>
              <m:rPr>
                <m:sty m:val="p"/>
              </m:rPr>
              <m:t>*</m:t>
            </m:r>
          </m:sup>
        </m:sSubSup>
      </m:oMath>
      <w:r>
        <w:t xml:space="preserve">, then</w:t>
      </w:r>
    </w:p>
    <w:p>
      <w:pPr>
        <w:pStyle w:val="BodyText"/>
      </w:pPr>
      <m:oMathPara>
        <m:oMathParaPr>
          <m:jc m:val="center"/>
        </m:oMathParaPr>
        <m:oMath>
          <m:sSup>
            <m:e>
              <m:r>
                <m:rPr>
                  <m:sty m:val="p"/>
                  <m:scr m:val="script"/>
                </m:rPr>
                <m:t>R</m:t>
              </m:r>
            </m:e>
            <m:sup>
              <m:r>
                <m:rPr>
                  <m:sty m:val="p"/>
                </m:rPr>
                <m:t>*</m:t>
              </m:r>
            </m:sup>
          </m:sSup>
          <m:r>
            <m:rPr>
              <m:sty m:val="p"/>
            </m:rPr>
            <m:t>≥</m:t>
          </m:r>
          <m:f>
            <m:fPr>
              <m:type m:val="bar"/>
            </m:fPr>
            <m:num>
              <m:r>
                <m:t>μ</m:t>
              </m:r>
            </m:num>
            <m:den>
              <m:r>
                <m:t>8</m:t>
              </m:r>
            </m:den>
          </m:f>
          <m:r>
            <m:rPr>
              <m:sty m:val="p"/>
            </m:rPr>
            <m:t>∥</m:t>
          </m:r>
          <m:sSubSup>
            <m:e>
              <m:r>
                <m:t>u</m:t>
              </m:r>
            </m:e>
            <m:sub>
              <m:r>
                <m:t>1</m:t>
              </m:r>
            </m:sub>
            <m:sup>
              <m:r>
                <m:rPr>
                  <m:sty m:val="p"/>
                </m:rPr>
                <m:t>*</m:t>
              </m:r>
            </m:sup>
          </m:sSubSup>
          <m:r>
            <m:rPr>
              <m:sty m:val="p"/>
            </m:rPr>
            <m:t>−</m:t>
          </m:r>
          <m:sSubSup>
            <m:e>
              <m:r>
                <m:t>u</m:t>
              </m:r>
            </m:e>
            <m:sub>
              <m:r>
                <m:t>2</m:t>
              </m:r>
            </m:sub>
            <m:sup>
              <m:r>
                <m:rPr>
                  <m:sty m:val="p"/>
                </m:rPr>
                <m:t>*</m:t>
              </m:r>
            </m:sup>
          </m:sSubSup>
          <m:sSup>
            <m:e>
              <m:r>
                <m:rPr>
                  <m:sty m:val="p"/>
                </m:rPr>
                <m:t>∥</m:t>
              </m:r>
            </m:e>
            <m:sup>
              <m:r>
                <m:t>2</m:t>
              </m:r>
            </m:sup>
          </m:sSup>
          <m:r>
            <m:rPr>
              <m:sty m:val="p"/>
            </m:rPr>
            <m:t>.</m:t>
          </m:r>
        </m:oMath>
      </m:oMathPara>
    </w:p>
    <w:p>
      <w:pPr>
        <w:pStyle w:val="FirstParagraph"/>
      </w:pPr>
      <w:r>
        <w:t xml:space="preserve">Strong convexity and first-order optimality yield</w:t>
      </w:r>
      <w:r>
        <w:t xml:space="preserve"> </w:t>
      </w:r>
      <m:oMath>
        <m:sSub>
          <m:e>
            <m:r>
              <m:t>J</m:t>
            </m:r>
          </m:e>
          <m:sub>
            <m:r>
              <m:t>i</m:t>
            </m:r>
          </m:sub>
        </m:sSub>
        <m:d>
          <m:dPr>
            <m:begChr m:val="("/>
            <m:endChr m:val=")"/>
            <m:sepChr m:val=""/>
            <m:grow/>
          </m:dPr>
          <m:e>
            <m:r>
              <m:t>u</m:t>
            </m:r>
          </m:e>
        </m:d>
        <m:r>
          <m:rPr>
            <m:sty m:val="p"/>
          </m:rPr>
          <m:t>−</m:t>
        </m:r>
        <m:sSub>
          <m:e>
            <m:r>
              <m:t>J</m:t>
            </m:r>
          </m:e>
          <m:sub>
            <m:r>
              <m:t>i</m:t>
            </m:r>
          </m:sub>
        </m:sSub>
        <m:d>
          <m:dPr>
            <m:begChr m:val="("/>
            <m:endChr m:val=")"/>
            <m:sepChr m:val=""/>
            <m:grow/>
          </m:dPr>
          <m:e>
            <m:sSubSup>
              <m:e>
                <m:r>
                  <m:t>u</m:t>
                </m:r>
              </m:e>
              <m:sub>
                <m:r>
                  <m:t>i</m:t>
                </m:r>
              </m:sub>
              <m:sup>
                <m:r>
                  <m:rPr>
                    <m:sty m:val="p"/>
                  </m:rPr>
                  <m:t>*</m:t>
                </m:r>
              </m:sup>
            </m:sSubSup>
          </m:e>
        </m:d>
        <m:r>
          <m:rPr>
            <m:sty m:val="p"/>
          </m:rPr>
          <m:t>≥</m:t>
        </m:r>
        <m:r>
          <m:t>μ</m:t>
        </m:r>
        <m:r>
          <m:rPr>
            <m:sty m:val="p"/>
          </m:rPr>
          <m:t>∥</m:t>
        </m:r>
        <m:r>
          <m:t>u</m:t>
        </m:r>
        <m:r>
          <m:rPr>
            <m:sty m:val="p"/>
          </m:rPr>
          <m:t>−</m:t>
        </m:r>
        <m:sSubSup>
          <m:e>
            <m:r>
              <m:t>u</m:t>
            </m:r>
          </m:e>
          <m:sub>
            <m:r>
              <m:t>i</m:t>
            </m:r>
          </m:sub>
          <m:sup>
            <m:r>
              <m:rPr>
                <m:sty m:val="p"/>
              </m:rPr>
              <m:t>*</m:t>
            </m:r>
          </m:sup>
        </m:sSubSup>
        <m:sSup>
          <m:e>
            <m:r>
              <m:rPr>
                <m:sty m:val="p"/>
              </m:rPr>
              <m:t>∥</m:t>
            </m:r>
          </m:e>
          <m:sup>
            <m:r>
              <m:t>2</m:t>
            </m:r>
          </m:sup>
        </m:sSup>
        <m:r>
          <m:rPr>
            <m:sty m:val="p"/>
          </m:rPr>
          <m:t>/</m:t>
        </m:r>
        <m:r>
          <m:t>2</m:t>
        </m:r>
      </m:oMath>
      <w:r>
        <w:t xml:space="preserve">. At least one distance is at least half the distance between the minimizers, proving the bound. Convexity also prevents improvement by randomizing actions when the criterion is maximum expected cost. These convexity conditions are NOT established for the nonlinear PG optimization. Accordingly no numerical PG regret is described as certified by this bound.</w:t>
      </w:r>
    </w:p>
    <w:p>
      <w:pPr>
        <w:pStyle w:val="BodyText"/>
      </w:pPr>
      <w:r>
        <w:t xml:space="preserve">For exact indistinguishability over a whole horizon and deterministic noiseless causal policies whose realizable sequences belong to</w:t>
      </w:r>
      <w:r>
        <w:t xml:space="preserve"> </w:t>
      </w:r>
      <m:oMath>
        <m:r>
          <m:rPr>
            <m:sty m:val="p"/>
            <m:scr m:val="script"/>
          </m:rPr>
          <m:t>U</m:t>
        </m:r>
      </m:oMath>
      <w:r>
        <w:t xml:space="preserve">, every policy realizes a common sequence. Its maximum regret is at least the minimax value over</w:t>
      </w:r>
      <w:r>
        <w:t xml:space="preserve"> </w:t>
      </w:r>
      <m:oMath>
        <m:r>
          <m:rPr>
            <m:sty m:val="p"/>
            <m:scr m:val="script"/>
          </m:rPr>
          <m:t>U</m:t>
        </m:r>
      </m:oMath>
      <w:r>
        <w:t xml:space="preserve">. A finite candidate grid supplies an exact result only within that grid. If the per-world oracle costs are held fixed at their continuous optima, restricting the decision set gives an upper bound on the continuous minimax value. Here both the decisions and the per-world oracle optima are restricted to the grid. Consequently the reported value has no general one-sided bound relative to continuous minimax regret. It is not a lower bound valid for all physical controllers. If future measurements can distinguish the worlds, open-loop sequence regret cannot be substituted for the value of an optimal adaptive policy.</w:t>
      </w:r>
    </w:p>
    <w:bookmarkEnd w:id="33"/>
    <w:bookmarkStart w:id="34" w:name="known-scope-versus-possible-contribution"/>
    <w:p>
      <w:pPr>
        <w:pStyle w:val="Heading2"/>
      </w:pPr>
      <w:r>
        <w:rPr>
          <w:rStyle w:val="SectionNumber"/>
        </w:rPr>
        <w:t xml:space="preserve">7.8</w:t>
      </w:r>
      <w:r>
        <w:tab/>
      </w:r>
      <w:r>
        <w:t xml:space="preserve">Known scope versus possible contribution</w:t>
      </w:r>
    </w:p>
    <w:p>
      <w:pPr>
        <w:pStyle w:val="FirstParagraph"/>
      </w:pPr>
      <w:r>
        <w:t xml:space="preserve">Observability, detectability, two-point risk bounds, minimax regret and decision-aware estimation are established concepts. The proofs above are elementary specializations and should not be advertised as a new universal control law. The candidate case-specific contribution is the functional-Cp classification, its application to a traced PG model, and an audit connecting physical closure, distinguishability, chemical sampling and decision cost. A comprehensive novelty review and calibrated physical data are still needed.</w:t>
      </w:r>
    </w:p>
    <w:bookmarkEnd w:id="34"/>
    <w:bookmarkEnd w:id="35"/>
    <w:bookmarkStart w:id="42" w:name="numerical-results"/>
    <w:p>
      <w:pPr>
        <w:pStyle w:val="Heading1"/>
      </w:pPr>
      <w:r>
        <w:rPr>
          <w:rStyle w:val="SectionNumber"/>
        </w:rPr>
        <w:t xml:space="preserve">8</w:t>
      </w:r>
      <w:r>
        <w:tab/>
      </w:r>
      <w:r>
        <w:t xml:space="preserve">Numerical results</w:t>
      </w:r>
    </w:p>
    <w:p>
      <w:pPr>
        <w:pStyle w:val="FirstParagraph"/>
      </w:pPr>
      <w:r>
        <w:t xml:space="preserve">Completed execution and paired comparisons are shown below. Positive improvement favors the first method. The finite-suite CI resamples 20 paired seed clusters and is conditional on the chosen scenarios.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Candidate</w:t>
            </w:r>
          </w:p>
        </w:tc>
        <w:tc>
          <w:tcPr/>
          <w:p>
            <w:pPr>
              <w:pStyle w:val="Compact"/>
              <w:jc w:val="left"/>
            </w:pPr>
            <w:r>
              <w:t xml:space="preserve">Baseline</w:t>
            </w:r>
          </w:p>
        </w:tc>
        <w:tc>
          <w:tcPr/>
          <w:p>
            <w:pPr>
              <w:pStyle w:val="Compact"/>
              <w:jc w:val="left"/>
            </w:pPr>
            <w:r>
              <w:t xml:space="preserve">Gain (%)</w:t>
            </w:r>
          </w:p>
        </w:tc>
        <w:tc>
          <w:tcPr/>
          <w:p>
            <w:pPr>
              <w:pStyle w:val="Compact"/>
              <w:jc w:val="left"/>
            </w:pPr>
            <w:r>
              <w:t xml:space="preserve">IAE diff.</w:t>
            </w:r>
          </w:p>
        </w:tc>
        <w:tc>
          <w:tcPr/>
          <w:p>
            <w:pPr>
              <w:pStyle w:val="Compact"/>
              <w:jc w:val="left"/>
            </w:pPr>
            <w:r>
              <w:t xml:space="preserve">CI lower</w:t>
            </w:r>
          </w:p>
        </w:tc>
        <w:tc>
          <w:tcPr/>
          <w:p>
            <w:pPr>
              <w:pStyle w:val="Compact"/>
              <w:jc w:val="left"/>
            </w:pPr>
            <w:r>
              <w:t xml:space="preserve">CI upper</w:t>
            </w:r>
          </w:p>
        </w:tc>
        <w:tc>
          <w:tcPr/>
          <w:p>
            <w:pPr>
              <w:pStyle w:val="Compact"/>
              <w:jc w:val="left"/>
            </w:pPr>
            <w:r>
              <w:t xml:space="preserve">Holm p</w:t>
            </w:r>
          </w:p>
        </w:tc>
      </w:tr>
      <w:tr>
        <w:tc>
          <w:tcPr/>
          <w:p>
            <w:pPr>
              <w:pStyle w:val="Compact"/>
              <w:jc w:val="left"/>
            </w:pPr>
            <w:r>
              <w:t xml:space="preserve">P2 regret</w:t>
            </w:r>
          </w:p>
        </w:tc>
        <w:tc>
          <w:tcPr/>
          <w:p>
            <w:pPr>
              <w:pStyle w:val="Compact"/>
              <w:jc w:val="left"/>
            </w:pPr>
            <w:r>
              <w:t xml:space="preserve">B1 ukf</w:t>
            </w:r>
          </w:p>
        </w:tc>
        <w:tc>
          <w:tcPr/>
          <w:p>
            <w:pPr>
              <w:pStyle w:val="Compact"/>
              <w:jc w:val="left"/>
            </w:pPr>
            <w:r>
              <w:t xml:space="preserve">0.63459</w:t>
            </w:r>
          </w:p>
        </w:tc>
        <w:tc>
          <w:tcPr/>
          <w:p>
            <w:pPr>
              <w:pStyle w:val="Compact"/>
              <w:jc w:val="left"/>
            </w:pPr>
            <w:r>
              <w:t xml:space="preserve">0.0008501</w:t>
            </w:r>
          </w:p>
        </w:tc>
        <w:tc>
          <w:tcPr/>
          <w:p>
            <w:pPr>
              <w:pStyle w:val="Compact"/>
              <w:jc w:val="left"/>
            </w:pPr>
            <w:r>
              <w:t xml:space="preserve">-0.0010082</w:t>
            </w:r>
          </w:p>
        </w:tc>
        <w:tc>
          <w:tcPr/>
          <w:p>
            <w:pPr>
              <w:pStyle w:val="Compact"/>
              <w:jc w:val="left"/>
            </w:pPr>
            <w:r>
              <w:t xml:space="preserve">0.0028354</w:t>
            </w:r>
          </w:p>
        </w:tc>
        <w:tc>
          <w:tcPr/>
          <w:p>
            <w:pPr>
              <w:pStyle w:val="Compact"/>
              <w:jc w:val="left"/>
            </w:pPr>
            <w:r>
              <w:t xml:space="preserve">0.41857</w:t>
            </w:r>
          </w:p>
        </w:tc>
      </w:tr>
      <w:tr>
        <w:tc>
          <w:tcPr/>
          <w:p>
            <w:pPr>
              <w:pStyle w:val="Compact"/>
              <w:jc w:val="left"/>
            </w:pPr>
            <w:r>
              <w:t xml:space="preserve">P3 adaptive regret</w:t>
            </w:r>
          </w:p>
        </w:tc>
        <w:tc>
          <w:tcPr/>
          <w:p>
            <w:pPr>
              <w:pStyle w:val="Compact"/>
              <w:jc w:val="left"/>
            </w:pPr>
            <w:r>
              <w:t xml:space="preserve">B2 both</w:t>
            </w:r>
          </w:p>
        </w:tc>
        <w:tc>
          <w:tcPr/>
          <w:p>
            <w:pPr>
              <w:pStyle w:val="Compact"/>
              <w:jc w:val="left"/>
            </w:pPr>
            <w:r>
              <w:t xml:space="preserve">0.65721</w:t>
            </w:r>
          </w:p>
        </w:tc>
        <w:tc>
          <w:tcPr/>
          <w:p>
            <w:pPr>
              <w:pStyle w:val="Compact"/>
              <w:jc w:val="left"/>
            </w:pPr>
            <w:r>
              <w:t xml:space="preserve">0.00057897</w:t>
            </w:r>
          </w:p>
        </w:tc>
        <w:tc>
          <w:tcPr/>
          <w:p>
            <w:pPr>
              <w:pStyle w:val="Compact"/>
              <w:jc w:val="left"/>
            </w:pPr>
            <w:r>
              <w:t xml:space="preserve">-0.00020713</w:t>
            </w:r>
          </w:p>
        </w:tc>
        <w:tc>
          <w:tcPr/>
          <w:p>
            <w:pPr>
              <w:pStyle w:val="Compact"/>
              <w:jc w:val="left"/>
            </w:pPr>
            <w:r>
              <w:t xml:space="preserve">0.0014596</w:t>
            </w:r>
          </w:p>
        </w:tc>
        <w:tc>
          <w:tcPr/>
          <w:p>
            <w:pPr>
              <w:pStyle w:val="Compact"/>
              <w:jc w:val="left"/>
            </w:pPr>
            <w:r>
              <w:t xml:space="preserve">0.41857</w:t>
            </w:r>
          </w:p>
        </w:tc>
      </w:tr>
      <w:tr>
        <w:tc>
          <w:tcPr/>
          <w:p>
            <w:pPr>
              <w:pStyle w:val="Compact"/>
              <w:jc w:val="left"/>
            </w:pPr>
            <w:r>
              <w:t xml:space="preserve">B2 both</w:t>
            </w:r>
          </w:p>
        </w:tc>
        <w:tc>
          <w:tcPr/>
          <w:p>
            <w:pPr>
              <w:pStyle w:val="Compact"/>
              <w:jc w:val="left"/>
            </w:pPr>
            <w:r>
              <w:t xml:space="preserve">B2 estimator</w:t>
            </w:r>
          </w:p>
        </w:tc>
        <w:tc>
          <w:tcPr/>
          <w:p>
            <w:pPr>
              <w:pStyle w:val="Compact"/>
              <w:jc w:val="left"/>
            </w:pPr>
            <w:r>
              <w:t xml:space="preserve">39.912</w:t>
            </w:r>
          </w:p>
        </w:tc>
        <w:tc>
          <w:tcPr/>
          <w:p>
            <w:pPr>
              <w:pStyle w:val="Compact"/>
              <w:jc w:val="left"/>
            </w:pPr>
            <w:r>
              <w:t xml:space="preserve">0.058515</w:t>
            </w:r>
          </w:p>
        </w:tc>
        <w:tc>
          <w:tcPr/>
          <w:p>
            <w:pPr>
              <w:pStyle w:val="Compact"/>
              <w:jc w:val="left"/>
            </w:pPr>
            <w:r>
              <w:t xml:space="preserve">0.056526</w:t>
            </w:r>
          </w:p>
        </w:tc>
        <w:tc>
          <w:tcPr/>
          <w:p>
            <w:pPr>
              <w:pStyle w:val="Compact"/>
              <w:jc w:val="left"/>
            </w:pPr>
            <w:r>
              <w:t xml:space="preserve">0.060461</w:t>
            </w:r>
          </w:p>
        </w:tc>
        <w:tc>
          <w:tcPr/>
          <w:p>
            <w:pPr>
              <w:pStyle w:val="Compact"/>
              <w:jc w:val="left"/>
            </w:pPr>
            <w:r>
              <w:t xml:space="preserve">3.1106e-22</w:t>
            </w:r>
          </w:p>
        </w:tc>
      </w:tr>
    </w:tbl>
    <w:bookmarkStart w:id="36" w:name="model-and-information-experiments"/>
    <w:p>
      <w:pPr>
        <w:pStyle w:val="Heading2"/>
      </w:pPr>
      <w:r>
        <w:rPr>
          <w:rStyle w:val="SectionNumber"/>
        </w:rPr>
        <w:t xml:space="preserve">8.1</w:t>
      </w:r>
      <w:r>
        <w:tab/>
      </w:r>
      <w:r>
        <w:t xml:space="preserve">Model and information experiments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Max dT (K)</w:t>
            </w:r>
          </w:p>
        </w:tc>
        <w:tc>
          <w:tcPr/>
          <w:p>
            <w:pPr>
              <w:pStyle w:val="Compact"/>
              <w:jc w:val="left"/>
            </w:pPr>
            <w:r>
              <w:t xml:space="preserve">Product decay error</w:t>
            </w:r>
          </w:p>
        </w:tc>
      </w:tr>
      <w:tr>
        <w:tc>
          <w:tcPr/>
          <w:p>
            <w:pPr>
              <w:pStyle w:val="Compact"/>
              <w:jc w:val="left"/>
            </w:pPr>
            <w:r>
              <w:t xml:space="preserve">M0 historical</w:t>
            </w:r>
          </w:p>
        </w:tc>
        <w:tc>
          <w:tcPr/>
          <w:p>
            <w:pPr>
              <w:pStyle w:val="Compact"/>
              <w:jc w:val="left"/>
            </w:pPr>
            <w:r>
              <w:t xml:space="preserve">5.6843e-14</w:t>
            </w:r>
          </w:p>
        </w:tc>
        <w:tc>
          <w:tcPr/>
          <w:p>
            <w:pPr>
              <w:pStyle w:val="Compact"/>
              <w:jc w:val="left"/>
            </w:pPr>
            <w:r>
              <w:t xml:space="preserve">5.8647e-12</w:t>
            </w:r>
          </w:p>
        </w:tc>
      </w:tr>
      <w:tr>
        <w:tc>
          <w:tcPr/>
          <w:p>
            <w:pPr>
              <w:pStyle w:val="Compact"/>
              <w:jc w:val="left"/>
            </w:pPr>
            <w:r>
              <w:t xml:space="preserve">M1H Kirchhoff hypothesis</w:t>
            </w:r>
          </w:p>
        </w:tc>
        <w:tc>
          <w:tcPr/>
          <w:p>
            <w:pPr>
              <w:pStyle w:val="Compact"/>
              <w:jc w:val="left"/>
            </w:pPr>
            <w:r>
              <w:t xml:space="preserve">0</w:t>
            </w:r>
          </w:p>
        </w:tc>
        <w:tc>
          <w:tcPr/>
          <w:p>
            <w:pPr>
              <w:pStyle w:val="Compact"/>
              <w:jc w:val="left"/>
            </w:pPr>
            <w:r>
              <w:t xml:space="preserve">5.8634e-12</w:t>
            </w:r>
          </w:p>
        </w:tc>
      </w:tr>
      <w:tr>
        <w:tc>
          <w:tcPr/>
          <w:p>
            <w:pPr>
              <w:pStyle w:val="Compact"/>
              <w:jc w:val="left"/>
            </w:pPr>
            <w:r>
              <w:t xml:space="preserve">M1J mixed jacket hypothesis</w:t>
            </w:r>
          </w:p>
        </w:tc>
        <w:tc>
          <w:tcPr/>
          <w:p>
            <w:pPr>
              <w:pStyle w:val="Compact"/>
              <w:jc w:val="left"/>
            </w:pPr>
            <w:r>
              <w:t xml:space="preserve">0</w:t>
            </w:r>
          </w:p>
        </w:tc>
        <w:tc>
          <w:tcPr/>
          <w:p>
            <w:pPr>
              <w:pStyle w:val="Compact"/>
              <w:jc w:val="left"/>
            </w:pPr>
            <w:r>
              <w:t xml:space="preserve">5.8616e-12</w:t>
            </w:r>
          </w:p>
        </w:tc>
      </w:tr>
      <w:tr>
        <w:tc>
          <w:tcPr/>
          <w:p>
            <w:pPr>
              <w:pStyle w:val="Compact"/>
              <w:jc w:val="left"/>
            </w:pPr>
            <w:r>
              <w:t xml:space="preserve">M2L linear cp hypothesis</w:t>
            </w:r>
          </w:p>
        </w:tc>
        <w:tc>
          <w:tcPr/>
          <w:p>
            <w:pPr>
              <w:pStyle w:val="Compact"/>
              <w:jc w:val="left"/>
            </w:pPr>
            <w:r>
              <w:t xml:space="preserve">1.0307e-05</w:t>
            </w:r>
          </w:p>
        </w:tc>
        <w:tc>
          <w:tcPr/>
          <w:p>
            <w:pPr>
              <w:pStyle w:val="Compact"/>
              <w:jc w:val="left"/>
            </w:pPr>
            <w:r>
              <w:t xml:space="preserve">3.3766e-07</w:t>
            </w:r>
          </w:p>
        </w:tc>
      </w:tr>
      <w:tr>
        <w:tc>
          <w:tcPr/>
          <w:p>
            <w:pPr>
              <w:pStyle w:val="Compact"/>
              <w:jc w:val="left"/>
            </w:pPr>
            <w:r>
              <w:t xml:space="preserve">M2Q quadratic cp hypothesis</w:t>
            </w:r>
          </w:p>
        </w:tc>
        <w:tc>
          <w:tcPr/>
          <w:p>
            <w:pPr>
              <w:pStyle w:val="Compact"/>
              <w:jc w:val="left"/>
            </w:pPr>
            <w:r>
              <w:t xml:space="preserve">9.3374e-06</w:t>
            </w:r>
          </w:p>
        </w:tc>
        <w:tc>
          <w:tcPr/>
          <w:p>
            <w:pPr>
              <w:pStyle w:val="Compact"/>
              <w:jc w:val="left"/>
            </w:pPr>
            <w:r>
              <w:t xml:space="preserve">3.1641e-07</w:t>
            </w:r>
          </w:p>
        </w:tc>
      </w:tr>
    </w:tbl>
    <w:bookmarkEnd w:id="36"/>
    <w:bookmarkStart w:id="37" w:name="X4873088ddb044e3aab1b97ea503b4e011095203"/>
    <w:p>
      <w:pPr>
        <w:pStyle w:val="Heading2"/>
      </w:pPr>
      <w:r>
        <w:rPr>
          <w:rStyle w:val="SectionNumber"/>
        </w:rPr>
        <w:t xml:space="preserve">8.2</w:t>
      </w:r>
      <w:r>
        <w:tab/>
      </w:r>
      <w:r>
        <w:t xml:space="preserve">Input-dependent local rank and surviving affine-property twins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w:t>
            </w:r>
          </w:p>
        </w:tc>
        <w:tc>
          <w:tcPr/>
          <w:p>
            <w:pPr>
              <w:pStyle w:val="Compact"/>
              <w:jc w:val="left"/>
            </w:pPr>
            <w:r>
              <w:t xml:space="preserve">determinant</w:t>
            </w:r>
          </w:p>
        </w:tc>
        <w:tc>
          <w:tcPr/>
          <w:p>
            <w:pPr>
              <w:pStyle w:val="Compact"/>
              <w:jc w:val="left"/>
            </w:pPr>
            <w:r>
              <w:t xml:space="preserve">Derivative error</w:t>
            </w:r>
          </w:p>
        </w:tc>
        <w:tc>
          <w:tcPr/>
          <w:p>
            <w:pPr>
              <w:pStyle w:val="Compact"/>
              <w:jc w:val="left"/>
            </w:pPr>
            <w:r>
              <w:t xml:space="preserve">Rank 4 test</w:t>
            </w:r>
          </w:p>
        </w:tc>
      </w:tr>
      <w:tr>
        <w:tc>
          <w:tcPr/>
          <w:p>
            <w:pPr>
              <w:pStyle w:val="Compact"/>
              <w:jc w:val="left"/>
            </w:pPr>
            <w:r>
              <w:t xml:space="preserve">315</w:t>
            </w:r>
          </w:p>
        </w:tc>
        <w:tc>
          <w:tcPr/>
          <w:p>
            <w:pPr>
              <w:pStyle w:val="Compact"/>
              <w:jc w:val="left"/>
            </w:pPr>
            <w:r>
              <w:t xml:space="preserve">3.1461</w:t>
            </w:r>
          </w:p>
        </w:tc>
        <w:tc>
          <w:tcPr/>
          <w:p>
            <w:pPr>
              <w:pStyle w:val="Compact"/>
              <w:jc w:val="left"/>
            </w:pPr>
            <w:r>
              <w:t xml:space="preserve">3.1924e-58</w:t>
            </w:r>
          </w:p>
        </w:tc>
        <w:tc>
          <w:tcPr/>
          <w:p>
            <w:pPr>
              <w:pStyle w:val="Compact"/>
              <w:jc w:val="left"/>
            </w:pPr>
            <w:r>
              <w:t xml:space="preserve">True</w:t>
            </w:r>
          </w:p>
        </w:tc>
      </w:tr>
      <w:tr>
        <w:tc>
          <w:tcPr/>
          <w:p>
            <w:pPr>
              <w:pStyle w:val="Compact"/>
              <w:jc w:val="left"/>
            </w:pPr>
            <w:r>
              <w:t xml:space="preserve">325</w:t>
            </w:r>
          </w:p>
        </w:tc>
        <w:tc>
          <w:tcPr/>
          <w:p>
            <w:pPr>
              <w:pStyle w:val="Compact"/>
              <w:jc w:val="left"/>
            </w:pPr>
            <w:r>
              <w:t xml:space="preserve">60.576</w:t>
            </w:r>
          </w:p>
        </w:tc>
        <w:tc>
          <w:tcPr/>
          <w:p>
            <w:pPr>
              <w:pStyle w:val="Compact"/>
              <w:jc w:val="left"/>
            </w:pPr>
            <w:r>
              <w:t xml:space="preserve">1.0753e-57</w:t>
            </w:r>
          </w:p>
        </w:tc>
        <w:tc>
          <w:tcPr/>
          <w:p>
            <w:pPr>
              <w:pStyle w:val="Compact"/>
              <w:jc w:val="left"/>
            </w:pPr>
            <w:r>
              <w:t xml:space="preserve">True</w:t>
            </w:r>
          </w:p>
        </w:tc>
      </w:tr>
      <w:tr>
        <w:tc>
          <w:tcPr/>
          <w:p>
            <w:pPr>
              <w:pStyle w:val="Compact"/>
              <w:jc w:val="left"/>
            </w:pPr>
            <w:r>
              <w:t xml:space="preserve">332.33</w:t>
            </w:r>
          </w:p>
        </w:tc>
        <w:tc>
          <w:tcPr/>
          <w:p>
            <w:pPr>
              <w:pStyle w:val="Compact"/>
              <w:jc w:val="left"/>
            </w:pPr>
            <w:r>
              <w:t xml:space="preserve">8.1092e-58</w:t>
            </w:r>
          </w:p>
        </w:tc>
        <w:tc>
          <w:tcPr/>
          <w:p>
            <w:pPr>
              <w:pStyle w:val="Compact"/>
              <w:jc w:val="left"/>
            </w:pPr>
            <w:r>
              <w:t xml:space="preserve">1.8484e-57</w:t>
            </w:r>
          </w:p>
        </w:tc>
        <w:tc>
          <w:tcPr/>
          <w:p>
            <w:pPr>
              <w:pStyle w:val="Compact"/>
              <w:jc w:val="left"/>
            </w:pPr>
            <w:r>
              <w:t xml:space="preserve">False</w:t>
            </w:r>
          </w:p>
        </w:tc>
      </w:tr>
      <w:tr>
        <w:tc>
          <w:tcPr/>
          <w:p>
            <w:pPr>
              <w:pStyle w:val="Compact"/>
              <w:jc w:val="left"/>
            </w:pPr>
            <w:r>
              <w:t xml:space="preserve">340</w:t>
            </w:r>
          </w:p>
        </w:tc>
        <w:tc>
          <w:tcPr/>
          <w:p>
            <w:pPr>
              <w:pStyle w:val="Compact"/>
              <w:jc w:val="left"/>
            </w:pPr>
            <w:r>
              <w:t xml:space="preserve">-893.84</w:t>
            </w:r>
          </w:p>
        </w:tc>
        <w:tc>
          <w:tcPr/>
          <w:p>
            <w:pPr>
              <w:pStyle w:val="Compact"/>
              <w:jc w:val="left"/>
            </w:pPr>
            <w:r>
              <w:t xml:space="preserve">5.2572e-57</w:t>
            </w:r>
          </w:p>
        </w:tc>
        <w:tc>
          <w:tcPr/>
          <w:p>
            <w:pPr>
              <w:pStyle w:val="Compact"/>
              <w:jc w:val="left"/>
            </w:pPr>
            <w:r>
              <w:t xml:space="preserve">True</w:t>
            </w:r>
          </w:p>
        </w:tc>
      </w:tr>
      <w:tr>
        <w:tc>
          <w:tcPr/>
          <w:p>
            <w:pPr>
              <w:pStyle w:val="Compact"/>
              <w:jc w:val="left"/>
            </w:pPr>
            <w:r>
              <w:t xml:space="preserve">348</w:t>
            </w:r>
          </w:p>
        </w:tc>
        <w:tc>
          <w:tcPr/>
          <w:p>
            <w:pPr>
              <w:pStyle w:val="Compact"/>
              <w:jc w:val="left"/>
            </w:pPr>
            <w:r>
              <w:t xml:space="preserve">-5623.8</w:t>
            </w:r>
          </w:p>
        </w:tc>
        <w:tc>
          <w:tcPr/>
          <w:p>
            <w:pPr>
              <w:pStyle w:val="Compact"/>
              <w:jc w:val="left"/>
            </w:pPr>
            <w:r>
              <w:t xml:space="preserve">4.4607e-57</w:t>
            </w:r>
          </w:p>
        </w:tc>
        <w:tc>
          <w:tcPr/>
          <w:p>
            <w:pPr>
              <w:pStyle w:val="Compact"/>
              <w:jc w:val="left"/>
            </w:pPr>
            <w:r>
              <w:t xml:space="preserve">True</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Unexcited dT</w:t>
            </w:r>
          </w:p>
        </w:tc>
        <w:tc>
          <w:tcPr/>
          <w:p>
            <w:pPr>
              <w:pStyle w:val="Compact"/>
              <w:jc w:val="left"/>
            </w:pPr>
            <w:r>
              <w:t xml:space="preserve">Excited dT</w:t>
            </w:r>
          </w:p>
        </w:tc>
        <w:tc>
          <w:tcPr/>
          <w:p>
            <w:pPr>
              <w:pStyle w:val="Compact"/>
              <w:jc w:val="left"/>
            </w:pPr>
            <w:r>
              <w:t xml:space="preserve">Affine twin dT</w:t>
            </w:r>
          </w:p>
        </w:tc>
        <w:tc>
          <w:tcPr/>
          <w:p>
            <w:pPr>
              <w:pStyle w:val="Compact"/>
              <w:jc w:val="left"/>
            </w:pPr>
            <w:r>
              <w:t xml:space="preserve">Affine rank</w:t>
            </w:r>
          </w:p>
        </w:tc>
        <w:tc>
          <w:tcPr/>
          <w:p>
            <w:pPr>
              <w:pStyle w:val="Compact"/>
              <w:jc w:val="left"/>
            </w:pPr>
            <w:r>
              <w:t xml:space="preserve">Quadratic rank</w:t>
            </w:r>
          </w:p>
        </w:tc>
      </w:tr>
      <w:tr>
        <w:tc>
          <w:tcPr/>
          <w:p>
            <w:pPr>
              <w:pStyle w:val="Compact"/>
              <w:jc w:val="left"/>
            </w:pPr>
            <w:r>
              <w:t xml:space="preserve">0</w:t>
            </w:r>
          </w:p>
        </w:tc>
        <w:tc>
          <w:tcPr/>
          <w:p>
            <w:pPr>
              <w:pStyle w:val="Compact"/>
              <w:jc w:val="left"/>
            </w:pPr>
            <w:r>
              <w:t xml:space="preserve">0.037972</w:t>
            </w:r>
          </w:p>
        </w:tc>
        <w:tc>
          <w:tcPr/>
          <w:p>
            <w:pPr>
              <w:pStyle w:val="Compact"/>
              <w:jc w:val="left"/>
            </w:pPr>
            <w:r>
              <w:t xml:space="preserve">0</w:t>
            </w:r>
          </w:p>
        </w:tc>
        <w:tc>
          <w:tcPr/>
          <w:p>
            <w:pPr>
              <w:pStyle w:val="Compact"/>
              <w:jc w:val="left"/>
            </w:pPr>
            <w:r>
              <w:t xml:space="preserve">2</w:t>
            </w:r>
          </w:p>
        </w:tc>
        <w:tc>
          <w:tcPr/>
          <w:p>
            <w:pPr>
              <w:pStyle w:val="Compact"/>
              <w:jc w:val="left"/>
            </w:pPr>
            <w:r>
              <w:t xml:space="preserve">3</w:t>
            </w:r>
          </w:p>
        </w:tc>
      </w:tr>
    </w:tbl>
    <w:bookmarkEnd w:id="37"/>
    <w:bookmarkStart w:id="38" w:name="selected-absolute-metrics"/>
    <w:p>
      <w:pPr>
        <w:pStyle w:val="Heading2"/>
      </w:pPr>
      <w:r>
        <w:rPr>
          <w:rStyle w:val="SectionNumber"/>
        </w:rPr>
        <w:t xml:space="preserve">8.3</w:t>
      </w:r>
      <w:r>
        <w:tab/>
      </w:r>
      <w:r>
        <w:t xml:space="preserve">Selected absolute metrics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method</w:t>
            </w:r>
          </w:p>
        </w:tc>
        <w:tc>
          <w:tcPr/>
          <w:p>
            <w:pPr>
              <w:pStyle w:val="Compact"/>
              <w:jc w:val="left"/>
            </w:pPr>
            <w:r>
              <w:t xml:space="preserve">IAE</w:t>
            </w:r>
          </w:p>
        </w:tc>
        <w:tc>
          <w:tcPr/>
          <w:p>
            <w:pPr>
              <w:pStyle w:val="Compact"/>
              <w:jc w:val="left"/>
            </w:pPr>
            <w:r>
              <w:t xml:space="preserve">RMSE CC</w:t>
            </w:r>
          </w:p>
        </w:tc>
        <w:tc>
          <w:tcPr/>
          <w:p>
            <w:pPr>
              <w:pStyle w:val="Compact"/>
              <w:jc w:val="left"/>
            </w:pPr>
            <w:r>
              <w:t xml:space="preserve">Tmax</w:t>
            </w:r>
          </w:p>
        </w:tc>
        <w:tc>
          <w:tcPr/>
          <w:p>
            <w:pPr>
              <w:pStyle w:val="Compact"/>
              <w:jc w:val="left"/>
            </w:pPr>
            <w:r>
              <w:t xml:space="preserve">fallback</w:t>
            </w:r>
          </w:p>
        </w:tc>
      </w:tr>
      <w:tr>
        <w:tc>
          <w:tcPr/>
          <w:p>
            <w:pPr>
              <w:pStyle w:val="Compact"/>
              <w:jc w:val="left"/>
            </w:pPr>
            <w:r>
              <w:t xml:space="preserve">combined</w:t>
            </w:r>
          </w:p>
        </w:tc>
        <w:tc>
          <w:tcPr/>
          <w:p>
            <w:pPr>
              <w:pStyle w:val="Compact"/>
              <w:jc w:val="left"/>
            </w:pPr>
            <w:r>
              <w:t xml:space="preserve">B1 continuous</w:t>
            </w:r>
          </w:p>
        </w:tc>
        <w:tc>
          <w:tcPr/>
          <w:p>
            <w:pPr>
              <w:pStyle w:val="Compact"/>
              <w:jc w:val="left"/>
            </w:pPr>
            <w:r>
              <w:t xml:space="preserve">0.22045</w:t>
            </w:r>
          </w:p>
        </w:tc>
        <w:tc>
          <w:tcPr/>
          <w:p>
            <w:pPr>
              <w:pStyle w:val="Compact"/>
              <w:jc w:val="left"/>
            </w:pPr>
            <w:r>
              <w:t xml:space="preserve">0.13055</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B1 ukf</w:t>
            </w:r>
          </w:p>
        </w:tc>
        <w:tc>
          <w:tcPr/>
          <w:p>
            <w:pPr>
              <w:pStyle w:val="Compact"/>
              <w:jc w:val="left"/>
            </w:pPr>
            <w:r>
              <w:t xml:space="preserve">0.23055</w:t>
            </w:r>
          </w:p>
        </w:tc>
        <w:tc>
          <w:tcPr/>
          <w:p>
            <w:pPr>
              <w:pStyle w:val="Compact"/>
              <w:jc w:val="left"/>
            </w:pPr>
            <w:r>
              <w:t xml:space="preserve">0.13057</w:t>
            </w:r>
          </w:p>
        </w:tc>
        <w:tc>
          <w:tcPr/>
          <w:p>
            <w:pPr>
              <w:pStyle w:val="Compact"/>
              <w:jc w:val="left"/>
            </w:pPr>
            <w:r>
              <w:t xml:space="preserve">332.35</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 both</w:t>
            </w:r>
          </w:p>
        </w:tc>
        <w:tc>
          <w:tcPr/>
          <w:p>
            <w:pPr>
              <w:pStyle w:val="Compact"/>
              <w:jc w:val="left"/>
            </w:pPr>
            <w:r>
              <w:t xml:space="preserve">0.079746</w:t>
            </w:r>
          </w:p>
        </w:tc>
        <w:tc>
          <w:tcPr/>
          <w:p>
            <w:pPr>
              <w:pStyle w:val="Compact"/>
              <w:jc w:val="left"/>
            </w:pPr>
            <w:r>
              <w:t xml:space="preserve">0.076413</w:t>
            </w:r>
          </w:p>
        </w:tc>
        <w:tc>
          <w:tcPr/>
          <w:p>
            <w:pPr>
              <w:pStyle w:val="Compact"/>
              <w:jc w:val="left"/>
            </w:pPr>
            <w:r>
              <w:t xml:space="preserve">337.06</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 estimator</w:t>
            </w:r>
          </w:p>
        </w:tc>
        <w:tc>
          <w:tcPr/>
          <w:p>
            <w:pPr>
              <w:pStyle w:val="Compact"/>
              <w:jc w:val="left"/>
            </w:pPr>
            <w:r>
              <w:t xml:space="preserve">0.25361</w:t>
            </w:r>
          </w:p>
        </w:tc>
        <w:tc>
          <w:tcPr/>
          <w:p>
            <w:pPr>
              <w:pStyle w:val="Compact"/>
              <w:jc w:val="left"/>
            </w:pPr>
            <w:r>
              <w:t xml:space="preserve">0.077038</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B4 mhe</w:t>
            </w:r>
          </w:p>
        </w:tc>
        <w:tc>
          <w:tcPr/>
          <w:p>
            <w:pPr>
              <w:pStyle w:val="Compact"/>
              <w:jc w:val="left"/>
            </w:pPr>
            <w:r>
              <w:t xml:space="preserve">0.19172</w:t>
            </w:r>
          </w:p>
        </w:tc>
        <w:tc>
          <w:tcPr/>
          <w:p>
            <w:pPr>
              <w:pStyle w:val="Compact"/>
              <w:jc w:val="left"/>
            </w:pPr>
            <w:r>
              <w:t xml:space="preserve">0.11811</w:t>
            </w:r>
          </w:p>
        </w:tc>
        <w:tc>
          <w:tcPr/>
          <w:p>
            <w:pPr>
              <w:pStyle w:val="Compact"/>
              <w:jc w:val="left"/>
            </w:pPr>
            <w:r>
              <w:t xml:space="preserve">332.58</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P2 regret</w:t>
            </w:r>
          </w:p>
        </w:tc>
        <w:tc>
          <w:tcPr/>
          <w:p>
            <w:pPr>
              <w:pStyle w:val="Compact"/>
              <w:jc w:val="left"/>
            </w:pPr>
            <w:r>
              <w:t xml:space="preserve">0.2325</w:t>
            </w:r>
          </w:p>
        </w:tc>
        <w:tc>
          <w:tcPr/>
          <w:p>
            <w:pPr>
              <w:pStyle w:val="Compact"/>
              <w:jc w:val="left"/>
            </w:pPr>
            <w:r>
              <w:t xml:space="preserve">0.13086</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P3 adaptive regret</w:t>
            </w:r>
          </w:p>
        </w:tc>
        <w:tc>
          <w:tcPr/>
          <w:p>
            <w:pPr>
              <w:pStyle w:val="Compact"/>
              <w:jc w:val="left"/>
            </w:pPr>
            <w:r>
              <w:t xml:space="preserve">0.078689</w:t>
            </w:r>
          </w:p>
        </w:tc>
        <w:tc>
          <w:tcPr/>
          <w:p>
            <w:pPr>
              <w:pStyle w:val="Compact"/>
              <w:jc w:val="left"/>
            </w:pPr>
            <w:r>
              <w:t xml:space="preserve">0.076353</w:t>
            </w:r>
          </w:p>
        </w:tc>
        <w:tc>
          <w:tcPr/>
          <w:p>
            <w:pPr>
              <w:pStyle w:val="Compact"/>
              <w:jc w:val="left"/>
            </w:pPr>
            <w:r>
              <w:t xml:space="preserve">337.17</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B1 continuous</w:t>
            </w:r>
          </w:p>
        </w:tc>
        <w:tc>
          <w:tcPr/>
          <w:p>
            <w:pPr>
              <w:pStyle w:val="Compact"/>
              <w:jc w:val="left"/>
            </w:pPr>
            <w:r>
              <w:t xml:space="preserve">0.061569</w:t>
            </w:r>
          </w:p>
        </w:tc>
        <w:tc>
          <w:tcPr/>
          <w:p>
            <w:pPr>
              <w:pStyle w:val="Compact"/>
              <w:jc w:val="left"/>
            </w:pPr>
            <w:r>
              <w:t xml:space="preserve">0.12231</w:t>
            </w:r>
          </w:p>
        </w:tc>
        <w:tc>
          <w:tcPr/>
          <w:p>
            <w:pPr>
              <w:pStyle w:val="Compact"/>
              <w:jc w:val="left"/>
            </w:pPr>
            <w:r>
              <w:t xml:space="preserve">332.61</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B1 ukf</w:t>
            </w:r>
          </w:p>
        </w:tc>
        <w:tc>
          <w:tcPr/>
          <w:p>
            <w:pPr>
              <w:pStyle w:val="Compact"/>
              <w:jc w:val="left"/>
            </w:pPr>
            <w:r>
              <w:t xml:space="preserve">0.060387</w:t>
            </w:r>
          </w:p>
        </w:tc>
        <w:tc>
          <w:tcPr/>
          <w:p>
            <w:pPr>
              <w:pStyle w:val="Compact"/>
              <w:jc w:val="left"/>
            </w:pPr>
            <w:r>
              <w:t xml:space="preserve">0.12225</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B2 both</w:t>
            </w:r>
          </w:p>
        </w:tc>
        <w:tc>
          <w:tcPr/>
          <w:p>
            <w:pPr>
              <w:pStyle w:val="Compact"/>
              <w:jc w:val="left"/>
            </w:pPr>
            <w:r>
              <w:t xml:space="preserve">0.061797</w:t>
            </w:r>
          </w:p>
        </w:tc>
        <w:tc>
          <w:tcPr/>
          <w:p>
            <w:pPr>
              <w:pStyle w:val="Compact"/>
              <w:jc w:val="left"/>
            </w:pPr>
            <w:r>
              <w:t xml:space="preserve">0.12223</w:t>
            </w:r>
          </w:p>
        </w:tc>
        <w:tc>
          <w:tcPr/>
          <w:p>
            <w:pPr>
              <w:pStyle w:val="Compact"/>
              <w:jc w:val="left"/>
            </w:pPr>
            <w:r>
              <w:t xml:space="preserve">332.93</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B2 estimator</w:t>
            </w:r>
          </w:p>
        </w:tc>
        <w:tc>
          <w:tcPr/>
          <w:p>
            <w:pPr>
              <w:pStyle w:val="Compact"/>
              <w:jc w:val="left"/>
            </w:pPr>
            <w:r>
              <w:t xml:space="preserve">0.060544</w:t>
            </w:r>
          </w:p>
        </w:tc>
        <w:tc>
          <w:tcPr/>
          <w:p>
            <w:pPr>
              <w:pStyle w:val="Compact"/>
              <w:jc w:val="left"/>
            </w:pPr>
            <w:r>
              <w:t xml:space="preserve">0.12204</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B4 mhe</w:t>
            </w:r>
          </w:p>
        </w:tc>
        <w:tc>
          <w:tcPr/>
          <w:p>
            <w:pPr>
              <w:pStyle w:val="Compact"/>
              <w:jc w:val="left"/>
            </w:pPr>
            <w:r>
              <w:t xml:space="preserve">0.060212</w:t>
            </w:r>
          </w:p>
        </w:tc>
        <w:tc>
          <w:tcPr/>
          <w:p>
            <w:pPr>
              <w:pStyle w:val="Compact"/>
              <w:jc w:val="left"/>
            </w:pPr>
            <w:r>
              <w:t xml:space="preserve">0.12274</w:t>
            </w:r>
          </w:p>
        </w:tc>
        <w:tc>
          <w:tcPr/>
          <w:p>
            <w:pPr>
              <w:pStyle w:val="Compact"/>
              <w:jc w:val="left"/>
            </w:pPr>
            <w:r>
              <w:t xml:space="preserve">332.43</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P2 regret</w:t>
            </w:r>
          </w:p>
        </w:tc>
        <w:tc>
          <w:tcPr/>
          <w:p>
            <w:pPr>
              <w:pStyle w:val="Compact"/>
              <w:jc w:val="left"/>
            </w:pPr>
            <w:r>
              <w:t xml:space="preserve">0.059559</w:t>
            </w:r>
          </w:p>
        </w:tc>
        <w:tc>
          <w:tcPr/>
          <w:p>
            <w:pPr>
              <w:pStyle w:val="Compact"/>
              <w:jc w:val="left"/>
            </w:pPr>
            <w:r>
              <w:t xml:space="preserve">0.12216</w:t>
            </w:r>
          </w:p>
        </w:tc>
        <w:tc>
          <w:tcPr/>
          <w:p>
            <w:pPr>
              <w:pStyle w:val="Compact"/>
              <w:jc w:val="left"/>
            </w:pPr>
            <w:r>
              <w:t xml:space="preserve">332.37</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P3 adaptive regret</w:t>
            </w:r>
          </w:p>
        </w:tc>
        <w:tc>
          <w:tcPr/>
          <w:p>
            <w:pPr>
              <w:pStyle w:val="Compact"/>
              <w:jc w:val="left"/>
            </w:pPr>
            <w:r>
              <w:t xml:space="preserve">0.062655</w:t>
            </w:r>
          </w:p>
        </w:tc>
        <w:tc>
          <w:tcPr/>
          <w:p>
            <w:pPr>
              <w:pStyle w:val="Compact"/>
              <w:jc w:val="left"/>
            </w:pPr>
            <w:r>
              <w:t xml:space="preserve">0.12219</w:t>
            </w:r>
          </w:p>
        </w:tc>
        <w:tc>
          <w:tcPr/>
          <w:p>
            <w:pPr>
              <w:pStyle w:val="Compact"/>
              <w:jc w:val="left"/>
            </w:pPr>
            <w:r>
              <w:t xml:space="preserve">332.89</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 continuous</w:t>
            </w:r>
          </w:p>
        </w:tc>
        <w:tc>
          <w:tcPr/>
          <w:p>
            <w:pPr>
              <w:pStyle w:val="Compact"/>
              <w:jc w:val="left"/>
            </w:pPr>
            <w:r>
              <w:t xml:space="preserve">0.16428</w:t>
            </w:r>
          </w:p>
        </w:tc>
        <w:tc>
          <w:tcPr/>
          <w:p>
            <w:pPr>
              <w:pStyle w:val="Compact"/>
              <w:jc w:val="left"/>
            </w:pPr>
            <w:r>
              <w:t xml:space="preserve">0.081211</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 ukf</w:t>
            </w:r>
          </w:p>
        </w:tc>
        <w:tc>
          <w:tcPr/>
          <w:p>
            <w:pPr>
              <w:pStyle w:val="Compact"/>
              <w:jc w:val="left"/>
            </w:pPr>
            <w:r>
              <w:t xml:space="preserve">0.19263</w:t>
            </w:r>
          </w:p>
        </w:tc>
        <w:tc>
          <w:tcPr/>
          <w:p>
            <w:pPr>
              <w:pStyle w:val="Compact"/>
              <w:jc w:val="left"/>
            </w:pPr>
            <w:r>
              <w:t xml:space="preserve">0.083904</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 both</w:t>
            </w:r>
          </w:p>
        </w:tc>
        <w:tc>
          <w:tcPr/>
          <w:p>
            <w:pPr>
              <w:pStyle w:val="Compact"/>
              <w:jc w:val="left"/>
            </w:pPr>
            <w:r>
              <w:t xml:space="preserve">0.044861</w:t>
            </w:r>
          </w:p>
        </w:tc>
        <w:tc>
          <w:tcPr/>
          <w:p>
            <w:pPr>
              <w:pStyle w:val="Compact"/>
              <w:jc w:val="left"/>
            </w:pPr>
            <w:r>
              <w:t xml:space="preserve">0.015328</w:t>
            </w:r>
          </w:p>
        </w:tc>
        <w:tc>
          <w:tcPr/>
          <w:p>
            <w:pPr>
              <w:pStyle w:val="Compact"/>
              <w:jc w:val="left"/>
            </w:pPr>
            <w:r>
              <w:t xml:space="preserve">333.99</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 estimator</w:t>
            </w:r>
          </w:p>
        </w:tc>
        <w:tc>
          <w:tcPr/>
          <w:p>
            <w:pPr>
              <w:pStyle w:val="Compact"/>
              <w:jc w:val="left"/>
            </w:pPr>
            <w:r>
              <w:t xml:space="preserve">0.23438</w:t>
            </w:r>
          </w:p>
        </w:tc>
        <w:tc>
          <w:tcPr/>
          <w:p>
            <w:pPr>
              <w:pStyle w:val="Compact"/>
              <w:jc w:val="left"/>
            </w:pPr>
            <w:r>
              <w:t xml:space="preserve">0.016884</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B4 mhe</w:t>
            </w:r>
          </w:p>
        </w:tc>
        <w:tc>
          <w:tcPr/>
          <w:p>
            <w:pPr>
              <w:pStyle w:val="Compact"/>
              <w:jc w:val="left"/>
            </w:pPr>
            <w:r>
              <w:t xml:space="preserve">0.17914</w:t>
            </w:r>
          </w:p>
        </w:tc>
        <w:tc>
          <w:tcPr/>
          <w:p>
            <w:pPr>
              <w:pStyle w:val="Compact"/>
              <w:jc w:val="left"/>
            </w:pPr>
            <w:r>
              <w:t xml:space="preserve">0.073232</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P2 regret</w:t>
            </w:r>
          </w:p>
        </w:tc>
        <w:tc>
          <w:tcPr/>
          <w:p>
            <w:pPr>
              <w:pStyle w:val="Compact"/>
              <w:jc w:val="left"/>
            </w:pPr>
            <w:r>
              <w:t xml:space="preserve">0.1836</w:t>
            </w:r>
          </w:p>
        </w:tc>
        <w:tc>
          <w:tcPr/>
          <w:p>
            <w:pPr>
              <w:pStyle w:val="Compact"/>
              <w:jc w:val="left"/>
            </w:pPr>
            <w:r>
              <w:t xml:space="preserve">0.083579</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P3 adaptive regret</w:t>
            </w:r>
          </w:p>
        </w:tc>
        <w:tc>
          <w:tcPr/>
          <w:p>
            <w:pPr>
              <w:pStyle w:val="Compact"/>
              <w:jc w:val="left"/>
            </w:pPr>
            <w:r>
              <w:t xml:space="preserve">0.043723</w:t>
            </w:r>
          </w:p>
        </w:tc>
        <w:tc>
          <w:tcPr/>
          <w:p>
            <w:pPr>
              <w:pStyle w:val="Compact"/>
              <w:jc w:val="left"/>
            </w:pPr>
            <w:r>
              <w:t xml:space="preserve">0.015313</w:t>
            </w:r>
          </w:p>
        </w:tc>
        <w:tc>
          <w:tcPr/>
          <w:p>
            <w:pPr>
              <w:pStyle w:val="Compact"/>
              <w:jc w:val="left"/>
            </w:pPr>
            <w:r>
              <w:t xml:space="preserve">333.85</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 continuous</w:t>
            </w:r>
          </w:p>
        </w:tc>
        <w:tc>
          <w:tcPr/>
          <w:p>
            <w:pPr>
              <w:pStyle w:val="Compact"/>
              <w:jc w:val="left"/>
            </w:pPr>
            <w:r>
              <w:t xml:space="preserve">0.0032395</w:t>
            </w:r>
          </w:p>
        </w:tc>
        <w:tc>
          <w:tcPr/>
          <w:p>
            <w:pPr>
              <w:pStyle w:val="Compact"/>
              <w:jc w:val="left"/>
            </w:pPr>
            <w:r>
              <w:t xml:space="preserve">0.011244</w:t>
            </w:r>
          </w:p>
        </w:tc>
        <w:tc>
          <w:tcPr/>
          <w:p>
            <w:pPr>
              <w:pStyle w:val="Compact"/>
              <w:jc w:val="left"/>
            </w:pPr>
            <w:r>
              <w:t xml:space="preserve">332.61</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 ukf</w:t>
            </w:r>
          </w:p>
        </w:tc>
        <w:tc>
          <w:tcPr/>
          <w:p>
            <w:pPr>
              <w:pStyle w:val="Compact"/>
              <w:jc w:val="left"/>
            </w:pPr>
            <w:r>
              <w:t xml:space="preserve">0.0016471</w:t>
            </w:r>
          </w:p>
        </w:tc>
        <w:tc>
          <w:tcPr/>
          <w:p>
            <w:pPr>
              <w:pStyle w:val="Compact"/>
              <w:jc w:val="left"/>
            </w:pPr>
            <w:r>
              <w:t xml:space="preserve">0.01124</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 both</w:t>
            </w:r>
          </w:p>
        </w:tc>
        <w:tc>
          <w:tcPr/>
          <w:p>
            <w:pPr>
              <w:pStyle w:val="Compact"/>
              <w:jc w:val="left"/>
            </w:pPr>
            <w:r>
              <w:t xml:space="preserve">0.0075155</w:t>
            </w:r>
          </w:p>
        </w:tc>
        <w:tc>
          <w:tcPr/>
          <w:p>
            <w:pPr>
              <w:pStyle w:val="Compact"/>
              <w:jc w:val="left"/>
            </w:pPr>
            <w:r>
              <w:t xml:space="preserve">0.01487</w:t>
            </w:r>
          </w:p>
        </w:tc>
        <w:tc>
          <w:tcPr/>
          <w:p>
            <w:pPr>
              <w:pStyle w:val="Compact"/>
              <w:jc w:val="left"/>
            </w:pPr>
            <w:r>
              <w:t xml:space="preserve">332.93</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 estimator</w:t>
            </w:r>
          </w:p>
        </w:tc>
        <w:tc>
          <w:tcPr/>
          <w:p>
            <w:pPr>
              <w:pStyle w:val="Compact"/>
              <w:jc w:val="left"/>
            </w:pPr>
            <w:r>
              <w:t xml:space="preserve">0.0014342</w:t>
            </w:r>
          </w:p>
        </w:tc>
        <w:tc>
          <w:tcPr/>
          <w:p>
            <w:pPr>
              <w:pStyle w:val="Compact"/>
              <w:jc w:val="left"/>
            </w:pPr>
            <w:r>
              <w:t xml:space="preserve">0.014862</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B4 mhe</w:t>
            </w:r>
          </w:p>
        </w:tc>
        <w:tc>
          <w:tcPr/>
          <w:p>
            <w:pPr>
              <w:pStyle w:val="Compact"/>
              <w:jc w:val="left"/>
            </w:pPr>
            <w:r>
              <w:t xml:space="preserve">0.0016341</w:t>
            </w:r>
          </w:p>
        </w:tc>
        <w:tc>
          <w:tcPr/>
          <w:p>
            <w:pPr>
              <w:pStyle w:val="Compact"/>
              <w:jc w:val="left"/>
            </w:pPr>
            <w:r>
              <w:t xml:space="preserve">0.012091</w:t>
            </w:r>
          </w:p>
        </w:tc>
        <w:tc>
          <w:tcPr/>
          <w:p>
            <w:pPr>
              <w:pStyle w:val="Compact"/>
              <w:jc w:val="left"/>
            </w:pPr>
            <w:r>
              <w:t xml:space="preserve">332.43</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P2 regret</w:t>
            </w:r>
          </w:p>
        </w:tc>
        <w:tc>
          <w:tcPr/>
          <w:p>
            <w:pPr>
              <w:pStyle w:val="Compact"/>
              <w:jc w:val="left"/>
            </w:pPr>
            <w:r>
              <w:t xml:space="preserve">0.0014446</w:t>
            </w:r>
          </w:p>
        </w:tc>
        <w:tc>
          <w:tcPr/>
          <w:p>
            <w:pPr>
              <w:pStyle w:val="Compact"/>
              <w:jc w:val="left"/>
            </w:pPr>
            <w:r>
              <w:t xml:space="preserve">0.011249</w:t>
            </w:r>
          </w:p>
        </w:tc>
        <w:tc>
          <w:tcPr/>
          <w:p>
            <w:pPr>
              <w:pStyle w:val="Compact"/>
              <w:jc w:val="left"/>
            </w:pPr>
            <w:r>
              <w:t xml:space="preserve">332.37</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P3 adaptive regret</w:t>
            </w:r>
          </w:p>
        </w:tc>
        <w:tc>
          <w:tcPr/>
          <w:p>
            <w:pPr>
              <w:pStyle w:val="Compact"/>
              <w:jc w:val="left"/>
            </w:pPr>
            <w:r>
              <w:t xml:space="preserve">0.006065</w:t>
            </w:r>
          </w:p>
        </w:tc>
        <w:tc>
          <w:tcPr/>
          <w:p>
            <w:pPr>
              <w:pStyle w:val="Compact"/>
              <w:jc w:val="left"/>
            </w:pPr>
            <w:r>
              <w:t xml:space="preserve">0.014836</w:t>
            </w:r>
          </w:p>
        </w:tc>
        <w:tc>
          <w:tcPr/>
          <w:p>
            <w:pPr>
              <w:pStyle w:val="Compact"/>
              <w:jc w:val="left"/>
            </w:pPr>
            <w:r>
              <w:t xml:space="preserve">332.89</w:t>
            </w:r>
          </w:p>
        </w:tc>
        <w:tc>
          <w:tcPr/>
          <w:p>
            <w:pPr>
              <w:pStyle w:val="Compact"/>
              <w:jc w:val="left"/>
            </w:pPr>
            <w:r>
              <w:t xml:space="preserve">0</w:t>
            </w:r>
          </w:p>
        </w:tc>
      </w:tr>
    </w:tbl>
    <w:bookmarkEnd w:id="38"/>
    <w:bookmarkStart w:id="39" w:name="independent-confirmation"/>
    <w:p>
      <w:pPr>
        <w:pStyle w:val="Heading2"/>
      </w:pPr>
      <w:r>
        <w:rPr>
          <w:rStyle w:val="SectionNumber"/>
        </w:rPr>
        <w:t xml:space="preserve">8.4</w:t>
      </w:r>
      <w:r>
        <w:tab/>
      </w:r>
      <w:r>
        <w:t xml:space="preserve">Independent confirmation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Candidate</w:t>
            </w:r>
          </w:p>
        </w:tc>
        <w:tc>
          <w:tcPr/>
          <w:p>
            <w:pPr>
              <w:pStyle w:val="Compact"/>
              <w:jc w:val="left"/>
            </w:pPr>
            <w:r>
              <w:t xml:space="preserve">Baseline</w:t>
            </w:r>
          </w:p>
        </w:tc>
        <w:tc>
          <w:tcPr/>
          <w:p>
            <w:pPr>
              <w:pStyle w:val="Compact"/>
              <w:jc w:val="left"/>
            </w:pPr>
            <w:r>
              <w:t xml:space="preserve">Gain (%)</w:t>
            </w:r>
          </w:p>
        </w:tc>
        <w:tc>
          <w:tcPr/>
          <w:p>
            <w:pPr>
              <w:pStyle w:val="Compact"/>
              <w:jc w:val="left"/>
            </w:pPr>
            <w:r>
              <w:t xml:space="preserve">CI lower</w:t>
            </w:r>
          </w:p>
        </w:tc>
        <w:tc>
          <w:tcPr/>
          <w:p>
            <w:pPr>
              <w:pStyle w:val="Compact"/>
              <w:jc w:val="left"/>
            </w:pPr>
            <w:r>
              <w:t xml:space="preserve">CI upper</w:t>
            </w:r>
          </w:p>
        </w:tc>
      </w:tr>
      <w:tr>
        <w:tc>
          <w:tcPr/>
          <w:p>
            <w:pPr>
              <w:pStyle w:val="Compact"/>
              <w:jc w:val="left"/>
            </w:pPr>
            <w:r>
              <w:t xml:space="preserve">P2 regret</w:t>
            </w:r>
          </w:p>
        </w:tc>
        <w:tc>
          <w:tcPr/>
          <w:p>
            <w:pPr>
              <w:pStyle w:val="Compact"/>
              <w:jc w:val="left"/>
            </w:pPr>
            <w:r>
              <w:t xml:space="preserve">B1 ukf</w:t>
            </w:r>
          </w:p>
        </w:tc>
        <w:tc>
          <w:tcPr/>
          <w:p>
            <w:pPr>
              <w:pStyle w:val="Compact"/>
              <w:jc w:val="left"/>
            </w:pPr>
            <w:r>
              <w:t xml:space="preserve">1.6012</w:t>
            </w:r>
          </w:p>
        </w:tc>
        <w:tc>
          <w:tcPr/>
          <w:p>
            <w:pPr>
              <w:pStyle w:val="Compact"/>
              <w:jc w:val="left"/>
            </w:pPr>
            <w:r>
              <w:t xml:space="preserve">-0.0009961</w:t>
            </w:r>
          </w:p>
        </w:tc>
        <w:tc>
          <w:tcPr/>
          <w:p>
            <w:pPr>
              <w:pStyle w:val="Compact"/>
              <w:jc w:val="left"/>
            </w:pPr>
            <w:r>
              <w:t xml:space="preserve">0.00542</w:t>
            </w:r>
          </w:p>
        </w:tc>
      </w:tr>
      <w:tr>
        <w:tc>
          <w:tcPr/>
          <w:p>
            <w:pPr>
              <w:pStyle w:val="Compact"/>
              <w:jc w:val="left"/>
            </w:pPr>
            <w:r>
              <w:t xml:space="preserve">P3 adaptive regret</w:t>
            </w:r>
          </w:p>
        </w:tc>
        <w:tc>
          <w:tcPr/>
          <w:p>
            <w:pPr>
              <w:pStyle w:val="Compact"/>
              <w:jc w:val="left"/>
            </w:pPr>
            <w:r>
              <w:t xml:space="preserve">B2 both</w:t>
            </w:r>
          </w:p>
        </w:tc>
        <w:tc>
          <w:tcPr/>
          <w:p>
            <w:pPr>
              <w:pStyle w:val="Compact"/>
              <w:jc w:val="left"/>
            </w:pPr>
            <w:r>
              <w:t xml:space="preserve">0.39846</w:t>
            </w:r>
          </w:p>
        </w:tc>
        <w:tc>
          <w:tcPr/>
          <w:p>
            <w:pPr>
              <w:pStyle w:val="Compact"/>
              <w:jc w:val="left"/>
            </w:pPr>
            <w:r>
              <w:t xml:space="preserve">-0.0004547</w:t>
            </w:r>
          </w:p>
        </w:tc>
        <w:tc>
          <w:tcPr/>
          <w:p>
            <w:pPr>
              <w:pStyle w:val="Compact"/>
              <w:jc w:val="left"/>
            </w:pPr>
            <w:r>
              <w:t xml:space="preserve">0.0010219</w:t>
            </w:r>
          </w:p>
        </w:tc>
      </w:tr>
      <w:tr>
        <w:tc>
          <w:tcPr/>
          <w:p>
            <w:pPr>
              <w:pStyle w:val="Compact"/>
              <w:jc w:val="left"/>
            </w:pPr>
            <w:r>
              <w:t xml:space="preserve">B2 both</w:t>
            </w:r>
          </w:p>
        </w:tc>
        <w:tc>
          <w:tcPr/>
          <w:p>
            <w:pPr>
              <w:pStyle w:val="Compact"/>
              <w:jc w:val="left"/>
            </w:pPr>
            <w:r>
              <w:t xml:space="preserve">B2 estimator</w:t>
            </w:r>
          </w:p>
        </w:tc>
        <w:tc>
          <w:tcPr/>
          <w:p>
            <w:pPr>
              <w:pStyle w:val="Compact"/>
              <w:jc w:val="left"/>
            </w:pPr>
            <w:r>
              <w:t xml:space="preserve">59.47</w:t>
            </w:r>
          </w:p>
        </w:tc>
        <w:tc>
          <w:tcPr/>
          <w:p>
            <w:pPr>
              <w:pStyle w:val="Compact"/>
              <w:jc w:val="left"/>
            </w:pPr>
            <w:r>
              <w:t xml:space="preserve">0.087979</w:t>
            </w:r>
          </w:p>
        </w:tc>
        <w:tc>
          <w:tcPr/>
          <w:p>
            <w:pPr>
              <w:pStyle w:val="Compact"/>
              <w:jc w:val="left"/>
            </w:pPr>
            <w:r>
              <w:t xml:space="preserve">0.093852</w:t>
            </w:r>
          </w:p>
        </w:tc>
      </w:tr>
      <w:tr>
        <w:tc>
          <w:tcPr/>
          <w:p>
            <w:pPr>
              <w:pStyle w:val="Compact"/>
              <w:jc w:val="left"/>
            </w:pPr>
            <w:r>
              <w:t xml:space="preserve">B2 estimator</w:t>
            </w:r>
          </w:p>
        </w:tc>
        <w:tc>
          <w:tcPr/>
          <w:p>
            <w:pPr>
              <w:pStyle w:val="Compact"/>
              <w:jc w:val="left"/>
            </w:pPr>
            <w:r>
              <w:t xml:space="preserve">B1 ukf</w:t>
            </w:r>
          </w:p>
        </w:tc>
        <w:tc>
          <w:tcPr/>
          <w:p>
            <w:pPr>
              <w:pStyle w:val="Compact"/>
              <w:jc w:val="left"/>
            </w:pPr>
            <w:r>
              <w:t xml:space="preserve">-10.663</w:t>
            </w:r>
          </w:p>
        </w:tc>
        <w:tc>
          <w:tcPr/>
          <w:p>
            <w:pPr>
              <w:pStyle w:val="Compact"/>
              <w:jc w:val="left"/>
            </w:pPr>
            <w:r>
              <w:t xml:space="preserve">-0.018306</w:t>
            </w:r>
          </w:p>
        </w:tc>
        <w:tc>
          <w:tcPr/>
          <w:p>
            <w:pPr>
              <w:pStyle w:val="Compact"/>
              <w:jc w:val="left"/>
            </w:pPr>
            <w:r>
              <w:t xml:space="preserve">-0.011301</w:t>
            </w:r>
          </w:p>
        </w:tc>
      </w:tr>
      <w:tr>
        <w:tc>
          <w:tcPr/>
          <w:p>
            <w:pPr>
              <w:pStyle w:val="Compact"/>
              <w:jc w:val="left"/>
            </w:pPr>
            <w:r>
              <w:t xml:space="preserve">B2 both</w:t>
            </w:r>
          </w:p>
        </w:tc>
        <w:tc>
          <w:tcPr/>
          <w:p>
            <w:pPr>
              <w:pStyle w:val="Compact"/>
              <w:jc w:val="left"/>
            </w:pPr>
            <w:r>
              <w:t xml:space="preserve">B1 ukf</w:t>
            </w:r>
          </w:p>
        </w:tc>
        <w:tc>
          <w:tcPr/>
          <w:p>
            <w:pPr>
              <w:pStyle w:val="Compact"/>
              <w:jc w:val="left"/>
            </w:pPr>
            <w:r>
              <w:t xml:space="preserve">55.148</w:t>
            </w:r>
          </w:p>
        </w:tc>
        <w:tc>
          <w:tcPr/>
          <w:p>
            <w:pPr>
              <w:pStyle w:val="Compact"/>
              <w:jc w:val="left"/>
            </w:pPr>
            <w:r>
              <w:t xml:space="preserve">0.07268</w:t>
            </w:r>
          </w:p>
        </w:tc>
        <w:tc>
          <w:tcPr/>
          <w:p>
            <w:pPr>
              <w:pStyle w:val="Compact"/>
              <w:jc w:val="left"/>
            </w:pPr>
            <w:r>
              <w:t xml:space="preserve">0.079613</w:t>
            </w:r>
          </w:p>
        </w:tc>
      </w:tr>
      <w:tr>
        <w:tc>
          <w:tcPr/>
          <w:p>
            <w:pPr>
              <w:pStyle w:val="Compact"/>
              <w:jc w:val="left"/>
            </w:pPr>
            <w:r>
              <w:t xml:space="preserve">P3 adaptive regret</w:t>
            </w:r>
          </w:p>
        </w:tc>
        <w:tc>
          <w:tcPr/>
          <w:p>
            <w:pPr>
              <w:pStyle w:val="Compact"/>
              <w:jc w:val="left"/>
            </w:pPr>
            <w:r>
              <w:t xml:space="preserve">B1 ukf</w:t>
            </w:r>
          </w:p>
        </w:tc>
        <w:tc>
          <w:tcPr/>
          <w:p>
            <w:pPr>
              <w:pStyle w:val="Compact"/>
              <w:jc w:val="left"/>
            </w:pPr>
            <w:r>
              <w:t xml:space="preserve">55.327</w:t>
            </w:r>
          </w:p>
        </w:tc>
        <w:tc>
          <w:tcPr/>
          <w:p>
            <w:pPr>
              <w:pStyle w:val="Compact"/>
              <w:jc w:val="left"/>
            </w:pPr>
            <w:r>
              <w:t xml:space="preserve">0.07309</w:t>
            </w:r>
          </w:p>
        </w:tc>
        <w:tc>
          <w:tcPr/>
          <w:p>
            <w:pPr>
              <w:pStyle w:val="Compact"/>
              <w:jc w:val="left"/>
            </w:pPr>
            <w:r>
              <w:t xml:space="preserve">0.07969</w:t>
            </w:r>
          </w:p>
        </w:tc>
      </w:tr>
    </w:tbl>
    <w:bookmarkEnd w:id="39"/>
    <w:bookmarkStart w:id="40" w:name="adverse-outcomes-retained"/>
    <w:p>
      <w:pPr>
        <w:pStyle w:val="Heading2"/>
      </w:pPr>
      <w:r>
        <w:rPr>
          <w:rStyle w:val="SectionNumber"/>
        </w:rPr>
        <w:t xml:space="preserve">8.5</w:t>
      </w:r>
      <w:r>
        <w:tab/>
      </w:r>
      <w:r>
        <w:t xml:space="preserve">Adverse outcomes retained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Candidate</w:t>
            </w:r>
          </w:p>
        </w:tc>
        <w:tc>
          <w:tcPr/>
          <w:p>
            <w:pPr>
              <w:pStyle w:val="Compact"/>
              <w:jc w:val="left"/>
            </w:pPr>
            <w:r>
              <w:t xml:space="preserve">Gain (%)</w:t>
            </w:r>
          </w:p>
        </w:tc>
        <w:tc>
          <w:tcPr/>
          <w:p>
            <w:pPr>
              <w:pStyle w:val="Compact"/>
              <w:jc w:val="left"/>
            </w:pPr>
            <w:r>
              <w:t xml:space="preserve">CI lower</w:t>
            </w:r>
          </w:p>
        </w:tc>
        <w:tc>
          <w:tcPr/>
          <w:p>
            <w:pPr>
              <w:pStyle w:val="Compact"/>
              <w:jc w:val="left"/>
            </w:pPr>
            <w:r>
              <w:t xml:space="preserve">CI upper</w:t>
            </w:r>
          </w:p>
        </w:tc>
      </w:tr>
      <w:tr>
        <w:tc>
          <w:tcPr/>
          <w:p>
            <w:pPr>
              <w:pStyle w:val="Compact"/>
              <w:jc w:val="left"/>
            </w:pPr>
            <w:r>
              <w:t xml:space="preserve">correlated noise</w:t>
            </w:r>
          </w:p>
        </w:tc>
        <w:tc>
          <w:tcPr/>
          <w:p>
            <w:pPr>
              <w:pStyle w:val="Compact"/>
              <w:jc w:val="left"/>
            </w:pPr>
            <w:r>
              <w:t xml:space="preserve">B0 PI</w:t>
            </w:r>
          </w:p>
        </w:tc>
        <w:tc>
          <w:tcPr/>
          <w:p>
            <w:pPr>
              <w:pStyle w:val="Compact"/>
              <w:jc w:val="left"/>
            </w:pPr>
            <w:r>
              <w:t xml:space="preserve">-592.59</w:t>
            </w:r>
          </w:p>
        </w:tc>
        <w:tc>
          <w:tcPr/>
          <w:p>
            <w:pPr>
              <w:pStyle w:val="Compact"/>
              <w:jc w:val="left"/>
            </w:pPr>
            <w:r>
              <w:t xml:space="preserve">-0.012046</w:t>
            </w:r>
          </w:p>
        </w:tc>
        <w:tc>
          <w:tcPr/>
          <w:p>
            <w:pPr>
              <w:pStyle w:val="Compact"/>
              <w:jc w:val="left"/>
            </w:pPr>
            <w:r>
              <w:t xml:space="preserve">-0.0090047</w:t>
            </w:r>
          </w:p>
        </w:tc>
      </w:tr>
      <w:tr>
        <w:tc>
          <w:tcPr/>
          <w:p>
            <w:pPr>
              <w:pStyle w:val="Compact"/>
              <w:jc w:val="left"/>
            </w:pPr>
            <w:r>
              <w:t xml:space="preserve">saturation</w:t>
            </w:r>
          </w:p>
        </w:tc>
        <w:tc>
          <w:tcPr/>
          <w:p>
            <w:pPr>
              <w:pStyle w:val="Compact"/>
              <w:jc w:val="left"/>
            </w:pPr>
            <w:r>
              <w:t xml:space="preserve">P5 noisy</w:t>
            </w:r>
          </w:p>
        </w:tc>
        <w:tc>
          <w:tcPr/>
          <w:p>
            <w:pPr>
              <w:pStyle w:val="Compact"/>
              <w:jc w:val="left"/>
            </w:pPr>
            <w:r>
              <w:t xml:space="preserve">-453.52</w:t>
            </w:r>
          </w:p>
        </w:tc>
        <w:tc>
          <w:tcPr/>
          <w:p>
            <w:pPr>
              <w:pStyle w:val="Compact"/>
              <w:jc w:val="left"/>
            </w:pPr>
            <w:r>
              <w:t xml:space="preserve">-0.011561</w:t>
            </w:r>
          </w:p>
        </w:tc>
        <w:tc>
          <w:tcPr/>
          <w:p>
            <w:pPr>
              <w:pStyle w:val="Compact"/>
              <w:jc w:val="left"/>
            </w:pPr>
            <w:r>
              <w:t xml:space="preserve">-0.0035668</w:t>
            </w:r>
          </w:p>
        </w:tc>
      </w:tr>
      <w:tr>
        <w:tc>
          <w:tcPr/>
          <w:p>
            <w:pPr>
              <w:pStyle w:val="Compact"/>
              <w:jc w:val="left"/>
            </w:pPr>
            <w:r>
              <w:t xml:space="preserve">saturation</w:t>
            </w:r>
          </w:p>
        </w:tc>
        <w:tc>
          <w:tcPr/>
          <w:p>
            <w:pPr>
              <w:pStyle w:val="Compact"/>
              <w:jc w:val="left"/>
            </w:pPr>
            <w:r>
              <w:t xml:space="preserve">B2 both</w:t>
            </w:r>
          </w:p>
        </w:tc>
        <w:tc>
          <w:tcPr/>
          <w:p>
            <w:pPr>
              <w:pStyle w:val="Compact"/>
              <w:jc w:val="left"/>
            </w:pPr>
            <w:r>
              <w:t xml:space="preserve">-414.81</w:t>
            </w:r>
          </w:p>
        </w:tc>
        <w:tc>
          <w:tcPr/>
          <w:p>
            <w:pPr>
              <w:pStyle w:val="Compact"/>
              <w:jc w:val="left"/>
            </w:pPr>
            <w:r>
              <w:t xml:space="preserve">-0.0099462</w:t>
            </w:r>
          </w:p>
        </w:tc>
        <w:tc>
          <w:tcPr/>
          <w:p>
            <w:pPr>
              <w:pStyle w:val="Compact"/>
              <w:jc w:val="left"/>
            </w:pPr>
            <w:r>
              <w:t xml:space="preserve">-0.00387</w:t>
            </w:r>
          </w:p>
        </w:tc>
      </w:tr>
      <w:tr>
        <w:tc>
          <w:tcPr/>
          <w:p>
            <w:pPr>
              <w:pStyle w:val="Compact"/>
              <w:jc w:val="left"/>
            </w:pPr>
            <w:r>
              <w:t xml:space="preserve">correlated noise</w:t>
            </w:r>
          </w:p>
        </w:tc>
        <w:tc>
          <w:tcPr/>
          <w:p>
            <w:pPr>
              <w:pStyle w:val="Compact"/>
              <w:jc w:val="left"/>
            </w:pPr>
            <w:r>
              <w:t xml:space="preserve">B2 both</w:t>
            </w:r>
          </w:p>
        </w:tc>
        <w:tc>
          <w:tcPr/>
          <w:p>
            <w:pPr>
              <w:pStyle w:val="Compact"/>
              <w:jc w:val="left"/>
            </w:pPr>
            <w:r>
              <w:t xml:space="preserve">-398.96</w:t>
            </w:r>
          </w:p>
        </w:tc>
        <w:tc>
          <w:tcPr/>
          <w:p>
            <w:pPr>
              <w:pStyle w:val="Compact"/>
              <w:jc w:val="left"/>
            </w:pPr>
            <w:r>
              <w:t xml:space="preserve">-0.010116</w:t>
            </w:r>
          </w:p>
        </w:tc>
        <w:tc>
          <w:tcPr/>
          <w:p>
            <w:pPr>
              <w:pStyle w:val="Compact"/>
              <w:jc w:val="left"/>
            </w:pPr>
            <w:r>
              <w:t xml:space="preserve">-0.0040413</w:t>
            </w:r>
          </w:p>
        </w:tc>
      </w:tr>
      <w:tr>
        <w:tc>
          <w:tcPr/>
          <w:p>
            <w:pPr>
              <w:pStyle w:val="Compact"/>
              <w:jc w:val="left"/>
            </w:pPr>
            <w:r>
              <w:t xml:space="preserve">dropout</w:t>
            </w:r>
          </w:p>
        </w:tc>
        <w:tc>
          <w:tcPr/>
          <w:p>
            <w:pPr>
              <w:pStyle w:val="Compact"/>
              <w:jc w:val="left"/>
            </w:pPr>
            <w:r>
              <w:t xml:space="preserve">P5 noisy</w:t>
            </w:r>
          </w:p>
        </w:tc>
        <w:tc>
          <w:tcPr/>
          <w:p>
            <w:pPr>
              <w:pStyle w:val="Compact"/>
              <w:jc w:val="left"/>
            </w:pPr>
            <w:r>
              <w:t xml:space="preserve">-381.22</w:t>
            </w:r>
          </w:p>
        </w:tc>
        <w:tc>
          <w:tcPr/>
          <w:p>
            <w:pPr>
              <w:pStyle w:val="Compact"/>
              <w:jc w:val="left"/>
            </w:pPr>
            <w:r>
              <w:t xml:space="preserve">-0.0093647</w:t>
            </w:r>
          </w:p>
        </w:tc>
        <w:tc>
          <w:tcPr/>
          <w:p>
            <w:pPr>
              <w:pStyle w:val="Compact"/>
              <w:jc w:val="left"/>
            </w:pPr>
            <w:r>
              <w:t xml:space="preserve">-0.0033412</w:t>
            </w:r>
          </w:p>
        </w:tc>
      </w:tr>
      <w:tr>
        <w:tc>
          <w:tcPr/>
          <w:p>
            <w:pPr>
              <w:pStyle w:val="Compact"/>
              <w:jc w:val="left"/>
            </w:pPr>
            <w:r>
              <w:t xml:space="preserve">nominal</w:t>
            </w:r>
          </w:p>
        </w:tc>
        <w:tc>
          <w:tcPr/>
          <w:p>
            <w:pPr>
              <w:pStyle w:val="Compact"/>
              <w:jc w:val="left"/>
            </w:pPr>
            <w:r>
              <w:t xml:space="preserve">P5 noisy</w:t>
            </w:r>
          </w:p>
        </w:tc>
        <w:tc>
          <w:tcPr/>
          <w:p>
            <w:pPr>
              <w:pStyle w:val="Compact"/>
              <w:jc w:val="left"/>
            </w:pPr>
            <w:r>
              <w:t xml:space="preserve">-381.22</w:t>
            </w:r>
          </w:p>
        </w:tc>
        <w:tc>
          <w:tcPr/>
          <w:p>
            <w:pPr>
              <w:pStyle w:val="Compact"/>
              <w:jc w:val="left"/>
            </w:pPr>
            <w:r>
              <w:t xml:space="preserve">-0.0093315</w:t>
            </w:r>
          </w:p>
        </w:tc>
        <w:tc>
          <w:tcPr/>
          <w:p>
            <w:pPr>
              <w:pStyle w:val="Compact"/>
              <w:jc w:val="left"/>
            </w:pPr>
            <w:r>
              <w:t xml:space="preserve">-0.0032564</w:t>
            </w:r>
          </w:p>
        </w:tc>
      </w:tr>
      <w:tr>
        <w:tc>
          <w:tcPr/>
          <w:p>
            <w:pPr>
              <w:pStyle w:val="Compact"/>
              <w:jc w:val="left"/>
            </w:pPr>
            <w:r>
              <w:t xml:space="preserve">correlated noise</w:t>
            </w:r>
          </w:p>
        </w:tc>
        <w:tc>
          <w:tcPr/>
          <w:p>
            <w:pPr>
              <w:pStyle w:val="Compact"/>
              <w:jc w:val="left"/>
            </w:pPr>
            <w:r>
              <w:t xml:space="preserve">P4 hybrid</w:t>
            </w:r>
          </w:p>
        </w:tc>
        <w:tc>
          <w:tcPr/>
          <w:p>
            <w:pPr>
              <w:pStyle w:val="Compact"/>
              <w:jc w:val="left"/>
            </w:pPr>
            <w:r>
              <w:t xml:space="preserve">-360.46</w:t>
            </w:r>
          </w:p>
        </w:tc>
        <w:tc>
          <w:tcPr/>
          <w:p>
            <w:pPr>
              <w:pStyle w:val="Compact"/>
              <w:jc w:val="left"/>
            </w:pPr>
            <w:r>
              <w:t xml:space="preserve">-0.0095007</w:t>
            </w:r>
          </w:p>
        </w:tc>
        <w:tc>
          <w:tcPr/>
          <w:p>
            <w:pPr>
              <w:pStyle w:val="Compact"/>
              <w:jc w:val="left"/>
            </w:pPr>
            <w:r>
              <w:t xml:space="preserve">-0.0035447</w:t>
            </w:r>
          </w:p>
        </w:tc>
      </w:tr>
      <w:tr>
        <w:tc>
          <w:tcPr/>
          <w:p>
            <w:pPr>
              <w:pStyle w:val="Compact"/>
              <w:jc w:val="left"/>
            </w:pPr>
            <w:r>
              <w:t xml:space="preserve">nominal</w:t>
            </w:r>
          </w:p>
        </w:tc>
        <w:tc>
          <w:tcPr/>
          <w:p>
            <w:pPr>
              <w:pStyle w:val="Compact"/>
              <w:jc w:val="left"/>
            </w:pPr>
            <w:r>
              <w:t xml:space="preserve">B2 both</w:t>
            </w:r>
          </w:p>
        </w:tc>
        <w:tc>
          <w:tcPr/>
          <w:p>
            <w:pPr>
              <w:pStyle w:val="Compact"/>
              <w:jc w:val="left"/>
            </w:pPr>
            <w:r>
              <w:t xml:space="preserve">-356.27</w:t>
            </w:r>
          </w:p>
        </w:tc>
        <w:tc>
          <w:tcPr/>
          <w:p>
            <w:pPr>
              <w:pStyle w:val="Compact"/>
              <w:jc w:val="left"/>
            </w:pPr>
            <w:r>
              <w:t xml:space="preserve">-0.0083201</w:t>
            </w:r>
          </w:p>
        </w:tc>
        <w:tc>
          <w:tcPr/>
          <w:p>
            <w:pPr>
              <w:pStyle w:val="Compact"/>
              <w:jc w:val="left"/>
            </w:pPr>
            <w:r>
              <w:t xml:space="preserve">-0.0034261</w:t>
            </w:r>
          </w:p>
        </w:tc>
      </w:tr>
      <w:tr>
        <w:tc>
          <w:tcPr/>
          <w:p>
            <w:pPr>
              <w:pStyle w:val="Compact"/>
              <w:jc w:val="left"/>
            </w:pPr>
            <w:r>
              <w:t xml:space="preserve">correlated noise</w:t>
            </w:r>
          </w:p>
        </w:tc>
        <w:tc>
          <w:tcPr/>
          <w:p>
            <w:pPr>
              <w:pStyle w:val="Compact"/>
              <w:jc w:val="left"/>
            </w:pPr>
            <w:r>
              <w:t xml:space="preserve">P3 adaptive regret</w:t>
            </w:r>
          </w:p>
        </w:tc>
        <w:tc>
          <w:tcPr/>
          <w:p>
            <w:pPr>
              <w:pStyle w:val="Compact"/>
              <w:jc w:val="left"/>
            </w:pPr>
            <w:r>
              <w:t xml:space="preserve">-335.06</w:t>
            </w:r>
          </w:p>
        </w:tc>
        <w:tc>
          <w:tcPr/>
          <w:p>
            <w:pPr>
              <w:pStyle w:val="Compact"/>
              <w:jc w:val="left"/>
            </w:pPr>
            <w:r>
              <w:t xml:space="preserve">-0.0088984</w:t>
            </w:r>
          </w:p>
        </w:tc>
        <w:tc>
          <w:tcPr/>
          <w:p>
            <w:pPr>
              <w:pStyle w:val="Compact"/>
              <w:jc w:val="left"/>
            </w:pPr>
            <w:r>
              <w:t xml:space="preserve">-0.0031583</w:t>
            </w:r>
          </w:p>
        </w:tc>
      </w:tr>
      <w:tr>
        <w:tc>
          <w:tcPr/>
          <w:p>
            <w:pPr>
              <w:pStyle w:val="Compact"/>
              <w:jc w:val="left"/>
            </w:pPr>
            <w:r>
              <w:t xml:space="preserve">dropout</w:t>
            </w:r>
          </w:p>
        </w:tc>
        <w:tc>
          <w:tcPr/>
          <w:p>
            <w:pPr>
              <w:pStyle w:val="Compact"/>
              <w:jc w:val="left"/>
            </w:pPr>
            <w:r>
              <w:t xml:space="preserve">B2 both</w:t>
            </w:r>
          </w:p>
        </w:tc>
        <w:tc>
          <w:tcPr/>
          <w:p>
            <w:pPr>
              <w:pStyle w:val="Compact"/>
              <w:jc w:val="left"/>
            </w:pPr>
            <w:r>
              <w:t xml:space="preserve">-324.64</w:t>
            </w:r>
          </w:p>
        </w:tc>
        <w:tc>
          <w:tcPr/>
          <w:p>
            <w:pPr>
              <w:pStyle w:val="Compact"/>
              <w:jc w:val="left"/>
            </w:pPr>
            <w:r>
              <w:t xml:space="preserve">-0.0077757</w:t>
            </w:r>
          </w:p>
        </w:tc>
        <w:tc>
          <w:tcPr/>
          <w:p>
            <w:pPr>
              <w:pStyle w:val="Compact"/>
              <w:jc w:val="left"/>
            </w:pPr>
            <w:r>
              <w:t xml:space="preserve">-0.0030081</w:t>
            </w:r>
          </w:p>
        </w:tc>
      </w:tr>
      <w:tr>
        <w:tc>
          <w:tcPr/>
          <w:p>
            <w:pPr>
              <w:pStyle w:val="Compact"/>
              <w:jc w:val="left"/>
            </w:pPr>
            <w:r>
              <w:t xml:space="preserve">saturation</w:t>
            </w:r>
          </w:p>
        </w:tc>
        <w:tc>
          <w:tcPr/>
          <w:p>
            <w:pPr>
              <w:pStyle w:val="Compact"/>
              <w:jc w:val="left"/>
            </w:pPr>
            <w:r>
              <w:t xml:space="preserve">P4 hybrid</w:t>
            </w:r>
          </w:p>
        </w:tc>
        <w:tc>
          <w:tcPr/>
          <w:p>
            <w:pPr>
              <w:pStyle w:val="Compact"/>
              <w:jc w:val="left"/>
            </w:pPr>
            <w:r>
              <w:t xml:space="preserve">-309.17</w:t>
            </w:r>
          </w:p>
        </w:tc>
        <w:tc>
          <w:tcPr/>
          <w:p>
            <w:pPr>
              <w:pStyle w:val="Compact"/>
              <w:jc w:val="left"/>
            </w:pPr>
            <w:r>
              <w:t xml:space="preserve">-0.0078871</w:t>
            </w:r>
          </w:p>
        </w:tc>
        <w:tc>
          <w:tcPr/>
          <w:p>
            <w:pPr>
              <w:pStyle w:val="Compact"/>
              <w:jc w:val="left"/>
            </w:pPr>
            <w:r>
              <w:t xml:space="preserve">-0.0026648</w:t>
            </w:r>
          </w:p>
        </w:tc>
      </w:tr>
      <w:tr>
        <w:tc>
          <w:tcPr/>
          <w:p>
            <w:pPr>
              <w:pStyle w:val="Compact"/>
              <w:jc w:val="left"/>
            </w:pPr>
            <w:r>
              <w:t xml:space="preserve">dropout</w:t>
            </w:r>
          </w:p>
        </w:tc>
        <w:tc>
          <w:tcPr/>
          <w:p>
            <w:pPr>
              <w:pStyle w:val="Compact"/>
              <w:jc w:val="left"/>
            </w:pPr>
            <w:r>
              <w:t xml:space="preserve">B0 PI</w:t>
            </w:r>
          </w:p>
        </w:tc>
        <w:tc>
          <w:tcPr/>
          <w:p>
            <w:pPr>
              <w:pStyle w:val="Compact"/>
              <w:jc w:val="left"/>
            </w:pPr>
            <w:r>
              <w:t xml:space="preserve">-305.83</w:t>
            </w:r>
          </w:p>
        </w:tc>
        <w:tc>
          <w:tcPr/>
          <w:p>
            <w:pPr>
              <w:pStyle w:val="Compact"/>
              <w:jc w:val="left"/>
            </w:pPr>
            <w:r>
              <w:t xml:space="preserve">-0.0063577</w:t>
            </w:r>
          </w:p>
        </w:tc>
        <w:tc>
          <w:tcPr/>
          <w:p>
            <w:pPr>
              <w:pStyle w:val="Compact"/>
              <w:jc w:val="left"/>
            </w:pPr>
            <w:r>
              <w:t xml:space="preserve">-0.003696</w:t>
            </w:r>
          </w:p>
        </w:tc>
      </w:tr>
    </w:tbl>
    <w:bookmarkEnd w:id="40"/>
    <w:bookmarkStart w:id="41" w:name="Xfab68fecbafc646f4fb91f24379f23d0130f686"/>
    <w:p>
      <w:pPr>
        <w:pStyle w:val="Heading2"/>
      </w:pPr>
      <w:r>
        <w:rPr>
          <w:rStyle w:val="SectionNumber"/>
        </w:rPr>
        <w:t xml:space="preserve">8.6</w:t>
      </w:r>
      <w:r>
        <w:tab/>
      </w:r>
      <w:r>
        <w:t xml:space="preserve">What the executed results do and do not establish</w:t>
      </w:r>
    </w:p>
    <w:p>
      <w:pPr>
        <w:pStyle w:val="FirstParagraph"/>
      </w:pPr>
      <w:r>
        <w:t xml:space="preserve">The mean additional benefit of P2 is 0.635% over B1; its paired absolute IAE difference is 0.000850, with 95% CI [-0.001008, 0.002835] kmol h/m3. P3 adds 0.657% over the adapted predictor, CI [-0.000207, 0.001460] in absolute IAE units. Both intervals include zero. Independent confirmation also fails to establish an additional benefit. The exploratory 10% ambiguity-control target was not met.</w:t>
      </w:r>
    </w:p>
    <w:p>
      <w:pPr>
        <w:pStyle w:val="BodyText"/>
      </w:pPr>
      <w:r>
        <w:t xml:space="preserve">By contrast, sharing causal parameter estimates with the predictor reduced finite-suite mean IAE from 0.146611 to 0.088095, a 39.91% reduction. This is an attribution result for the declared models and finite suite, not a new universal controller result. Estimator-only adaptation itself worsened IAE relative to B1, despite a smaller mean RMSE.</w:t>
      </w:r>
    </w:p>
    <w:p>
      <w:pPr>
        <w:pStyle w:val="BodyText"/>
      </w:pPr>
      <w:r>
        <w:t xml:space="preserve">P1 and B1 have exactly equal IAE throughout the main suite, consistent with the expected-cost proposition. The denser nine-point grid gives adverse mean P2 differences in all three checked scenarios, with only three validation seeds; it does not rescue the positive claim.</w:t>
      </w:r>
    </w:p>
    <w:p>
      <w:pPr>
        <w:pStyle w:val="BodyText"/>
      </w:pPr>
      <w:r>
        <w:t xml:space="preserve">The true-state reference has zero estimation RMSE but mean IAE 0.146790, versus B1’s 0.133960. It still uses the nominal predictor and finite-horizon quadratic objective, so it is not a certified lower bound on attainable IAE. This provides an explicit counterexample to treating lower estimation RMSE as a sufficient guarantee of better tracking.</w:t>
      </w:r>
    </w:p>
    <w:p>
      <w:pPr>
        <w:pStyle w:val="BodyText"/>
      </w:pPr>
      <w:r>
        <w:t xml:space="preserve">One initial chemical sample reduced inventory-plus mean IAE by 23.33%. Four periodic samples produced the same mean IAE there, while reducing estimation RMSE slightly. Across the entire mismatched-model suite, the implemented chemical-sampling policies did not improve mean IAE. This is realized algorithm performance, not negative optimal value of free information: an optimally designed policy with additional optional information could always ignore it.</w:t>
      </w:r>
    </w:p>
    <w:p>
      <w:pPr>
        <w:pStyle w:val="BodyText"/>
      </w:pPr>
      <w:r>
        <w:t xml:space="preserve">The fixed PI achieved favorable average tracking at the cost of a maximum sampled temperature of 362.542 K, exceeding the study limit by 18.281 K. Its raw IAE gain therefore fails the safety criterion. B1_continuous reported solver failures on 1.530% of decisions and used the declared fallback. Zero trajectory aborts does not mean zero optimizer failures or zero thermal exceedances. These adverse outcomes are retained.</w:t>
      </w:r>
    </w:p>
    <w:p>
      <w:pPr>
        <w:pStyle w:val="BodyText"/>
      </w:pPr>
      <w:r>
        <w:t xml:space="preserve">The data establish neither a uniform controller winner nor substantial incremental engineering gain from ambiguity handling. They support a model-specific information result, a useful predictor-correction ablation and falsification of several plausible but incorrect performance shortcuts.</w:t>
      </w:r>
    </w:p>
    <w:bookmarkEnd w:id="41"/>
    <w:bookmarkEnd w:id="42"/>
    <w:bookmarkStart w:id="43" w:name="X1f31880475c332e84c57e662ad125ee49acdfc7"/>
    <w:p>
      <w:pPr>
        <w:pStyle w:val="Heading1"/>
      </w:pPr>
      <w:r>
        <w:rPr>
          <w:rStyle w:val="SectionNumber"/>
        </w:rPr>
        <w:t xml:space="preserve">9</w:t>
      </w:r>
      <w:r>
        <w:tab/>
      </w:r>
      <w:r>
        <w:t xml:space="preserve">Ablation, falsification and interpretation</w:t>
      </w:r>
    </w:p>
    <w:p>
      <w:pPr>
        <w:pStyle w:val="FirstParagraph"/>
      </w:pPr>
      <w:r>
        <w:t xml:space="preserve">The common-information comparisons separate point versus representative decisions, estimator-only versus predictor-sharing adaptation, and a denser finite grid. Exact inventory and chemical sampling are additional-information arms. A better result there cannot be attributed solely to a more sophisticated algorithm.</w:t>
      </w:r>
    </w:p>
    <w:p>
      <w:pPr>
        <w:pStyle w:val="BodyText"/>
      </w:pPr>
      <w:r>
        <w:t xml:space="preserve">The core structural result is insensitive to replacing one-way coil coupling with a reciprocal jacket while retaining constant heat capacities. Synthetic property dependence can break the particular two-species compensation, but tiny output differences may remain undetectable at realistic sensor precision. The numerical rank map is a grid of initial states, not a map of feasible steady operating points. The Fisher matrix corresponding to independent Gaussian measurement noise is the sensitivity Gram matrix; no calibrated posterior coverage guarantee follows from its singular values.</w:t>
      </w:r>
    </w:p>
    <w:p>
      <w:pPr>
        <w:pStyle w:val="BodyText"/>
      </w:pPr>
      <w:r>
        <w:t xml:space="preserve">The expected-cost proposition provides a stronger null case: symmetric exact chemical twins only add a plan-independent variance term to the quadratic cost. P1 therefore has no theoretical action advantage over the point policy under those assumptions. The post-protocol audit checks this identity on nine plan/reference/horizon combinations.</w:t>
      </w:r>
    </w:p>
    <w:p>
      <w:pPr>
        <w:pStyle w:val="BodyText"/>
      </w:pPr>
      <w:r>
        <w:t xml:space="preserve">Positive grid regret establishes conflict within the stated candidate class. Grid minimax is not a lower bound on all causal controllers. The state-informed reference may have a smaller loss, but unreachable references and physical cooling limits remain. The initial failed numerical effect-size expectation is retained: a thermal difference of 9.516165278e-7 K did not exceed an arbitrary 1e-6 K threshold. The implementation test was replaced by an exact capacity identity, while scientific separability is reported without imposing a favorable outcome.</w:t>
      </w:r>
    </w:p>
    <w:bookmarkEnd w:id="43"/>
    <w:bookmarkStart w:id="44" w:name="limitations-and-publication-readiness"/>
    <w:p>
      <w:pPr>
        <w:pStyle w:val="Heading1"/>
      </w:pPr>
      <w:r>
        <w:rPr>
          <w:rStyle w:val="SectionNumber"/>
        </w:rPr>
        <w:t xml:space="preserve">10</w:t>
      </w:r>
      <w:r>
        <w:tab/>
      </w:r>
      <w:r>
        <w:t xml:space="preserve">Limitations and publication readiness</w:t>
      </w:r>
    </w:p>
    <w:p>
      <w:pPr>
        <w:pStyle w:val="FirstParagraph"/>
      </w:pPr>
      <w:r>
        <w:t xml:space="preserve">Historical 0.951143, 0.850912, 0.358768 and 14.60% outcomes have identified documentary sources but were not replayed under their original protocols. The current finite-grid two-block NMPC, fixed PI and short-window MHE do not establish comparison against the strongest available baselines. Longer horizons, six-move continuous optimization, systematic tuning on development data, additional sensor variables and model-family closed-loop stress tests remain.</w:t>
      </w:r>
    </w:p>
    <w:p>
      <w:pPr>
        <w:pStyle w:val="BodyText"/>
      </w:pPr>
      <w:r>
        <w:t xml:space="preserve">Beyond the explicitly derived M0 quotient minor, full-model Lie-derivative sweeps, practical lower-bound calibration, genuine chemical-analyzer dynamics, interval safety between samples, rigorous recovery margins and target-Ryzen timings remain unexecuted. MHE covariance is inherited from its UKF arrival approximation; its coverage is diagnostic only. Full NEES is not reported because full covariance histories were not saved. Decision timing excludes some sensor-scheduling calculations; total episode time is separately available. No on-spec production or economic loss is claimed because no commercial specification or prices were defined. The code is a simulator study, not an industrial trial.</w:t>
      </w:r>
    </w:p>
    <w:p>
      <w:pPr>
        <w:pStyle w:val="BodyText"/>
      </w:pPr>
      <w:r>
        <w:t xml:space="preserve">The article is not ready for submission as a claim of a superior controller. Its defensible research direction is the structural classification and reproducible decision audit, subject to physical property validation, a fuller novelty review and independent technical review.</w:t>
      </w:r>
    </w:p>
    <w:bookmarkEnd w:id="44"/>
    <w:bookmarkStart w:id="45" w:name="conclusions"/>
    <w:p>
      <w:pPr>
        <w:pStyle w:val="Heading1"/>
      </w:pPr>
      <w:r>
        <w:rPr>
          <w:rStyle w:val="SectionNumber"/>
        </w:rPr>
        <w:t xml:space="preserve">11</w:t>
      </w:r>
      <w:r>
        <w:tab/>
      </w:r>
      <w:r>
        <w:t xml:space="preserve">Conclusions</w:t>
      </w:r>
    </w:p>
    <w:p>
      <w:pPr>
        <w:pStyle w:val="FirstParagraph"/>
      </w:pPr>
      <w:r>
        <w:t xml:space="preserve">The recovered model places a specific information limit on chemical reconstruction that cannot be cured by estimator architecture alone. Reciprocal jacket dynamics are insufficient to remove this ambiguity under constant heat capacities. Whether that ambiguity matters for control depends on the objective, feasibility and action class. The accompanying data show the realized outcomes of the declared comparisons, including negative cases. They support a bounded computational research contribution while leaving the full original campaign incomplete.</w:t>
      </w:r>
    </w:p>
    <w:bookmarkEnd w:id="45"/>
    <w:bookmarkStart w:id="46" w:name="scientific-claims-audit"/>
    <w:p>
      <w:pPr>
        <w:pStyle w:val="Heading1"/>
      </w:pPr>
      <w:r>
        <w:rPr>
          <w:rStyle w:val="SectionNumber"/>
        </w:rPr>
        <w:t xml:space="preserve">12</w:t>
      </w:r>
      <w:r>
        <w:tab/>
      </w:r>
      <w:r>
        <w:t xml:space="preserve">Scientific claims audit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Evidence class</w:t>
            </w:r>
          </w:p>
        </w:tc>
        <w:tc>
          <w:tcPr/>
          <w:p>
            <w:pPr>
              <w:pStyle w:val="Compact"/>
              <w:jc w:val="left"/>
            </w:pPr>
            <w:r>
              <w:t xml:space="preserve">Conclusion</w:t>
            </w:r>
          </w:p>
        </w:tc>
      </w:tr>
      <w:tr>
        <w:tc>
          <w:tcPr/>
          <w:p>
            <w:pPr>
              <w:pStyle w:val="Compact"/>
              <w:jc w:val="left"/>
            </w:pPr>
            <w:r>
              <w:t xml:space="preserve">Q1</w:t>
            </w:r>
          </w:p>
        </w:tc>
        <w:tc>
          <w:tcPr/>
          <w:p>
            <w:pPr>
              <w:pStyle w:val="Compact"/>
              <w:jc w:val="left"/>
            </w:pPr>
            <w:r>
              <w:t xml:space="preserve">Demonstrated mathematically</w:t>
            </w:r>
          </w:p>
        </w:tc>
        <w:tc>
          <w:tcPr/>
          <w:p>
            <w:pPr>
              <w:pStyle w:val="Compact"/>
              <w:jc w:val="left"/>
            </w:pPr>
            <w:r>
              <w:t xml:space="preserve">M0 has a two-dimensional chemical indistinguishability class; six free states are not fully observable.</w:t>
            </w:r>
          </w:p>
        </w:tc>
      </w:tr>
      <w:tr>
        <w:tc>
          <w:tcPr/>
          <w:p>
            <w:pPr>
              <w:pStyle w:val="Compact"/>
              <w:jc w:val="left"/>
            </w:pPr>
            <w:r>
              <w:t xml:space="preserve">Q2</w:t>
            </w:r>
          </w:p>
        </w:tc>
        <w:tc>
          <w:tcPr/>
          <w:p>
            <w:pPr>
              <w:pStyle w:val="Compact"/>
              <w:jc w:val="left"/>
            </w:pPr>
            <w:r>
              <w:t xml:space="preserve">Partially supported</w:t>
            </w:r>
          </w:p>
        </w:tc>
        <w:tc>
          <w:tcPr/>
          <w:p>
            <w:pPr>
              <w:pStyle w:val="Compact"/>
              <w:jc w:val="left"/>
            </w:pPr>
            <w:r>
              <w:t xml:space="preserve">Constant-Cp ambiguity survives consistent reaction enthalpy and reciprocal jacket; physically calibrated M1 remains unavailable.</w:t>
            </w:r>
          </w:p>
        </w:tc>
      </w:tr>
      <w:tr>
        <w:tc>
          <w:tcPr/>
          <w:p>
            <w:pPr>
              <w:pStyle w:val="Compact"/>
              <w:jc w:val="left"/>
            </w:pPr>
            <w:r>
              <w:t xml:space="preserve">Q3</w:t>
            </w:r>
          </w:p>
        </w:tc>
        <w:tc>
          <w:tcPr/>
          <w:p>
            <w:pPr>
              <w:pStyle w:val="Compact"/>
              <w:jc w:val="left"/>
            </w:pPr>
            <w:r>
              <w:t xml:space="preserve">Demonstrated mathematically</w:t>
            </w:r>
          </w:p>
        </w:tc>
        <w:tc>
          <w:tcPr/>
          <w:p>
            <w:pPr>
              <w:pStyle w:val="Compact"/>
              <w:jc w:val="left"/>
            </w:pPr>
            <w:r>
              <w:t xml:space="preserve">The sufficient invisible subspace is orthogonal to the functional span of CpB,CpC,CpM, with deltaCA=0.</w:t>
            </w:r>
          </w:p>
        </w:tc>
      </w:tr>
      <w:tr>
        <w:tc>
          <w:tcPr/>
          <w:p>
            <w:pPr>
              <w:pStyle w:val="Compact"/>
              <w:jc w:val="left"/>
            </w:pPr>
            <w:r>
              <w:t xml:space="preserve">Q4</w:t>
            </w:r>
          </w:p>
        </w:tc>
        <w:tc>
          <w:tcPr/>
          <w:p>
            <w:pPr>
              <w:pStyle w:val="Compact"/>
              <w:jc w:val="left"/>
            </w:pPr>
            <w:r>
              <w:t xml:space="preserve">Demonstrated mathematically</w:t>
            </w:r>
          </w:p>
        </w:tc>
        <w:tc>
          <w:tcPr/>
          <w:p>
            <w:pPr>
              <w:pStyle w:val="Compact"/>
              <w:jc w:val="left"/>
            </w:pPr>
            <w:r>
              <w:t xml:space="preserve">Half separation is an instantaneous two-world lower bound; the integrated bound is distinct.</w:t>
            </w:r>
          </w:p>
        </w:tc>
      </w:tr>
      <w:tr>
        <w:tc>
          <w:tcPr/>
          <w:p>
            <w:pPr>
              <w:pStyle w:val="Compact"/>
              <w:jc w:val="left"/>
            </w:pPr>
            <w:r>
              <w:t xml:space="preserve">Q5</w:t>
            </w:r>
          </w:p>
        </w:tc>
        <w:tc>
          <w:tcPr/>
          <w:p>
            <w:pPr>
              <w:pStyle w:val="Compact"/>
              <w:jc w:val="left"/>
            </w:pPr>
            <w:r>
              <w:t xml:space="preserve">Experimentally supported</w:t>
            </w:r>
          </w:p>
        </w:tc>
        <w:tc>
          <w:tcPr/>
          <w:p>
            <w:pPr>
              <w:pStyle w:val="Compact"/>
              <w:jc w:val="left"/>
            </w:pPr>
            <w:r>
              <w:t xml:space="preserve">Finite-class costs show when chemical ambiguity changes actions; no global continuous optimum certificate.</w:t>
            </w:r>
          </w:p>
        </w:tc>
      </w:tr>
      <w:tr>
        <w:tc>
          <w:tcPr/>
          <w:p>
            <w:pPr>
              <w:pStyle w:val="Compact"/>
              <w:jc w:val="left"/>
            </w:pPr>
            <w:r>
              <w:t xml:space="preserve">Q6</w:t>
            </w:r>
          </w:p>
        </w:tc>
        <w:tc>
          <w:tcPr/>
          <w:p>
            <w:pPr>
              <w:pStyle w:val="Compact"/>
              <w:jc w:val="left"/>
            </w:pPr>
            <w:r>
              <w:t xml:space="preserve">Experimentally supported</w:t>
            </w:r>
          </w:p>
        </w:tc>
        <w:tc>
          <w:tcPr/>
          <w:p>
            <w:pPr>
              <w:pStyle w:val="Compact"/>
              <w:jc w:val="left"/>
            </w:pPr>
            <w:r>
              <w:t xml:space="preserve">The claimed reliability is contradicted: zero-RMSE state reference and better-RMSE estimator-only adaptation can have worse IAE.</w:t>
            </w:r>
          </w:p>
        </w:tc>
      </w:tr>
      <w:tr>
        <w:tc>
          <w:tcPr/>
          <w:p>
            <w:pPr>
              <w:pStyle w:val="Compact"/>
              <w:jc w:val="left"/>
            </w:pPr>
            <w:r>
              <w:t xml:space="preserve">Q7</w:t>
            </w:r>
          </w:p>
        </w:tc>
        <w:tc>
          <w:tcPr/>
          <w:p>
            <w:pPr>
              <w:pStyle w:val="Compact"/>
              <w:jc w:val="left"/>
            </w:pPr>
            <w:r>
              <w:t xml:space="preserve">Experimentally supported</w:t>
            </w:r>
          </w:p>
        </w:tc>
        <w:tc>
          <w:tcPr/>
          <w:p>
            <w:pPr>
              <w:pStyle w:val="Compact"/>
              <w:jc w:val="left"/>
            </w:pPr>
            <w:r>
              <w:t xml:space="preserve">Predictor sharing reduced mean IAE by 39.91% versus estimator-only correction, with independent confirmation.</w:t>
            </w:r>
          </w:p>
        </w:tc>
      </w:tr>
      <w:tr>
        <w:tc>
          <w:tcPr/>
          <w:p>
            <w:pPr>
              <w:pStyle w:val="Compact"/>
              <w:jc w:val="left"/>
            </w:pPr>
            <w:r>
              <w:t xml:space="preserve">Q8</w:t>
            </w:r>
          </w:p>
        </w:tc>
        <w:tc>
          <w:tcPr/>
          <w:p>
            <w:pPr>
              <w:pStyle w:val="Compact"/>
              <w:jc w:val="left"/>
            </w:pPr>
            <w:r>
              <w:t xml:space="preserve">Inconclusive</w:t>
            </w:r>
          </w:p>
        </w:tc>
        <w:tc>
          <w:tcPr/>
          <w:p>
            <w:pPr>
              <w:pStyle w:val="Compact"/>
              <w:jc w:val="left"/>
            </w:pPr>
            <w:r>
              <w:t xml:space="preserve">Incremental ambiguity gains of 0.63%/0.66% have CIs including zero; the 10% target was not met.</w:t>
            </w:r>
          </w:p>
        </w:tc>
      </w:tr>
      <w:tr>
        <w:tc>
          <w:tcPr/>
          <w:p>
            <w:pPr>
              <w:pStyle w:val="Compact"/>
              <w:jc w:val="left"/>
            </w:pPr>
            <w:r>
              <w:t xml:space="preserve">Q9</w:t>
            </w:r>
          </w:p>
        </w:tc>
        <w:tc>
          <w:tcPr/>
          <w:p>
            <w:pPr>
              <w:pStyle w:val="Compact"/>
              <w:jc w:val="left"/>
            </w:pPr>
            <w:r>
              <w:t xml:space="preserve">Experimentally supported</w:t>
            </w:r>
          </w:p>
        </w:tc>
        <w:tc>
          <w:tcPr/>
          <w:p>
            <w:pPr>
              <w:pStyle w:val="Compact"/>
              <w:jc w:val="left"/>
            </w:pPr>
            <w:r>
              <w:t xml:space="preserve">Adverse heat-transfer/property regimes and denser-grid checks are retained; no uniform robust advantage.</w:t>
            </w:r>
          </w:p>
        </w:tc>
      </w:tr>
      <w:tr>
        <w:tc>
          <w:tcPr/>
          <w:p>
            <w:pPr>
              <w:pStyle w:val="Compact"/>
              <w:jc w:val="left"/>
            </w:pPr>
            <w:r>
              <w:t xml:space="preserve">Q10</w:t>
            </w:r>
          </w:p>
        </w:tc>
        <w:tc>
          <w:tcPr/>
          <w:p>
            <w:pPr>
              <w:pStyle w:val="Compact"/>
              <w:jc w:val="left"/>
            </w:pPr>
            <w:r>
              <w:t xml:space="preserve">Partially supported</w:t>
            </w:r>
          </w:p>
        </w:tc>
        <w:tc>
          <w:tcPr/>
          <w:p>
            <w:pPr>
              <w:pStyle w:val="Compact"/>
              <w:jc w:val="left"/>
            </w:pPr>
            <w:r>
              <w:t xml:space="preserve">Only the declared CC sampling schedules/noises/delay approximation were tested; no globally optimal sensor frequency.</w:t>
            </w:r>
          </w:p>
        </w:tc>
      </w:tr>
      <w:tr>
        <w:tc>
          <w:tcPr/>
          <w:p>
            <w:pPr>
              <w:pStyle w:val="Compact"/>
              <w:jc w:val="left"/>
            </w:pPr>
            <w:r>
              <w:t xml:space="preserve">Q11</w:t>
            </w:r>
          </w:p>
        </w:tc>
        <w:tc>
          <w:tcPr/>
          <w:p>
            <w:pPr>
              <w:pStyle w:val="Compact"/>
              <w:jc w:val="left"/>
            </w:pPr>
            <w:r>
              <w:t xml:space="preserve">Demonstrated mathematically</w:t>
            </w:r>
          </w:p>
        </w:tc>
        <w:tc>
          <w:tcPr/>
          <w:p>
            <w:pPr>
              <w:pStyle w:val="Compact"/>
              <w:jc w:val="left"/>
            </w:pPr>
            <w:r>
              <w:t xml:space="preserve">Exact indistinguishable-pair bounds apply independently of estimator architecture under stated information.</w:t>
            </w:r>
          </w:p>
        </w:tc>
      </w:tr>
      <w:tr>
        <w:tc>
          <w:tcPr/>
          <w:p>
            <w:pPr>
              <w:pStyle w:val="Compact"/>
              <w:jc w:val="left"/>
            </w:pPr>
            <w:r>
              <w:t xml:space="preserve">Q12</w:t>
            </w:r>
          </w:p>
        </w:tc>
        <w:tc>
          <w:tcPr/>
          <w:p>
            <w:pPr>
              <w:pStyle w:val="Compact"/>
              <w:jc w:val="left"/>
            </w:pPr>
            <w:r>
              <w:t xml:space="preserve">Partially supported</w:t>
            </w:r>
          </w:p>
        </w:tc>
        <w:tc>
          <w:tcPr/>
          <w:p>
            <w:pPr>
              <w:pStyle w:val="Compact"/>
              <w:jc w:val="left"/>
            </w:pPr>
            <w:r>
              <w:t xml:space="preserve">Proof transfers to the same dilution/kinetic/calorimetric structure; numerical gains do not transfer automatically.</w:t>
            </w:r>
          </w:p>
        </w:tc>
      </w:tr>
    </w:tbl>
    <w:bookmarkEnd w:id="46"/>
    <w:bookmarkStart w:id="124" w:name="figures-from-executed-data"/>
    <w:p>
      <w:pPr>
        <w:pStyle w:val="Heading1"/>
      </w:pPr>
      <w:r>
        <w:rPr>
          <w:rStyle w:val="SectionNumber"/>
        </w:rPr>
        <w:t xml:space="preserve">13</w:t>
      </w:r>
      <w:r>
        <w:tab/>
      </w:r>
      <w:r>
        <w:t xml:space="preserve">Figures from executed data</w:t>
      </w:r>
    </w:p>
    <w:p>
      <w:pPr>
        <w:pStyle w:val="CaptionedFigure"/>
      </w:pPr>
      <w:r>
        <w:drawing>
          <wp:inline>
            <wp:extent cx="5334000" cy="2680503"/>
            <wp:effectExtent b="0" l="0" r="0" t="0"/>
            <wp:docPr descr="Figure 1. Physical process and available information" title="" id="48" name="Picture"/>
            <a:graphic>
              <a:graphicData uri="http://schemas.openxmlformats.org/drawingml/2006/picture">
                <pic:pic>
                  <pic:nvPicPr>
                    <pic:cNvPr descr="figures/Figure_01.png" id="49" name="Picture"/>
                    <pic:cNvPicPr>
                      <a:picLocks noChangeArrowheads="1" noChangeAspect="1"/>
                    </pic:cNvPicPr>
                  </pic:nvPicPr>
                  <pic:blipFill>
                    <a:blip r:embed="rId47"/>
                    <a:stretch>
                      <a:fillRect/>
                    </a:stretch>
                  </pic:blipFill>
                  <pic:spPr bwMode="auto">
                    <a:xfrm>
                      <a:off x="0" y="0"/>
                      <a:ext cx="5334000" cy="2680503"/>
                    </a:xfrm>
                    <a:prstGeom prst="rect">
                      <a:avLst/>
                    </a:prstGeom>
                    <a:noFill/>
                    <a:ln w="9525">
                      <a:noFill/>
                      <a:headEnd/>
                      <a:tailEnd/>
                    </a:ln>
                  </pic:spPr>
                </pic:pic>
              </a:graphicData>
            </a:graphic>
          </wp:inline>
        </w:drawing>
      </w:r>
    </w:p>
    <w:p>
      <w:pPr>
        <w:pStyle w:val="ImageCaption"/>
      </w:pPr>
      <w:r>
        <w:t xml:space="preserve">Figure 1. Physical process and available information</w:t>
      </w:r>
    </w:p>
    <w:p>
      <w:pPr>
        <w:pStyle w:val="CaptionedFigure"/>
      </w:pPr>
      <w:r>
        <w:drawing>
          <wp:inline>
            <wp:extent cx="5334000" cy="5334000"/>
            <wp:effectExtent b="0" l="0" r="0" t="0"/>
            <wp:docPr descr="Figure 2. Distinct chemical inventories, identical historical thermal outputs" title="" id="51" name="Picture"/>
            <a:graphic>
              <a:graphicData uri="http://schemas.openxmlformats.org/drawingml/2006/picture">
                <pic:pic>
                  <pic:nvPicPr>
                    <pic:cNvPr descr="figures/Figure_02.png" id="52" name="Picture"/>
                    <pic:cNvPicPr>
                      <a:picLocks noChangeArrowheads="1" noChangeAspect="1"/>
                    </pic:cNvPicPr>
                  </pic:nvPicPr>
                  <pic:blipFill>
                    <a:blip r:embed="rId5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2. Distinct chemical inventories, identical historical thermal outputs</w:t>
      </w:r>
    </w:p>
    <w:p>
      <w:pPr>
        <w:pStyle w:val="CaptionedFigure"/>
      </w:pPr>
      <w:r>
        <w:drawing>
          <wp:inline>
            <wp:extent cx="5334000" cy="1971550"/>
            <wp:effectExtent b="0" l="0" r="0" t="0"/>
            <wp:docPr descr="Figure 3. Finite-horizon sensitivity map (initial-state grid, not equilibrium map)" title="" id="54" name="Picture"/>
            <a:graphic>
              <a:graphicData uri="http://schemas.openxmlformats.org/drawingml/2006/picture">
                <pic:pic>
                  <pic:nvPicPr>
                    <pic:cNvPr descr="figures/Figure_03.png" id="55" name="Picture"/>
                    <pic:cNvPicPr>
                      <a:picLocks noChangeArrowheads="1" noChangeAspect="1"/>
                    </pic:cNvPicPr>
                  </pic:nvPicPr>
                  <pic:blipFill>
                    <a:blip r:embed="rId53"/>
                    <a:stretch>
                      <a:fillRect/>
                    </a:stretch>
                  </pic:blipFill>
                  <pic:spPr bwMode="auto">
                    <a:xfrm>
                      <a:off x="0" y="0"/>
                      <a:ext cx="5334000" cy="1971550"/>
                    </a:xfrm>
                    <a:prstGeom prst="rect">
                      <a:avLst/>
                    </a:prstGeom>
                    <a:noFill/>
                    <a:ln w="9525">
                      <a:noFill/>
                      <a:headEnd/>
                      <a:tailEnd/>
                    </a:ln>
                  </pic:spPr>
                </pic:pic>
              </a:graphicData>
            </a:graphic>
          </wp:inline>
        </w:drawing>
      </w:r>
    </w:p>
    <w:p>
      <w:pPr>
        <w:pStyle w:val="ImageCaption"/>
      </w:pPr>
      <w:r>
        <w:t xml:space="preserve">Figure 3. Finite-horizon sensitivity map (initial-state grid, not equilibrium map)</w:t>
      </w:r>
    </w:p>
    <w:p>
      <w:pPr>
        <w:pStyle w:val="CaptionedFigure"/>
      </w:pPr>
      <w:r>
        <w:drawing>
          <wp:inline>
            <wp:extent cx="5334000" cy="3062398"/>
            <wp:effectExtent b="0" l="0" r="0" t="0"/>
            <wp:docPr descr="Figure 4. Singular spectra; a numerical floor does not prove observability" title="" id="57" name="Picture"/>
            <a:graphic>
              <a:graphicData uri="http://schemas.openxmlformats.org/drawingml/2006/picture">
                <pic:pic>
                  <pic:nvPicPr>
                    <pic:cNvPr descr="figures/Figure_04.png" id="58" name="Picture"/>
                    <pic:cNvPicPr>
                      <a:picLocks noChangeArrowheads="1" noChangeAspect="1"/>
                    </pic:cNvPicPr>
                  </pic:nvPicPr>
                  <pic:blipFill>
                    <a:blip r:embed="rId56"/>
                    <a:stretch>
                      <a:fillRect/>
                    </a:stretch>
                  </pic:blipFill>
                  <pic:spPr bwMode="auto">
                    <a:xfrm>
                      <a:off x="0" y="0"/>
                      <a:ext cx="5334000" cy="3062398"/>
                    </a:xfrm>
                    <a:prstGeom prst="rect">
                      <a:avLst/>
                    </a:prstGeom>
                    <a:noFill/>
                    <a:ln w="9525">
                      <a:noFill/>
                      <a:headEnd/>
                      <a:tailEnd/>
                    </a:ln>
                  </pic:spPr>
                </pic:pic>
              </a:graphicData>
            </a:graphic>
          </wp:inline>
        </w:drawing>
      </w:r>
    </w:p>
    <w:p>
      <w:pPr>
        <w:pStyle w:val="ImageCaption"/>
      </w:pPr>
      <w:r>
        <w:t xml:space="preserve">Figure 4. Singular spectra; a numerical floor does not prove observability</w:t>
      </w:r>
    </w:p>
    <w:p>
      <w:pPr>
        <w:pStyle w:val="CaptionedFigure"/>
      </w:pPr>
      <w:r>
        <w:drawing>
          <wp:inline>
            <wp:extent cx="5334000" cy="3057953"/>
            <wp:effectExtent b="0" l="0" r="0" t="0"/>
            <wp:docPr descr="Figure 5. One shared measurement stream: estimation error and two-world bound" title="" id="60" name="Picture"/>
            <a:graphic>
              <a:graphicData uri="http://schemas.openxmlformats.org/drawingml/2006/picture">
                <pic:pic>
                  <pic:nvPicPr>
                    <pic:cNvPr descr="figures/Figure_05.png" id="61" name="Picture"/>
                    <pic:cNvPicPr>
                      <a:picLocks noChangeArrowheads="1" noChangeAspect="1"/>
                    </pic:cNvPicPr>
                  </pic:nvPicPr>
                  <pic:blipFill>
                    <a:blip r:embed="rId59"/>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5. One shared measurement stream: estimation error and two-world bound</w:t>
      </w:r>
    </w:p>
    <w:p>
      <w:pPr>
        <w:pStyle w:val="CaptionedFigure"/>
      </w:pPr>
      <w:r>
        <w:drawing>
          <wp:inline>
            <wp:extent cx="5334000" cy="3057953"/>
            <wp:effectExtent b="0" l="0" r="0" t="0"/>
            <wp:docPr descr="Figure 6. Estimation error and tracking loss across fixed scenarios" title="" id="63" name="Picture"/>
            <a:graphic>
              <a:graphicData uri="http://schemas.openxmlformats.org/drawingml/2006/picture">
                <pic:pic>
                  <pic:nvPicPr>
                    <pic:cNvPr descr="figures/Figure_06.png" id="64" name="Picture"/>
                    <pic:cNvPicPr>
                      <a:picLocks noChangeArrowheads="1" noChangeAspect="1"/>
                    </pic:cNvPicPr>
                  </pic:nvPicPr>
                  <pic:blipFill>
                    <a:blip r:embed="rId62"/>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6. Estimation error and tracking loss across fixed scenarios</w:t>
      </w:r>
    </w:p>
    <w:p>
      <w:pPr>
        <w:pStyle w:val="CaptionedFigure"/>
      </w:pPr>
      <w:r>
        <w:drawing>
          <wp:inline>
            <wp:extent cx="5334000" cy="3057953"/>
            <wp:effectExtent b="0" l="0" r="0" t="0"/>
            <wp:docPr descr="Figure 7. World-conditioned and minimax-regret actions (finite action class)" title="" id="66" name="Picture"/>
            <a:graphic>
              <a:graphicData uri="http://schemas.openxmlformats.org/drawingml/2006/picture">
                <pic:pic>
                  <pic:nvPicPr>
                    <pic:cNvPr descr="figures/Figure_07.png" id="67" name="Picture"/>
                    <pic:cNvPicPr>
                      <a:picLocks noChangeArrowheads="1" noChangeAspect="1"/>
                    </pic:cNvPicPr>
                  </pic:nvPicPr>
                  <pic:blipFill>
                    <a:blip r:embed="rId65"/>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7. World-conditioned and minimax-regret actions (finite action class)</w:t>
      </w:r>
    </w:p>
    <w:p>
      <w:pPr>
        <w:pStyle w:val="CaptionedFigure"/>
      </w:pPr>
      <w:r>
        <w:drawing>
          <wp:inline>
            <wp:extent cx="5334000" cy="3057953"/>
            <wp:effectExtent b="0" l="0" r="0" t="0"/>
            <wp:docPr descr="Figure 8. Decision ambiguity versus prior width and prediction horizon" title="" id="69" name="Picture"/>
            <a:graphic>
              <a:graphicData uri="http://schemas.openxmlformats.org/drawingml/2006/picture">
                <pic:pic>
                  <pic:nvPicPr>
                    <pic:cNvPr descr="figures/Figure_08.png" id="70" name="Picture"/>
                    <pic:cNvPicPr>
                      <a:picLocks noChangeArrowheads="1" noChangeAspect="1"/>
                    </pic:cNvPicPr>
                  </pic:nvPicPr>
                  <pic:blipFill>
                    <a:blip r:embed="rId68"/>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8. Decision ambiguity versus prior width and prediction horizon</w:t>
      </w:r>
    </w:p>
    <w:p>
      <w:pPr>
        <w:pStyle w:val="CaptionedFigure"/>
      </w:pPr>
      <w:r>
        <w:drawing>
          <wp:inline>
            <wp:extent cx="5334000" cy="3057953"/>
            <wp:effectExtent b="0" l="0" r="0" t="0"/>
            <wp:docPr descr="Figure 9. Servo tracking; paired seed 4100" title="" id="72" name="Picture"/>
            <a:graphic>
              <a:graphicData uri="http://schemas.openxmlformats.org/drawingml/2006/picture">
                <pic:pic>
                  <pic:nvPicPr>
                    <pic:cNvPr descr="figures/Figure_09.png" id="73" name="Picture"/>
                    <pic:cNvPicPr>
                      <a:picLocks noChangeArrowheads="1" noChangeAspect="1"/>
                    </pic:cNvPicPr>
                  </pic:nvPicPr>
                  <pic:blipFill>
                    <a:blip r:embed="rId71"/>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9. Servo tracking; paired seed 4100</w:t>
      </w:r>
    </w:p>
    <w:p>
      <w:pPr>
        <w:pStyle w:val="CaptionedFigure"/>
      </w:pPr>
      <w:r>
        <w:drawing>
          <wp:inline>
            <wp:extent cx="5334000" cy="3057953"/>
            <wp:effectExtent b="0" l="0" r="0" t="0"/>
            <wp:docPr descr="Figure 10. Regulatory response to known current feed disturbance; paired seed 4100" title="" id="75" name="Picture"/>
            <a:graphic>
              <a:graphicData uri="http://schemas.openxmlformats.org/drawingml/2006/picture">
                <pic:pic>
                  <pic:nvPicPr>
                    <pic:cNvPr descr="figures/Figure_10.png" id="76" name="Picture"/>
                    <pic:cNvPicPr>
                      <a:picLocks noChangeArrowheads="1" noChangeAspect="1"/>
                    </pic:cNvPicPr>
                  </pic:nvPicPr>
                  <pic:blipFill>
                    <a:blip r:embed="rId74"/>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10. Regulatory response to known current feed disturbance; paired seed 4100</w:t>
      </w:r>
    </w:p>
    <w:p>
      <w:pPr>
        <w:pStyle w:val="CaptionedFigure"/>
      </w:pPr>
      <w:r>
        <w:drawing>
          <wp:inline>
            <wp:extent cx="5334000" cy="4575317"/>
            <wp:effectExtent b="0" l="0" r="0" t="0"/>
            <wp:docPr descr="Figure 11. Concentration and temperature under hidden kinetic mismatch" title="" id="78" name="Picture"/>
            <a:graphic>
              <a:graphicData uri="http://schemas.openxmlformats.org/drawingml/2006/picture">
                <pic:pic>
                  <pic:nvPicPr>
                    <pic:cNvPr descr="figures/Figure_11.png" id="79" name="Picture"/>
                    <pic:cNvPicPr>
                      <a:picLocks noChangeArrowheads="1" noChangeAspect="1"/>
                    </pic:cNvPicPr>
                  </pic:nvPicPr>
                  <pic:blipFill>
                    <a:blip r:embed="rId77"/>
                    <a:stretch>
                      <a:fillRect/>
                    </a:stretch>
                  </pic:blipFill>
                  <pic:spPr bwMode="auto">
                    <a:xfrm>
                      <a:off x="0" y="0"/>
                      <a:ext cx="5334000" cy="4575317"/>
                    </a:xfrm>
                    <a:prstGeom prst="rect">
                      <a:avLst/>
                    </a:prstGeom>
                    <a:noFill/>
                    <a:ln w="9525">
                      <a:noFill/>
                      <a:headEnd/>
                      <a:tailEnd/>
                    </a:ln>
                  </pic:spPr>
                </pic:pic>
              </a:graphicData>
            </a:graphic>
          </wp:inline>
        </w:drawing>
      </w:r>
    </w:p>
    <w:p>
      <w:pPr>
        <w:pStyle w:val="ImageCaption"/>
      </w:pPr>
      <w:r>
        <w:t xml:space="preserve">Figure 11. Concentration and temperature under hidden kinetic mismatch</w:t>
      </w:r>
    </w:p>
    <w:p>
      <w:pPr>
        <w:pStyle w:val="CaptionedFigure"/>
      </w:pPr>
      <w:r>
        <w:drawing>
          <wp:inline>
            <wp:extent cx="5334000" cy="4575317"/>
            <wp:effectExtent b="0" l="0" r="0" t="0"/>
            <wp:docPr descr="Figure 12. Actuation and sampled thermal constraint under combined perturbations" title="" id="81" name="Picture"/>
            <a:graphic>
              <a:graphicData uri="http://schemas.openxmlformats.org/drawingml/2006/picture">
                <pic:pic>
                  <pic:nvPicPr>
                    <pic:cNvPr descr="figures/Figure_12.png" id="82" name="Picture"/>
                    <pic:cNvPicPr>
                      <a:picLocks noChangeArrowheads="1" noChangeAspect="1"/>
                    </pic:cNvPicPr>
                  </pic:nvPicPr>
                  <pic:blipFill>
                    <a:blip r:embed="rId80"/>
                    <a:stretch>
                      <a:fillRect/>
                    </a:stretch>
                  </pic:blipFill>
                  <pic:spPr bwMode="auto">
                    <a:xfrm>
                      <a:off x="0" y="0"/>
                      <a:ext cx="5334000" cy="4575317"/>
                    </a:xfrm>
                    <a:prstGeom prst="rect">
                      <a:avLst/>
                    </a:prstGeom>
                    <a:noFill/>
                    <a:ln w="9525">
                      <a:noFill/>
                      <a:headEnd/>
                      <a:tailEnd/>
                    </a:ln>
                  </pic:spPr>
                </pic:pic>
              </a:graphicData>
            </a:graphic>
          </wp:inline>
        </w:drawing>
      </w:r>
    </w:p>
    <w:p>
      <w:pPr>
        <w:pStyle w:val="ImageCaption"/>
      </w:pPr>
      <w:r>
        <w:t xml:space="preserve">Figure 12. Actuation and sampled thermal constraint under combined perturbations</w:t>
      </w:r>
    </w:p>
    <w:p>
      <w:pPr>
        <w:pStyle w:val="CaptionedFigure"/>
      </w:pPr>
      <w:r>
        <w:drawing>
          <wp:inline>
            <wp:extent cx="5334000" cy="2667000"/>
            <wp:effectExtent b="0" l="0" r="0" t="0"/>
            <wp:docPr descr="Figure 13. Finite-suite contrasts: positive differences favor the candidate" title="" id="84" name="Picture"/>
            <a:graphic>
              <a:graphicData uri="http://schemas.openxmlformats.org/drawingml/2006/picture">
                <pic:pic>
                  <pic:nvPicPr>
                    <pic:cNvPr descr="figures/Figure_13.png" id="85" name="Picture"/>
                    <pic:cNvPicPr>
                      <a:picLocks noChangeArrowheads="1" noChangeAspect="1"/>
                    </pic:cNvPicPr>
                  </pic:nvPicPr>
                  <pic:blipFill>
                    <a:blip r:embed="rId8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13. Finite-suite contrasts: positive differences favor the candidate</w:t>
      </w:r>
    </w:p>
    <w:p>
      <w:pPr>
        <w:pStyle w:val="CaptionedFigure"/>
      </w:pPr>
      <w:r>
        <w:drawing>
          <wp:inline>
            <wp:extent cx="5334000" cy="2672633"/>
            <wp:effectExtent b="0" l="0" r="0" t="0"/>
            <wp:docPr descr="Figure 14. Value of additional chemical measurements: inventory-plus scenario" title="" id="87" name="Picture"/>
            <a:graphic>
              <a:graphicData uri="http://schemas.openxmlformats.org/drawingml/2006/picture">
                <pic:pic>
                  <pic:nvPicPr>
                    <pic:cNvPr descr="figures/Figure_14.png" id="88" name="Picture"/>
                    <pic:cNvPicPr>
                      <a:picLocks noChangeArrowheads="1" noChangeAspect="1"/>
                    </pic:cNvPicPr>
                  </pic:nvPicPr>
                  <pic:blipFill>
                    <a:blip r:embed="rId86"/>
                    <a:stretch>
                      <a:fillRect/>
                    </a:stretch>
                  </pic:blipFill>
                  <pic:spPr bwMode="auto">
                    <a:xfrm>
                      <a:off x="0" y="0"/>
                      <a:ext cx="5334000" cy="2672633"/>
                    </a:xfrm>
                    <a:prstGeom prst="rect">
                      <a:avLst/>
                    </a:prstGeom>
                    <a:noFill/>
                    <a:ln w="9525">
                      <a:noFill/>
                      <a:headEnd/>
                      <a:tailEnd/>
                    </a:ln>
                  </pic:spPr>
                </pic:pic>
              </a:graphicData>
            </a:graphic>
          </wp:inline>
        </w:drawing>
      </w:r>
    </w:p>
    <w:p>
      <w:pPr>
        <w:pStyle w:val="ImageCaption"/>
      </w:pPr>
      <w:r>
        <w:t xml:space="preserve">Figure 14. Value of additional chemical measurements: inventory-plus scenario</w:t>
      </w:r>
    </w:p>
    <w:p>
      <w:pPr>
        <w:pStyle w:val="CaptionedFigure"/>
      </w:pPr>
      <w:r>
        <w:drawing>
          <wp:inline>
            <wp:extent cx="5334000" cy="3517629"/>
            <wp:effectExtent b="0" l="0" r="0" t="0"/>
            <wp:docPr descr="Figure 15. Tracking, sampled safety, effort and computing trade-offs" title="" id="90" name="Picture"/>
            <a:graphic>
              <a:graphicData uri="http://schemas.openxmlformats.org/drawingml/2006/picture">
                <pic:pic>
                  <pic:nvPicPr>
                    <pic:cNvPr descr="figures/Figure_15.png" id="91" name="Picture"/>
                    <pic:cNvPicPr>
                      <a:picLocks noChangeArrowheads="1" noChangeAspect="1"/>
                    </pic:cNvPicPr>
                  </pic:nvPicPr>
                  <pic:blipFill>
                    <a:blip r:embed="rId89"/>
                    <a:stretch>
                      <a:fillRect/>
                    </a:stretch>
                  </pic:blipFill>
                  <pic:spPr bwMode="auto">
                    <a:xfrm>
                      <a:off x="0" y="0"/>
                      <a:ext cx="5334000" cy="3517629"/>
                    </a:xfrm>
                    <a:prstGeom prst="rect">
                      <a:avLst/>
                    </a:prstGeom>
                    <a:noFill/>
                    <a:ln w="9525">
                      <a:noFill/>
                      <a:headEnd/>
                      <a:tailEnd/>
                    </a:ln>
                  </pic:spPr>
                </pic:pic>
              </a:graphicData>
            </a:graphic>
          </wp:inline>
        </w:drawing>
      </w:r>
    </w:p>
    <w:p>
      <w:pPr>
        <w:pStyle w:val="ImageCaption"/>
      </w:pPr>
      <w:r>
        <w:t xml:space="preserve">Figure 15. Tracking, sampled safety, effort and computing trade-offs</w:t>
      </w:r>
    </w:p>
    <w:p>
      <w:pPr>
        <w:pStyle w:val="BodyText"/>
      </w:pPr>
      <w:r>
        <w:drawing>
          <wp:inline>
            <wp:extent cx="5334000" cy="2841177"/>
            <wp:effectExtent b="0" l="0" r="0" t="0"/>
            <wp:docPr descr="Figure 16. Regime map: favorable and adverse mean differences" title="" id="93" name="Picture"/>
            <a:graphic>
              <a:graphicData uri="http://schemas.openxmlformats.org/drawingml/2006/picture">
                <pic:pic>
                  <pic:nvPicPr>
                    <pic:cNvPr descr="figures/Figure_16.png" id="94" name="Picture"/>
                    <pic:cNvPicPr>
                      <a:picLocks noChangeArrowheads="1" noChangeAspect="1"/>
                    </pic:cNvPicPr>
                  </pic:nvPicPr>
                  <pic:blipFill>
                    <a:blip r:embed="rId92"/>
                    <a:stretch>
                      <a:fillRect/>
                    </a:stretch>
                  </pic:blipFill>
                  <pic:spPr bwMode="auto">
                    <a:xfrm>
                      <a:off x="0" y="0"/>
                      <a:ext cx="5334000" cy="2841177"/>
                    </a:xfrm>
                    <a:prstGeom prst="rect">
                      <a:avLst/>
                    </a:prstGeom>
                    <a:noFill/>
                    <a:ln w="9525">
                      <a:noFill/>
                      <a:headEnd/>
                      <a:tailEnd/>
                    </a:ln>
                  </pic:spPr>
                </pic:pic>
              </a:graphicData>
            </a:graphic>
          </wp:inline>
        </w:drawing>
      </w:r>
      <w:r>
        <w:t xml:space="preserve"> </w:t>
      </w:r>
      <w:r>
        <w:t xml:space="preserve"># References</w:t>
      </w:r>
    </w:p>
    <w:bookmarkStart w:id="123" w:name="refs"/>
    <w:bookmarkStart w:id="96" w:name="ref-brandao2019"/>
    <w:p>
      <w:pPr>
        <w:pStyle w:val="Bibliography"/>
      </w:pPr>
      <w:r>
        <w:t xml:space="preserve">Brandao, Walter Yanko de Aragao. 2019.</w:t>
      </w:r>
      <w:r>
        <w:t xml:space="preserve"> </w:t>
      </w:r>
      <w:r>
        <w:t xml:space="preserve">“Uso de Observadores de Estado Aplicados No Controle Inferencial Preditivo de Processos Nao Lineares.”</w:t>
      </w:r>
      <w:r>
        <w:t xml:space="preserve"> </w:t>
      </w:r>
      <w:r>
        <w:t xml:space="preserve">Master’s thesis, Universidade Federal de Campina Grande.</w:t>
      </w:r>
      <w:r>
        <w:t xml:space="preserve"> </w:t>
      </w:r>
      <w:hyperlink r:id="rId95">
        <w:r>
          <w:rPr>
            <w:rStyle w:val="Hyperlink"/>
          </w:rPr>
          <w:t xml:space="preserve">https://dspace.sti.ufcg.edu.br/handle/riufcg/12684</w:t>
        </w:r>
      </w:hyperlink>
      <w:r>
        <w:t xml:space="preserve">.</w:t>
      </w:r>
    </w:p>
    <w:bookmarkEnd w:id="96"/>
    <w:bookmarkStart w:id="98" w:name="ref-cao2026"/>
    <w:p>
      <w:pPr>
        <w:pStyle w:val="Bibliography"/>
      </w:pPr>
      <w:r>
        <w:t xml:space="preserve">Cao, Daniel, Beixi Du, Andrew Lowitt, Sunmook Choi, Sarah Dean, and Yahya Sattar. 2026.</w:t>
      </w:r>
      <w:r>
        <w:t xml:space="preserve"> </w:t>
      </w:r>
      <w:r>
        <w:t xml:space="preserve">“Dual Control of Linear Systems from Bilinear Observations with Belief Space Model Predictive Control.”</w:t>
      </w:r>
      <w:r>
        <w:t xml:space="preserve"> </w:t>
      </w:r>
      <w:hyperlink r:id="rId97">
        <w:r>
          <w:rPr>
            <w:rStyle w:val="Hyperlink"/>
          </w:rPr>
          <w:t xml:space="preserve">https://arxiv.org/abs/2604.24663</w:t>
        </w:r>
      </w:hyperlink>
      <w:r>
        <w:t xml:space="preserve">.</w:t>
      </w:r>
    </w:p>
    <w:bookmarkEnd w:id="98"/>
    <w:bookmarkStart w:id="100" w:name="ref-chan2004"/>
    <w:p>
      <w:pPr>
        <w:pStyle w:val="Bibliography"/>
      </w:pPr>
      <w:r>
        <w:t xml:space="preserve">Chan, Arthur, and Warren D. Seider. 2004.</w:t>
      </w:r>
      <w:r>
        <w:t xml:space="preserve"> </w:t>
      </w:r>
      <w:r>
        <w:t xml:space="preserve">“Batch Manufacture of Propylene Glycol.”</w:t>
      </w:r>
      <w:r>
        <w:t xml:space="preserve"> </w:t>
      </w:r>
      <w:r>
        <w:t xml:space="preserve">University of Pennsylvania.</w:t>
      </w:r>
      <w:r>
        <w:t xml:space="preserve"> </w:t>
      </w:r>
      <w:hyperlink r:id="rId99">
        <w:r>
          <w:rPr>
            <w:rStyle w:val="Hyperlink"/>
          </w:rPr>
          <w:t xml:space="preserve">https://www.engineering.upenn.edu/~dlewin/CACHE_Workshop/Batch%20Manufacture%20of%20Propylene%20Glycol.pdf</w:t>
        </w:r>
      </w:hyperlink>
      <w:r>
        <w:t xml:space="preserve">.</w:t>
      </w:r>
    </w:p>
    <w:bookmarkEnd w:id="100"/>
    <w:bookmarkStart w:id="102" w:name="ref-elmachtoub2022"/>
    <w:p>
      <w:pPr>
        <w:pStyle w:val="Bibliography"/>
      </w:pPr>
      <w:r>
        <w:t xml:space="preserve">Elmachtoub, Adam N., and Paul Grigas. 2022.</w:t>
      </w:r>
      <w:r>
        <w:t xml:space="preserve"> </w:t>
      </w:r>
      <w:r>
        <w:t xml:space="preserve">“Smart</w:t>
      </w:r>
      <w:r>
        <w:t xml:space="preserve"> </w:t>
      </w:r>
      <w:r>
        <w:t xml:space="preserve">Predict, then Optimize</w:t>
      </w:r>
      <w:r>
        <w:t xml:space="preserve">.”</w:t>
      </w:r>
      <w:r>
        <w:t xml:space="preserve"> </w:t>
      </w:r>
      <w:r>
        <w:rPr>
          <w:iCs/>
          <w:i/>
        </w:rPr>
        <w:t xml:space="preserve">Management Science</w:t>
      </w:r>
      <w:r>
        <w:t xml:space="preserve"> </w:t>
      </w:r>
      <w:r>
        <w:t xml:space="preserve">68 (1): 9–26.</w:t>
      </w:r>
      <w:r>
        <w:t xml:space="preserve"> </w:t>
      </w:r>
      <w:hyperlink r:id="rId101">
        <w:r>
          <w:rPr>
            <w:rStyle w:val="Hyperlink"/>
          </w:rPr>
          <w:t xml:space="preserve">https://doi.org/10.1287/mnsc.2020.3922</w:t>
        </w:r>
      </w:hyperlink>
      <w:r>
        <w:t xml:space="preserve">.</w:t>
      </w:r>
    </w:p>
    <w:bookmarkEnd w:id="102"/>
    <w:bookmarkStart w:id="104" w:name="ref-enwerem2026"/>
    <w:p>
      <w:pPr>
        <w:pStyle w:val="Bibliography"/>
      </w:pPr>
      <w:r>
        <w:t xml:space="preserve">Enwerem, Clinton, John S. Baras, and Calin Belta. 2026.</w:t>
      </w:r>
      <w:r>
        <w:t xml:space="preserve"> </w:t>
      </w:r>
      <w:r>
        <w:t xml:space="preserve">“Risk-Constrained Belief-Space Optimization for Safe Control Under Latent Uncertainty.”</w:t>
      </w:r>
      <w:r>
        <w:t xml:space="preserve"> </w:t>
      </w:r>
      <w:hyperlink r:id="rId103">
        <w:r>
          <w:rPr>
            <w:rStyle w:val="Hyperlink"/>
          </w:rPr>
          <w:t xml:space="preserve">https://arxiv.org/abs/2604.03868</w:t>
        </w:r>
      </w:hyperlink>
      <w:r>
        <w:t xml:space="preserve">.</w:t>
      </w:r>
    </w:p>
    <w:bookmarkEnd w:id="104"/>
    <w:bookmarkStart w:id="106" w:name="ref-fogler_examples"/>
    <w:p>
      <w:pPr>
        <w:pStyle w:val="Bibliography"/>
      </w:pPr>
      <w:r>
        <w:t xml:space="preserve">Fogler, H. Scott. n.d.</w:t>
      </w:r>
      <w:r>
        <w:t xml:space="preserve"> </w:t>
      </w:r>
      <w:r>
        <w:t xml:space="preserve">“Elements of Chemical Reaction Engineering: Sixth-Edition Living Examples, Chapter 12.”</w:t>
      </w:r>
      <w:r>
        <w:t xml:space="preserve"> </w:t>
      </w:r>
      <w:r>
        <w:t xml:space="preserve">University of Michigan teaching resources.</w:t>
      </w:r>
      <w:r>
        <w:t xml:space="preserve"> </w:t>
      </w:r>
      <w:hyperlink r:id="rId105">
        <w:r>
          <w:rPr>
            <w:rStyle w:val="Hyperlink"/>
          </w:rPr>
          <w:t xml:space="preserve">https://public.websites.umich.edu/~elements/6e/12chap/live.html</w:t>
        </w:r>
      </w:hyperlink>
      <w:r>
        <w:t xml:space="preserve">.</w:t>
      </w:r>
    </w:p>
    <w:bookmarkEnd w:id="106"/>
    <w:bookmarkStart w:id="108" w:name="ref-goel2021"/>
    <w:p>
      <w:pPr>
        <w:pStyle w:val="Bibliography"/>
      </w:pPr>
      <w:r>
        <w:t xml:space="preserve">Goel, Gautam, and Babak Hassibi. 2021.</w:t>
      </w:r>
      <w:r>
        <w:t xml:space="preserve"> </w:t>
      </w:r>
      <w:r>
        <w:t xml:space="preserve">“Regret-Optimal Measurement-Feedback Control.”</w:t>
      </w:r>
      <w:r>
        <w:t xml:space="preserve"> </w:t>
      </w:r>
      <w:r>
        <w:t xml:space="preserve">In</w:t>
      </w:r>
      <w:r>
        <w:t xml:space="preserve"> </w:t>
      </w:r>
      <w:r>
        <w:rPr>
          <w:iCs/>
          <w:i/>
        </w:rPr>
        <w:t xml:space="preserve">Proceedings of the 3rd Conference on Learning for Dynamics and Control</w:t>
      </w:r>
      <w:r>
        <w:t xml:space="preserve">, 144:1270–80. Proceedings of Machine Learning Research.</w:t>
      </w:r>
      <w:r>
        <w:t xml:space="preserve"> </w:t>
      </w:r>
      <w:hyperlink r:id="rId107">
        <w:r>
          <w:rPr>
            <w:rStyle w:val="Hyperlink"/>
          </w:rPr>
          <w:t xml:space="preserve">https://proceedings.mlr.press/v144/goel21a.html</w:t>
        </w:r>
      </w:hyperlink>
      <w:r>
        <w:t xml:space="preserve">.</w:t>
      </w:r>
    </w:p>
    <w:bookmarkEnd w:id="108"/>
    <w:bookmarkStart w:id="110" w:name="ref-hermann1977"/>
    <w:p>
      <w:pPr>
        <w:pStyle w:val="Bibliography"/>
      </w:pPr>
      <w:r>
        <w:t xml:space="preserve">Hermann, Robert, and Arthur J. Krener. 1977.</w:t>
      </w:r>
      <w:r>
        <w:t xml:space="preserve"> </w:t>
      </w:r>
      <w:r>
        <w:t xml:space="preserve">“Nonlinear Controllability and Observability.”</w:t>
      </w:r>
      <w:r>
        <w:t xml:space="preserve"> </w:t>
      </w:r>
      <w:r>
        <w:rPr>
          <w:iCs/>
          <w:i/>
        </w:rPr>
        <w:t xml:space="preserve">IEEE Transactions on Automatic Control</w:t>
      </w:r>
      <w:r>
        <w:t xml:space="preserve"> </w:t>
      </w:r>
      <w:r>
        <w:t xml:space="preserve">22 (5): 728–40.</w:t>
      </w:r>
      <w:r>
        <w:t xml:space="preserve"> </w:t>
      </w:r>
      <w:hyperlink r:id="rId109">
        <w:r>
          <w:rPr>
            <w:rStyle w:val="Hyperlink"/>
          </w:rPr>
          <w:t xml:space="preserve">https://doi.org/10.1109/TAC.1977.1101601</w:t>
        </w:r>
      </w:hyperlink>
      <w:r>
        <w:t xml:space="preserve">.</w:t>
      </w:r>
    </w:p>
    <w:bookmarkEnd w:id="110"/>
    <w:bookmarkStart w:id="112" w:name="ref-klenske2016"/>
    <w:p>
      <w:pPr>
        <w:pStyle w:val="Bibliography"/>
      </w:pPr>
      <w:r>
        <w:t xml:space="preserve">Klenske, Edgar D., and Philipp Hennig. 2016.</w:t>
      </w:r>
      <w:r>
        <w:t xml:space="preserve"> </w:t>
      </w:r>
      <w:r>
        <w:t xml:space="preserve">“Dual Control for Approximate Bayesian Reinforcement Learning.”</w:t>
      </w:r>
      <w:r>
        <w:t xml:space="preserve"> </w:t>
      </w:r>
      <w:r>
        <w:rPr>
          <w:iCs/>
          <w:i/>
        </w:rPr>
        <w:t xml:space="preserve">Journal of Machine Learning Research</w:t>
      </w:r>
      <w:r>
        <w:t xml:space="preserve"> </w:t>
      </w:r>
      <w:r>
        <w:t xml:space="preserve">17 (127): 1–30.</w:t>
      </w:r>
      <w:r>
        <w:t xml:space="preserve"> </w:t>
      </w:r>
      <w:hyperlink r:id="rId111">
        <w:r>
          <w:rPr>
            <w:rStyle w:val="Hyperlink"/>
          </w:rPr>
          <w:t xml:space="preserve">https://www.jmlr.org/papers/v17/15-162.html</w:t>
        </w:r>
      </w:hyperlink>
      <w:r>
        <w:t xml:space="preserve">.</w:t>
      </w:r>
    </w:p>
    <w:bookmarkEnd w:id="112"/>
    <w:bookmarkStart w:id="114" w:name="ref-lall2002"/>
    <w:p>
      <w:pPr>
        <w:pStyle w:val="Bibliography"/>
      </w:pPr>
      <w:r>
        <w:t xml:space="preserve">Lall, Sanjay, Jerrold E. Marsden, and Sonja Glavaski. 2002.</w:t>
      </w:r>
      <w:r>
        <w:t xml:space="preserve"> </w:t>
      </w:r>
      <w:r>
        <w:t xml:space="preserve">“A Subspace Approach to Balanced Truncation for Model Reduction of Nonlinear Control Systems.”</w:t>
      </w:r>
      <w:r>
        <w:t xml:space="preserve"> </w:t>
      </w:r>
      <w:r>
        <w:rPr>
          <w:iCs/>
          <w:i/>
        </w:rPr>
        <w:t xml:space="preserve">International Journal of Robust and Nonlinear Control</w:t>
      </w:r>
      <w:r>
        <w:t xml:space="preserve"> </w:t>
      </w:r>
      <w:r>
        <w:t xml:space="preserve">12: 519–35.</w:t>
      </w:r>
      <w:r>
        <w:t xml:space="preserve"> </w:t>
      </w:r>
      <w:hyperlink r:id="rId113">
        <w:r>
          <w:rPr>
            <w:rStyle w:val="Hyperlink"/>
          </w:rPr>
          <w:t xml:space="preserve">https://doi.org/10.1002/rnc.657</w:t>
        </w:r>
      </w:hyperlink>
      <w:r>
        <w:t xml:space="preserve">.</w:t>
      </w:r>
    </w:p>
    <w:bookmarkEnd w:id="114"/>
    <w:bookmarkStart w:id="116" w:name="ref-rao2003"/>
    <w:p>
      <w:pPr>
        <w:pStyle w:val="Bibliography"/>
      </w:pPr>
      <w:r>
        <w:t xml:space="preserve">Rao, Christopher V., James B. Rawlings, and David Q. Mayne. 2003.</w:t>
      </w:r>
      <w:r>
        <w:t xml:space="preserve"> </w:t>
      </w:r>
      <w:r>
        <w:t xml:space="preserve">“Constrained State Estimation for Nonlinear Discrete-Time Systems: Stability and Moving Horizon Approximations.”</w:t>
      </w:r>
      <w:r>
        <w:t xml:space="preserve"> </w:t>
      </w:r>
      <w:r>
        <w:rPr>
          <w:iCs/>
          <w:i/>
        </w:rPr>
        <w:t xml:space="preserve">IEEE Transactions on Automatic Control</w:t>
      </w:r>
      <w:r>
        <w:t xml:space="preserve"> </w:t>
      </w:r>
      <w:r>
        <w:t xml:space="preserve">48 (2): 246–58.</w:t>
      </w:r>
      <w:r>
        <w:t xml:space="preserve"> </w:t>
      </w:r>
      <w:hyperlink r:id="rId115">
        <w:r>
          <w:rPr>
            <w:rStyle w:val="Hyperlink"/>
          </w:rPr>
          <w:t xml:space="preserve">https://doi.org/10.1109/TAC.2002.808470</w:t>
        </w:r>
      </w:hyperlink>
      <w:r>
        <w:t xml:space="preserve">.</w:t>
      </w:r>
    </w:p>
    <w:bookmarkEnd w:id="116"/>
    <w:bookmarkStart w:id="118" w:name="ref-rawlings2017"/>
    <w:p>
      <w:pPr>
        <w:pStyle w:val="Bibliography"/>
      </w:pPr>
      <w:r>
        <w:t xml:space="preserve">Rawlings, James B., David Q. Mayne, and Moritz M. Diehl. 2017.</w:t>
      </w:r>
      <w:r>
        <w:t xml:space="preserve"> </w:t>
      </w:r>
      <w:r>
        <w:rPr>
          <w:iCs/>
          <w:i/>
        </w:rPr>
        <w:t xml:space="preserve">Model Predictive Control: Theory, Computation, and Design</w:t>
      </w:r>
      <w:r>
        <w:t xml:space="preserve">. 2nd ed. Nob Hill Publishing.</w:t>
      </w:r>
      <w:r>
        <w:t xml:space="preserve"> </w:t>
      </w:r>
      <w:hyperlink r:id="rId117">
        <w:r>
          <w:rPr>
            <w:rStyle w:val="Hyperlink"/>
          </w:rPr>
          <w:t xml:space="preserve">https://sites.chemengr.ucsb.edu/~jbraw/mpc/</w:t>
        </w:r>
      </w:hyperlink>
      <w:r>
        <w:t xml:space="preserve">.</w:t>
      </w:r>
    </w:p>
    <w:bookmarkEnd w:id="118"/>
    <w:bookmarkStart w:id="120" w:name="ref-schaum2007"/>
    <w:p>
      <w:pPr>
        <w:pStyle w:val="Bibliography"/>
      </w:pPr>
      <w:r>
        <w:t xml:space="preserve">Schaum, Alexander, Jaime A. Moreno, Jorge Diaz-Salgado, and Jesus Alvarez. 2007.</w:t>
      </w:r>
      <w:r>
        <w:t xml:space="preserve"> </w:t>
      </w:r>
      <w:r>
        <w:t xml:space="preserve">“Dissipativity-Based Observer and Feedback Control Design for a Class of Chemical Reactors.”</w:t>
      </w:r>
      <w:r>
        <w:t xml:space="preserve"> </w:t>
      </w:r>
      <w:r>
        <w:t xml:space="preserve">In</w:t>
      </w:r>
      <w:r>
        <w:t xml:space="preserve"> </w:t>
      </w:r>
      <w:r>
        <w:rPr>
          <w:iCs/>
          <w:i/>
        </w:rPr>
        <w:t xml:space="preserve">8th IFAC Symposium on Dynamics and Control of Process Systems</w:t>
      </w:r>
      <w:r>
        <w:t xml:space="preserve">.</w:t>
      </w:r>
      <w:r>
        <w:t xml:space="preserve"> </w:t>
      </w:r>
      <w:hyperlink r:id="rId119">
        <w:r>
          <w:rPr>
            <w:rStyle w:val="Hyperlink"/>
          </w:rPr>
          <w:t xml:space="preserve">https://skoge.folk.ntnu.no/prost/proceedings/dycops2007-and-cab2007/DYCOPS/Friday/DissipativityBasedControl/V32_291_Paper_stamped_noAS.pdf</w:t>
        </w:r>
      </w:hyperlink>
      <w:r>
        <w:t xml:space="preserve">.</w:t>
      </w:r>
    </w:p>
    <w:bookmarkEnd w:id="120"/>
    <w:bookmarkStart w:id="122" w:name="ref-villaverde2016"/>
    <w:p>
      <w:pPr>
        <w:pStyle w:val="Bibliography"/>
      </w:pPr>
      <w:r>
        <w:t xml:space="preserve">Villaverde, Alejandro F., Antonio Barreiro, and Antonis Papachristodoulou. 2016.</w:t>
      </w:r>
      <w:r>
        <w:t xml:space="preserve"> </w:t>
      </w:r>
      <w:r>
        <w:t xml:space="preserve">“Structural Identifiability of Dynamic Systems Biology Models.”</w:t>
      </w:r>
      <w:r>
        <w:t xml:space="preserve"> </w:t>
      </w:r>
      <w:r>
        <w:rPr>
          <w:iCs/>
          <w:i/>
        </w:rPr>
        <w:t xml:space="preserve">PLoS Computational Biology</w:t>
      </w:r>
      <w:r>
        <w:t xml:space="preserve"> </w:t>
      </w:r>
      <w:r>
        <w:t xml:space="preserve">12 (10): e1005153.</w:t>
      </w:r>
      <w:r>
        <w:t xml:space="preserve"> </w:t>
      </w:r>
      <w:hyperlink r:id="rId121">
        <w:r>
          <w:rPr>
            <w:rStyle w:val="Hyperlink"/>
          </w:rPr>
          <w:t xml:space="preserve">https://doi.org/10.1371/journal.pcbi.1005153</w:t>
        </w:r>
      </w:hyperlink>
      <w:r>
        <w:t xml:space="preserve">.</w:t>
      </w:r>
    </w:p>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hyperlink" Id="rId103" Target="https://arxiv.org/abs/2604.03868" TargetMode="External" /><Relationship Type="http://schemas.openxmlformats.org/officeDocument/2006/relationships/hyperlink" Id="rId97" Target="https://arxiv.org/abs/2604.24663" TargetMode="External" /><Relationship Type="http://schemas.openxmlformats.org/officeDocument/2006/relationships/hyperlink" Id="rId113" Target="https://doi.org/10.1002/rnc.657" TargetMode="External" /><Relationship Type="http://schemas.openxmlformats.org/officeDocument/2006/relationships/hyperlink" Id="rId109" Target="https://doi.org/10.1109/TAC.1977.1101601" TargetMode="External" /><Relationship Type="http://schemas.openxmlformats.org/officeDocument/2006/relationships/hyperlink" Id="rId115" Target="https://doi.org/10.1109/TAC.2002.808470" TargetMode="External" /><Relationship Type="http://schemas.openxmlformats.org/officeDocument/2006/relationships/hyperlink" Id="rId101" Target="https://doi.org/10.1287/mnsc.2020.3922" TargetMode="External" /><Relationship Type="http://schemas.openxmlformats.org/officeDocument/2006/relationships/hyperlink" Id="rId121" Target="https://doi.org/10.1371/journal.pcbi.1005153" TargetMode="External" /><Relationship Type="http://schemas.openxmlformats.org/officeDocument/2006/relationships/hyperlink" Id="rId95" Target="https://dspace.sti.ufcg.edu.br/handle/riufcg/12684" TargetMode="External" /><Relationship Type="http://schemas.openxmlformats.org/officeDocument/2006/relationships/hyperlink" Id="rId107" Target="https://proceedings.mlr.press/v144/goel21a.html" TargetMode="External" /><Relationship Type="http://schemas.openxmlformats.org/officeDocument/2006/relationships/hyperlink" Id="rId105" Target="https://public.websites.umich.edu/~elements/6e/12chap/live.html" TargetMode="External" /><Relationship Type="http://schemas.openxmlformats.org/officeDocument/2006/relationships/hyperlink" Id="rId117" Target="https://sites.chemengr.ucsb.edu/~jbraw/mpc/" TargetMode="External" /><Relationship Type="http://schemas.openxmlformats.org/officeDocument/2006/relationships/hyperlink" Id="rId119" Target="https://skoge.folk.ntnu.no/prost/proceedings/dycops2007-and-cab2007/DYCOPS/Friday/DissipativityBasedControl/V32_291_Paper_stamped_noAS.pdf" TargetMode="External" /><Relationship Type="http://schemas.openxmlformats.org/officeDocument/2006/relationships/hyperlink" Id="rId99" Target="https://www.engineering.upenn.edu/~dlewin/CACHE_Workshop/Batch%20Manufacture%20of%20Propylene%20Glycol.pdf" TargetMode="External" /><Relationship Type="http://schemas.openxmlformats.org/officeDocument/2006/relationships/hyperlink" Id="rId111" Target="https://www.jmlr.org/papers/v17/15-162.html" TargetMode="External" /></Relationships>
</file>

<file path=word/_rels/footnotes.xml.rels><?xml version="1.0" encoding="UTF-8"?><Relationships xmlns="http://schemas.openxmlformats.org/package/2006/relationships"><Relationship Type="http://schemas.openxmlformats.org/officeDocument/2006/relationships/hyperlink" Id="rId103" Target="https://arxiv.org/abs/2604.03868" TargetMode="External" /><Relationship Type="http://schemas.openxmlformats.org/officeDocument/2006/relationships/hyperlink" Id="rId97" Target="https://arxiv.org/abs/2604.24663" TargetMode="External" /><Relationship Type="http://schemas.openxmlformats.org/officeDocument/2006/relationships/hyperlink" Id="rId113" Target="https://doi.org/10.1002/rnc.657" TargetMode="External" /><Relationship Type="http://schemas.openxmlformats.org/officeDocument/2006/relationships/hyperlink" Id="rId109" Target="https://doi.org/10.1109/TAC.1977.1101601" TargetMode="External" /><Relationship Type="http://schemas.openxmlformats.org/officeDocument/2006/relationships/hyperlink" Id="rId115" Target="https://doi.org/10.1109/TAC.2002.808470" TargetMode="External" /><Relationship Type="http://schemas.openxmlformats.org/officeDocument/2006/relationships/hyperlink" Id="rId101" Target="https://doi.org/10.1287/mnsc.2020.3922" TargetMode="External" /><Relationship Type="http://schemas.openxmlformats.org/officeDocument/2006/relationships/hyperlink" Id="rId121" Target="https://doi.org/10.1371/journal.pcbi.1005153" TargetMode="External" /><Relationship Type="http://schemas.openxmlformats.org/officeDocument/2006/relationships/hyperlink" Id="rId95" Target="https://dspace.sti.ufcg.edu.br/handle/riufcg/12684" TargetMode="External" /><Relationship Type="http://schemas.openxmlformats.org/officeDocument/2006/relationships/hyperlink" Id="rId107" Target="https://proceedings.mlr.press/v144/goel21a.html" TargetMode="External" /><Relationship Type="http://schemas.openxmlformats.org/officeDocument/2006/relationships/hyperlink" Id="rId105" Target="https://public.websites.umich.edu/~elements/6e/12chap/live.html" TargetMode="External" /><Relationship Type="http://schemas.openxmlformats.org/officeDocument/2006/relationships/hyperlink" Id="rId117" Target="https://sites.chemengr.ucsb.edu/~jbraw/mpc/" TargetMode="External" /><Relationship Type="http://schemas.openxmlformats.org/officeDocument/2006/relationships/hyperlink" Id="rId119" Target="https://skoge.folk.ntnu.no/prost/proceedings/dycops2007-and-cab2007/DYCOPS/Friday/DissipativityBasedControl/V32_291_Paper_stamped_noAS.pdf" TargetMode="External" /><Relationship Type="http://schemas.openxmlformats.org/officeDocument/2006/relationships/hyperlink" Id="rId99" Target="https://www.engineering.upenn.edu/~dlewin/CACHE_Workshop/Batch%20Manufacture%20of%20Propylene%20Glycol.pdf" TargetMode="External" /><Relationship Type="http://schemas.openxmlformats.org/officeDocument/2006/relationships/hyperlink" Id="rId111" Target="https://www.jmlr.org/papers/v17/15-16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and Decision Limits in Inferential Predictive Control of a Nonlinear Propylene Glycol Reactor</dc:title>
  <dc:creator>Walter Yanko de Aragão Brandão</dc:creator>
  <dc:language>en-US</dc:language>
  <cp:keywords/>
  <dcterms:created xsi:type="dcterms:W3CDTF">2026-10-20T22:03:03Z</dcterms:created>
  <dcterms:modified xsi:type="dcterms:W3CDTF">2026-10-20T22:03:03Z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olorlinks">
    <vt:lpwstr>True</vt:lpwstr>
  </property>
  <property fmtid="{D5CDD505-2E9C-101B-9397-08002B2CF9AE}" pid="4" name="date">
    <vt:lpwstr>20 October 2026</vt:lpwstr>
  </property>
  <property fmtid="{D5CDD505-2E9C-101B-9397-08002B2CF9AE}" pid="5" name="fontsize">
    <vt:lpwstr>11pt</vt:lpwstr>
  </property>
  <property fmtid="{D5CDD505-2E9C-101B-9397-08002B2CF9AE}" pid="6" name="geometry">
    <vt:lpwstr>margin=24mm</vt:lpwstr>
  </property>
</Properties>
</file>