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Síntese</w:t>
      </w:r>
      <w:r>
        <w:t xml:space="preserve"> </w:t>
      </w:r>
      <w:r>
        <w:t xml:space="preserve">executiva</w:t>
      </w:r>
      <w:r>
        <w:t xml:space="preserve"> </w:t>
      </w:r>
      <w:r>
        <w:t xml:space="preserve">para</w:t>
      </w:r>
      <w:r>
        <w:t xml:space="preserve"> </w:t>
      </w:r>
      <w:r>
        <w:t xml:space="preserve">discussão</w:t>
      </w:r>
      <w:r>
        <w:t xml:space="preserve"> </w:t>
      </w:r>
      <w:r>
        <w:t xml:space="preserve">científica</w:t>
      </w:r>
      <w:r>
        <w:t xml:space="preserve"> </w:t>
      </w:r>
      <w:r>
        <w:t xml:space="preserve">—</w:t>
      </w:r>
      <w:r>
        <w:t xml:space="preserve"> </w:t>
      </w:r>
      <w:r>
        <w:t xml:space="preserve">PG</w:t>
      </w:r>
      <w:r>
        <w:t xml:space="preserve"> </w:t>
      </w:r>
      <w:r>
        <w:t xml:space="preserve">Frontier</w:t>
      </w:r>
    </w:p>
    <w:p>
      <w:pPr>
        <w:pStyle w:val="Author"/>
      </w:pPr>
      <w:r>
        <w:t xml:space="preserve">Walter</w:t>
      </w:r>
      <w:r>
        <w:t xml:space="preserve"> </w:t>
      </w:r>
      <w:r>
        <w:t xml:space="preserve">Yanko</w:t>
      </w:r>
      <w:r>
        <w:t xml:space="preserve"> </w:t>
      </w:r>
      <w:r>
        <w:t xml:space="preserve">de</w:t>
      </w:r>
      <w:r>
        <w:t xml:space="preserve"> </w:t>
      </w:r>
      <w:r>
        <w:t xml:space="preserve">Aragão</w:t>
      </w:r>
      <w:r>
        <w:t xml:space="preserve"> </w:t>
      </w:r>
      <w:r>
        <w:t xml:space="preserve">Brandão</w:t>
      </w:r>
    </w:p>
    <w:p>
      <w:pPr>
        <w:pStyle w:val="Date"/>
      </w:pPr>
      <w:r>
        <w:t xml:space="preserve">20</w:t>
      </w:r>
      <w:r>
        <w:t xml:space="preserve"> </w:t>
      </w:r>
      <w:r>
        <w:t xml:space="preserve">October</w:t>
      </w:r>
      <w:r>
        <w:t xml:space="preserve"> </w:t>
      </w:r>
      <w:r>
        <w:t xml:space="preserve">2026</w:t>
      </w:r>
    </w:p>
    <w:bookmarkStart w:id="20" w:name="resultado-e-escopo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Resultado e escopo</w:t>
      </w:r>
    </w:p>
    <w:p>
      <w:pPr>
        <w:pStyle w:val="FirstParagraph"/>
      </w:pPr>
      <w:r>
        <w:t xml:space="preserve">Foram executadas 5320 trajetórias principais, 400 confirmações e 18 verificações de grade. Esta entrega documenta o núcleo computacional e permanece PARCIAL frente à missão integral. A auditoria recalculou IAE e RMSE em 5720 arquivos de trajetória. O histórico completo ICAC e o modelo físico calibrado M1 não foram recuperados.</w:t>
      </w:r>
    </w:p>
    <w:p>
      <w:pPr>
        <w:pStyle w:val="BodyText"/>
      </w:pPr>
      <w:r>
        <w:t xml:space="preserve">A contribuição matemática mais útil é separar as dependências físicas necessárias para a ambiguidade. Com cinética de primeira ordem em A e capacidades caloríficas constantes, duas direções químicas podem permanecer invisíveis às temperaturas. Tornar a camisa recíproca não remove esse núcleo. Propriedades independentes dependentes de temperatura podem reduzir esse núcleo, sem necessariamente fornecer sinal mensurável no tempo útil ao controle.</w:t>
      </w:r>
    </w:p>
    <w:bookmarkEnd w:id="20"/>
    <w:bookmarkStart w:id="21" w:name="resultados-de-controle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Resultados de controle</w:t>
      </w:r>
    </w:p>
    <w:p>
      <w:pPr>
        <w:pStyle w:val="FirstParagraph"/>
      </w:pPr>
      <w:r>
        <w:t xml:space="preserve">Melhoria positiva favorece o candidato. As diferenças são pareadas por semente e condicionadas à suíte finita, com modelos e limites compartilhados. Não equivalem a uma conclusão industrial.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candidate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percent_improvement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mean_improvement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ci95_low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ci95_high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p_holm_primary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P2_regret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B1_ukf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0.634593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0.000850102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-0.00100823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0.00283537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0.418569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P3_adaptive_regret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B2_both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0.657212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0.000578973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-0.000207131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0.00145957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0.418569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B2_both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B2_estimator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39.912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0.0585153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0.0565261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0.0604609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3.11056e-22</w:t>
            </w:r>
          </w:p>
        </w:tc>
      </w:tr>
    </w:tbl>
    <w:p>
      <w:pPr>
        <w:pStyle w:val="BodyText"/>
      </w:pPr>
      <w:r>
        <w:t xml:space="preserve">Os ganhos adicionais de P2 e P3 foram 0,63% e 0,66%, com IC incluindo zero, sem confirmação de benefício. O ganho de 39,91% vem de compartilhar a correção paramétrica com o preditor. O PI teve IAE favorável, mas excedeu amplamente a temperatura limite; informação química ajudou no inventário incerto, sem ganho uniforme sob mismatch.</w:t>
      </w:r>
    </w:p>
    <w:p>
      <w:pPr>
        <w:pStyle w:val="BodyText"/>
      </w:pPr>
      <w:r>
        <w:t xml:space="preserve">O confronto contínuo utiliza a mesma parametrização curta de dois blocos. Ainda falta a comparação com o NMPC histórico de horizonte 57 e seis movimentos, além da sintonia competitiva do PI/MHE. A meta exploratória de 10% não deve ser lida como promessa ou como critério suficiente de publicação.</w:t>
      </w:r>
    </w:p>
    <w:bookmarkEnd w:id="21"/>
    <w:bookmarkStart w:id="22" w:name="Xfb76d5aaf631a2877c45f69e3a9a7dad00c156c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Contraexemplos e perguntas para discussão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candidate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percent_improvement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ci95_low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ci95_high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correlated_noise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B0_PI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-592.588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-0.0120465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-0.00900468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saturation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P5_noisy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-453.515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-0.0115612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-0.00356675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saturation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B2_both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-414.805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-0.00994615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-0.00387001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correlated_noise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B2_both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-398.963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-0.0101161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-0.00404126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dropout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P5_noisy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-381.224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-0.00936466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-0.0033412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nominal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P5_noisy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-381.224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-0.00933152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-0.00325644</w:t>
            </w:r>
          </w:p>
        </w:tc>
      </w:tr>
    </w:tbl>
    <w:p>
      <w:pPr>
        <w:pStyle w:val="BodyText"/>
      </w:pPr>
      <w:r>
        <w:t xml:space="preserve">Perguntas centrais para colaboradores: quais correlações experimentais Cp(T) devem substituir as hipóteses? Qual é a informação inicial realmente disponível sobre os inventários? O ganho de cada contraste persiste quando horizonte, solver e orçamento são equiparados ao baseline histórico? Qual sensor adicional pode ser instalado e qual seu atraso real?</w:t>
      </w:r>
    </w:p>
    <w:bookmarkEnd w:id="22"/>
    <w:bookmarkStart w:id="23" w:name="decisão-científica-e-próximo-gate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Decisão científica e próximo gate</w:t>
      </w:r>
    </w:p>
    <w:p>
      <w:pPr>
        <w:pStyle w:val="FirstParagraph"/>
      </w:pPr>
      <w:r>
        <w:t xml:space="preserve">A limitação do modelo histórico está demonstrada sob hipóteses explícitas. Uma limitação universal do reator físico não está demonstrada. O valor de informação depende do objetivo e da autoridade de atuação. O artigo não deve reivindicar nova teoria geral, melhor controlador universal ou validação industrial.</w:t>
      </w:r>
    </w:p>
    <w:p>
      <w:pPr>
        <w:pStyle w:val="BodyText"/>
      </w:pPr>
      <w:r>
        <w:t xml:space="preserve">O pacote fornece código, dados, figuras, fontes LaTeX, PDF compilado, DOCX, revisão dirigida e registro das lacunas. Para promover a versão a FINAL: recuperar e reexecutar ICAC/C08; obter propriedades físicas e dinâmica de analisadores; concluir baselines contínuos fortes; revisar causalidade/identificabilidade com especialista; confirmar regimes novos; e só então decidir o periódico e a submissão.</w:t>
      </w:r>
    </w:p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pt-B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Síntese executiva para discussão científica — PG Frontier</dc:title>
  <dc:creator>Walter Yanko de Aragão Brandão</dc:creator>
  <dc:language>pt-BR</dc:language>
  <cp:keywords/>
  <dcterms:created xsi:type="dcterms:W3CDTF">2026-10-20T21:54:16Z</dcterms:created>
  <dcterms:modified xsi:type="dcterms:W3CDTF">2026-10-20T21:54:16Z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references.bib</vt:lpwstr>
  </property>
  <property fmtid="{D5CDD505-2E9C-101B-9397-08002B2CF9AE}" pid="3" name="colorlinks">
    <vt:lpwstr>True</vt:lpwstr>
  </property>
  <property fmtid="{D5CDD505-2E9C-101B-9397-08002B2CF9AE}" pid="4" name="date">
    <vt:lpwstr>20 October 2026</vt:lpwstr>
  </property>
  <property fmtid="{D5CDD505-2E9C-101B-9397-08002B2CF9AE}" pid="5" name="fontsize">
    <vt:lpwstr>11pt</vt:lpwstr>
  </property>
  <property fmtid="{D5CDD505-2E9C-101B-9397-08002B2CF9AE}" pid="6" name="geometry">
    <vt:lpwstr>margin=24mm</vt:lpwstr>
  </property>
</Properties>
</file>