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before="1400"/>
      </w:pPr>
      <w:r>
        <w:t xml:space="preserve">Temario Holístico</w:t>
      </w:r>
    </w:p>
    <w:p>
      <w:pPr>
        <w:pStyle w:val="Title"/>
      </w:pPr>
      <w:r>
        <w:t xml:space="preserve">de Medicina Interna</w:t>
      </w:r>
    </w:p>
    <w:p>
      <w:pPr>
        <w:pStyle w:val="Subtitle"/>
      </w:pPr>
      <w:r>
        <w:t xml:space="preserve">Guía de estudio organizada por bloques temáticos, para la residencia de Medicina Interna</w:t>
      </w:r>
    </w:p>
    <w:p>
      <w:pPr>
        <w:pStyle w:val="SourceNote"/>
      </w:pPr>
      <w:r>
        <w:t xml:space="preserve">Elaborado por ResidenteMed. Julio 2026.</w:t>
      </w:r>
    </w:p>
    <w:p>
      <w:pPr>
        <w:pStyle w:val="Normal"/>
        <w:spacing w:before="500" w:after="140"/>
      </w:pPr>
      <w:r>
        <w:rPr>
          <w:b/>
        </w:rPr>
        <w:t xml:space="preserve">Cómo se organizó este temario</w:t>
      </w:r>
    </w:p>
    <w:p>
      <w:pPr>
        <w:pStyle w:val="Normal"/>
      </w:pPr>
      <w:r>
        <w:t xml:space="preserve">Este documento reúne, en catorce bloques ordenados de forma didáctica, los contenidos nucleares de un programa de residencia en Medicina Interna. La estructura y el alcance se basaron en la revisión de programas formativos vigentes: el Programa Formativo de la especialidad de Medicina Interna de FESEMI (España), el Plan Único de Especializaciones Médicas (PUEM) de la Facultad de Medicina de la UNAM, el marco de Milestones 2.0 del ACGME para Medicina Interna (Estados Unidos), y las áreas de contenido subespecializado del Medical Knowledge Self-Assessment Program (MKSAP) del American College of Physicians, complementado con conocimiento clínico general. Cada bloque agrupa primero por sistema o área, luego por racimo temático (clúster) y finalmente por entidad clínica específica, para facilitar tanto la planificación de rotaciones como el autoestudio progresivo.</w:t>
      </w:r>
    </w:p>
    <w:p>
      <w:pPr>
        <w:pStyle w:val="Normal"/>
        <w:pBdr>
          <w:bottom w:val="single" w:sz="6" w:space="8" w:color="DDD4BF"/>
        </w:pBdr>
      </w:pPr>
      <w:r>
        <w:t xml:space="preserve"> </w:t>
      </w:r>
    </w:p>
    <w:p>
      <w:pPr>
        <w:pStyle w:val="Heading1"/>
      </w:pPr>
      <w:r>
        <w:t xml:space="preserve">Índice</w:t>
      </w:r>
    </w:p>
    <w:p>
      <w:pPr>
        <w:pStyle w:val="TOCEntry"/>
      </w:pPr>
      <w:r>
        <w:t xml:space="preserve">I. Sistema Cardiovascular</w:t>
      </w:r>
    </w:p>
    <w:p>
      <w:pPr>
        <w:pStyle w:val="TOCEntry"/>
      </w:pPr>
      <w:r>
        <w:t xml:space="preserve">II. Neumología y Medicina Crítica</w:t>
      </w:r>
    </w:p>
    <w:p>
      <w:pPr>
        <w:pStyle w:val="TOCEntry"/>
      </w:pPr>
      <w:r>
        <w:t xml:space="preserve">III. Gastroenterología y Hepatología</w:t>
      </w:r>
    </w:p>
    <w:p>
      <w:pPr>
        <w:pStyle w:val="TOCEntry"/>
      </w:pPr>
      <w:r>
        <w:t xml:space="preserve">IV. Nefrología y Trastornos Hidroelectrolíticos</w:t>
      </w:r>
    </w:p>
    <w:p>
      <w:pPr>
        <w:pStyle w:val="TOCEntry"/>
      </w:pPr>
      <w:r>
        <w:t xml:space="preserve">V. Endocrinología y Metabolismo</w:t>
      </w:r>
    </w:p>
    <w:p>
      <w:pPr>
        <w:pStyle w:val="TOCEntry"/>
      </w:pPr>
      <w:r>
        <w:t xml:space="preserve">VI. Hematología y Oncología</w:t>
      </w:r>
    </w:p>
    <w:p>
      <w:pPr>
        <w:pStyle w:val="TOCEntry"/>
      </w:pPr>
      <w:r>
        <w:t xml:space="preserve">VII. Enfermedades Infecciosas</w:t>
      </w:r>
    </w:p>
    <w:p>
      <w:pPr>
        <w:pStyle w:val="TOCEntry"/>
      </w:pPr>
      <w:r>
        <w:t xml:space="preserve">VIII. Reumatología e Inmunología Clínica</w:t>
      </w:r>
    </w:p>
    <w:p>
      <w:pPr>
        <w:pStyle w:val="TOCEntry"/>
      </w:pPr>
      <w:r>
        <w:t xml:space="preserve">IX. Neurología</w:t>
      </w:r>
    </w:p>
    <w:p>
      <w:pPr>
        <w:pStyle w:val="TOCEntry"/>
      </w:pPr>
      <w:r>
        <w:t xml:space="preserve">X. Geriatría</w:t>
      </w:r>
    </w:p>
    <w:p>
      <w:pPr>
        <w:pStyle w:val="TOCEntry"/>
      </w:pPr>
      <w:r>
        <w:t xml:space="preserve">XI. Medicina Interna Ambulatoria y Preventiva</w:t>
      </w:r>
    </w:p>
    <w:p>
      <w:pPr>
        <w:pStyle w:val="TOCEntry"/>
      </w:pPr>
      <w:r>
        <w:t xml:space="preserve">XII. Cuidados Paliativos, Bioética y Comunicación</w:t>
      </w:r>
    </w:p>
    <w:p>
      <w:pPr>
        <w:pStyle w:val="TOCEntry"/>
      </w:pPr>
      <w:r>
        <w:t xml:space="preserve">XIII. Farmacología Clínica y Toxicología</w:t>
      </w:r>
    </w:p>
    <w:p>
      <w:pPr>
        <w:pStyle w:val="TOCEntry"/>
      </w:pPr>
      <w:r>
        <w:t xml:space="preserve">XIV. Habilidades Transversales y Procedimientos</w:t>
      </w:r>
    </w:p>
    <w:p>
      <w:pPr>
        <w:pStyle w:val="TOCEntry"/>
      </w:pPr>
      <w:r>
        <w:t xml:space="preserve">Segunda Sección: Bibliografía</w:t>
      </w:r>
    </w:p>
    <w:p>
      <w:pPr>
        <w:pStyle w:val="Normal"/>
      </w:pPr>
      <w:r>
        <w:br w:type="page"/>
      </w:r>
    </w:p>
    <w:p>
      <w:pPr>
        <w:pStyle w:val="Heading1"/>
      </w:pPr>
      <w:r>
        <w:t xml:space="preserve">I. Sistema Cardiovascular</w:t>
      </w:r>
    </w:p>
    <w:p>
      <w:pPr>
        <w:pStyle w:val="Intro"/>
      </w:pPr>
      <w:r>
        <w:t xml:space="preserve">Reconocimiento, estabilización y manejo longitudinal de la enfermedad cardiovascular, la primera causa de morbimortalidad en el adulto.</w:t>
      </w:r>
    </w:p>
    <w:p>
      <w:pPr>
        <w:pStyle w:val="Heading2"/>
      </w:pPr>
      <w:r>
        <w:t xml:space="preserve">Cardiopatía isquémica</w:t>
      </w:r>
    </w:p>
    <w:p>
      <w:pPr>
        <w:pStyle w:val="ListParagraph"/>
        <w:numPr>
          <w:ilvl w:val="0"/>
          <w:numId w:val="1"/>
        </w:numPr>
      </w:pPr>
      <w:r>
        <w:t xml:space="preserve">Angina estable y pruebas de isquemia</w:t>
      </w:r>
    </w:p>
    <w:p>
      <w:pPr>
        <w:pStyle w:val="ListParagraph"/>
        <w:numPr>
          <w:ilvl w:val="0"/>
          <w:numId w:val="1"/>
        </w:numPr>
      </w:pPr>
      <w:r>
        <w:t xml:space="preserve">Síndromes coronarios agudos (SCACEST, SCASEST) y reperfusión</w:t>
      </w:r>
    </w:p>
    <w:p>
      <w:pPr>
        <w:pStyle w:val="ListParagraph"/>
        <w:numPr>
          <w:ilvl w:val="0"/>
          <w:numId w:val="1"/>
        </w:numPr>
      </w:pPr>
      <w:r>
        <w:t xml:space="preserve">Choque cardiogénico</w:t>
      </w:r>
    </w:p>
    <w:p>
      <w:pPr>
        <w:pStyle w:val="Heading2"/>
      </w:pPr>
      <w:r>
        <w:t xml:space="preserve">Insuficiencia cardiaca</w:t>
      </w:r>
    </w:p>
    <w:p>
      <w:pPr>
        <w:pStyle w:val="ListParagraph"/>
        <w:numPr>
          <w:ilvl w:val="0"/>
          <w:numId w:val="1"/>
        </w:numPr>
      </w:pPr>
      <w:r>
        <w:t xml:space="preserve">IC aguda descompensada y edema agudo de pulmón</w:t>
      </w:r>
    </w:p>
    <w:p>
      <w:pPr>
        <w:pStyle w:val="ListParagraph"/>
        <w:numPr>
          <w:ilvl w:val="0"/>
          <w:numId w:val="1"/>
        </w:numPr>
      </w:pPr>
      <w:r>
        <w:t xml:space="preserve">IC crónica con FEVI reducida y preservada</w:t>
      </w:r>
    </w:p>
    <w:p>
      <w:pPr>
        <w:pStyle w:val="ListParagraph"/>
        <w:numPr>
          <w:ilvl w:val="0"/>
          <w:numId w:val="1"/>
        </w:numPr>
      </w:pPr>
      <w:r>
        <w:t xml:space="preserve">Dispositivos y terapias avanzadas (resincronización, asistencia ventricular)</w:t>
      </w:r>
    </w:p>
    <w:p>
      <w:pPr>
        <w:pStyle w:val="Heading2"/>
      </w:pPr>
      <w:r>
        <w:t xml:space="preserve">Arritmias y electrofisiología</w:t>
      </w:r>
    </w:p>
    <w:p>
      <w:pPr>
        <w:pStyle w:val="ListParagraph"/>
        <w:numPr>
          <w:ilvl w:val="0"/>
          <w:numId w:val="1"/>
        </w:numPr>
      </w:pPr>
      <w:r>
        <w:t xml:space="preserve">Fibrilación y flutter auricular, anticoagulación</w:t>
      </w:r>
    </w:p>
    <w:p>
      <w:pPr>
        <w:pStyle w:val="ListParagraph"/>
        <w:numPr>
          <w:ilvl w:val="0"/>
          <w:numId w:val="1"/>
        </w:numPr>
      </w:pPr>
      <w:r>
        <w:t xml:space="preserve">Taquiarritmias y bradiarritmias sintomáticas</w:t>
      </w:r>
    </w:p>
    <w:p>
      <w:pPr>
        <w:pStyle w:val="ListParagraph"/>
        <w:numPr>
          <w:ilvl w:val="0"/>
          <w:numId w:val="1"/>
        </w:numPr>
      </w:pPr>
      <w:r>
        <w:t xml:space="preserve">Marcapasos y desfibriladores</w:t>
      </w:r>
    </w:p>
    <w:p>
      <w:pPr>
        <w:pStyle w:val="Heading2"/>
      </w:pPr>
      <w:r>
        <w:t xml:space="preserve">Enfermedad valvular, pericárdica y miocárdica</w:t>
      </w:r>
    </w:p>
    <w:p>
      <w:pPr>
        <w:pStyle w:val="ListParagraph"/>
        <w:numPr>
          <w:ilvl w:val="0"/>
          <w:numId w:val="1"/>
        </w:numPr>
      </w:pPr>
      <w:r>
        <w:t xml:space="preserve">Valvulopatías nativas y protésicas</w:t>
      </w:r>
    </w:p>
    <w:p>
      <w:pPr>
        <w:pStyle w:val="ListParagraph"/>
        <w:numPr>
          <w:ilvl w:val="0"/>
          <w:numId w:val="1"/>
        </w:numPr>
      </w:pPr>
      <w:r>
        <w:t xml:space="preserve">Pericarditis y taponamiento cardiaco</w:t>
      </w:r>
    </w:p>
    <w:p>
      <w:pPr>
        <w:pStyle w:val="ListParagraph"/>
        <w:numPr>
          <w:ilvl w:val="0"/>
          <w:numId w:val="1"/>
        </w:numPr>
      </w:pPr>
      <w:r>
        <w:t xml:space="preserve">Miocardiopatías (dilatada, hipertrófica, restrictiva)</w:t>
      </w:r>
    </w:p>
    <w:p>
      <w:pPr>
        <w:pStyle w:val="Heading2"/>
      </w:pPr>
      <w:r>
        <w:t xml:space="preserve">Hipertensión arterial y enfermedad tromboembólica</w:t>
      </w:r>
    </w:p>
    <w:p>
      <w:pPr>
        <w:pStyle w:val="ListParagraph"/>
        <w:numPr>
          <w:ilvl w:val="0"/>
          <w:numId w:val="1"/>
        </w:numPr>
      </w:pPr>
      <w:r>
        <w:t xml:space="preserve">HTA esencial y urgencias/emergencias hipertensivas</w:t>
      </w:r>
    </w:p>
    <w:p>
      <w:pPr>
        <w:pStyle w:val="ListParagraph"/>
        <w:numPr>
          <w:ilvl w:val="0"/>
          <w:numId w:val="1"/>
        </w:numPr>
      </w:pPr>
      <w:r>
        <w:t xml:space="preserve">Trombosis venosa profunda y tromboembolia pulmonar</w:t>
      </w:r>
    </w:p>
    <w:p>
      <w:pPr>
        <w:pStyle w:val="Heading1"/>
      </w:pPr>
      <w:r>
        <w:t xml:space="preserve">II. Neumología y Medicina Crítica</w:t>
      </w:r>
    </w:p>
    <w:p>
      <w:pPr>
        <w:pStyle w:val="Intro"/>
      </w:pPr>
      <w:r>
        <w:t xml:space="preserve">Del manejo ambulatorio de la enfermedad respiratoria crónica al soporte vital del paciente críticamente enfermo.</w:t>
      </w:r>
    </w:p>
    <w:p>
      <w:pPr>
        <w:pStyle w:val="Heading2"/>
      </w:pPr>
      <w:r>
        <w:t xml:space="preserve">Enfermedad respiratoria crónica</w:t>
      </w:r>
    </w:p>
    <w:p>
      <w:pPr>
        <w:pStyle w:val="ListParagraph"/>
        <w:numPr>
          <w:ilvl w:val="0"/>
          <w:numId w:val="1"/>
        </w:numPr>
      </w:pPr>
      <w:r>
        <w:t xml:space="preserve">EPOC estable y exacerbación</w:t>
      </w:r>
    </w:p>
    <w:p>
      <w:pPr>
        <w:pStyle w:val="ListParagraph"/>
        <w:numPr>
          <w:ilvl w:val="0"/>
          <w:numId w:val="1"/>
        </w:numPr>
      </w:pPr>
      <w:r>
        <w:t xml:space="preserve">Asma</w:t>
      </w:r>
    </w:p>
    <w:p>
      <w:pPr>
        <w:pStyle w:val="ListParagraph"/>
        <w:numPr>
          <w:ilvl w:val="0"/>
          <w:numId w:val="1"/>
        </w:numPr>
      </w:pPr>
      <w:r>
        <w:t xml:space="preserve">Enfermedad pulmonar intersticial e hipertensión pulmonar</w:t>
      </w:r>
    </w:p>
    <w:p>
      <w:pPr>
        <w:pStyle w:val="Heading2"/>
      </w:pPr>
      <w:r>
        <w:t xml:space="preserve">Infecciones respiratorias</w:t>
      </w:r>
    </w:p>
    <w:p>
      <w:pPr>
        <w:pStyle w:val="ListParagraph"/>
        <w:numPr>
          <w:ilvl w:val="0"/>
          <w:numId w:val="1"/>
        </w:numPr>
      </w:pPr>
      <w:r>
        <w:t xml:space="preserve">Neumonía adquirida en la comunidad y nosocomial</w:t>
      </w:r>
    </w:p>
    <w:p>
      <w:pPr>
        <w:pStyle w:val="ListParagraph"/>
        <w:numPr>
          <w:ilvl w:val="0"/>
          <w:numId w:val="1"/>
        </w:numPr>
      </w:pPr>
      <w:r>
        <w:t xml:space="preserve">Tuberculosis</w:t>
      </w:r>
    </w:p>
    <w:p>
      <w:pPr>
        <w:pStyle w:val="Heading2"/>
      </w:pPr>
      <w:r>
        <w:t xml:space="preserve">Insuficiencia respiratoria y ventilación</w:t>
      </w:r>
    </w:p>
    <w:p>
      <w:pPr>
        <w:pStyle w:val="ListParagraph"/>
        <w:numPr>
          <w:ilvl w:val="0"/>
          <w:numId w:val="1"/>
        </w:numPr>
      </w:pPr>
      <w:r>
        <w:t xml:space="preserve">Insuficiencia respiratoria aguda y SDRA</w:t>
      </w:r>
    </w:p>
    <w:p>
      <w:pPr>
        <w:pStyle w:val="ListParagraph"/>
        <w:numPr>
          <w:ilvl w:val="0"/>
          <w:numId w:val="1"/>
        </w:numPr>
      </w:pPr>
      <w:r>
        <w:t xml:space="preserve">Ventilación mecánica invasiva y no invasiva</w:t>
      </w:r>
    </w:p>
    <w:p>
      <w:pPr>
        <w:pStyle w:val="ListParagraph"/>
        <w:numPr>
          <w:ilvl w:val="0"/>
          <w:numId w:val="1"/>
        </w:numPr>
      </w:pPr>
      <w:r>
        <w:t xml:space="preserve">Derrame pleural y patología pleural</w:t>
      </w:r>
    </w:p>
    <w:p>
      <w:pPr>
        <w:pStyle w:val="Heading2"/>
      </w:pPr>
      <w:r>
        <w:t xml:space="preserve">Cuidados críticos y reanimación</w:t>
      </w:r>
    </w:p>
    <w:p>
      <w:pPr>
        <w:pStyle w:val="ListParagraph"/>
        <w:numPr>
          <w:ilvl w:val="0"/>
          <w:numId w:val="1"/>
        </w:numPr>
      </w:pPr>
      <w:r>
        <w:t xml:space="preserve">Sepsis y choque séptico</w:t>
      </w:r>
    </w:p>
    <w:p>
      <w:pPr>
        <w:pStyle w:val="ListParagraph"/>
        <w:numPr>
          <w:ilvl w:val="0"/>
          <w:numId w:val="1"/>
        </w:numPr>
      </w:pPr>
      <w:r>
        <w:t xml:space="preserve">Disfunción orgánica múltiple</w:t>
      </w:r>
    </w:p>
    <w:p>
      <w:pPr>
        <w:pStyle w:val="ListParagraph"/>
        <w:numPr>
          <w:ilvl w:val="0"/>
          <w:numId w:val="1"/>
        </w:numPr>
      </w:pPr>
      <w:r>
        <w:t xml:space="preserve">Sedación, analgesia y bloqueo neuromuscular en UCI</w:t>
      </w:r>
    </w:p>
    <w:p>
      <w:pPr>
        <w:pStyle w:val="ListParagraph"/>
        <w:numPr>
          <w:ilvl w:val="0"/>
          <w:numId w:val="1"/>
        </w:numPr>
      </w:pPr>
      <w:r>
        <w:t xml:space="preserve">Soporte vital avanzado y reanimación cardiopulmonar</w:t>
      </w:r>
    </w:p>
    <w:p>
      <w:pPr>
        <w:pStyle w:val="Heading1"/>
      </w:pPr>
      <w:r>
        <w:t xml:space="preserve">III. Gastroenterología y Hepatología</w:t>
      </w:r>
    </w:p>
    <w:p>
      <w:pPr>
        <w:pStyle w:val="Intro"/>
      </w:pPr>
      <w:r>
        <w:t xml:space="preserve">Enfermedades del tubo digestivo, hígado y vía biliar, con énfasis en las complicaciones agudas que definen el ingreso hospitalario.</w:t>
      </w:r>
    </w:p>
    <w:p>
      <w:pPr>
        <w:pStyle w:val="Heading2"/>
      </w:pPr>
      <w:r>
        <w:t xml:space="preserve">Tubo digestivo alto y bajo</w:t>
      </w:r>
    </w:p>
    <w:p>
      <w:pPr>
        <w:pStyle w:val="ListParagraph"/>
        <w:numPr>
          <w:ilvl w:val="0"/>
          <w:numId w:val="1"/>
        </w:numPr>
      </w:pPr>
      <w:r>
        <w:t xml:space="preserve">ERGE y trastornos esofágicos</w:t>
      </w:r>
    </w:p>
    <w:p>
      <w:pPr>
        <w:pStyle w:val="ListParagraph"/>
        <w:numPr>
          <w:ilvl w:val="0"/>
          <w:numId w:val="1"/>
        </w:numPr>
      </w:pPr>
      <w:r>
        <w:t xml:space="preserve">Enfermedad ácido-péptica y H. pylori</w:t>
      </w:r>
    </w:p>
    <w:p>
      <w:pPr>
        <w:pStyle w:val="ListParagraph"/>
        <w:numPr>
          <w:ilvl w:val="0"/>
          <w:numId w:val="1"/>
        </w:numPr>
      </w:pPr>
      <w:r>
        <w:t xml:space="preserve">Enfermedad inflamatoria intestinal y síndrome de intestino irritable</w:t>
      </w:r>
    </w:p>
    <w:p>
      <w:pPr>
        <w:pStyle w:val="ListParagraph"/>
        <w:numPr>
          <w:ilvl w:val="0"/>
          <w:numId w:val="1"/>
        </w:numPr>
      </w:pPr>
      <w:r>
        <w:t xml:space="preserve">Hemorragia digestiva alta y baja</w:t>
      </w:r>
    </w:p>
    <w:p>
      <w:pPr>
        <w:pStyle w:val="Heading2"/>
      </w:pPr>
      <w:r>
        <w:t xml:space="preserve">Páncreas y vía biliar</w:t>
      </w:r>
    </w:p>
    <w:p>
      <w:pPr>
        <w:pStyle w:val="ListParagraph"/>
        <w:numPr>
          <w:ilvl w:val="0"/>
          <w:numId w:val="1"/>
        </w:numPr>
      </w:pPr>
      <w:r>
        <w:t xml:space="preserve">Pancreatitis aguda y crónica</w:t>
      </w:r>
    </w:p>
    <w:p>
      <w:pPr>
        <w:pStyle w:val="ListParagraph"/>
        <w:numPr>
          <w:ilvl w:val="0"/>
          <w:numId w:val="1"/>
        </w:numPr>
      </w:pPr>
      <w:r>
        <w:t xml:space="preserve">Colestasis y enfermedades de la vía biliar</w:t>
      </w:r>
    </w:p>
    <w:p>
      <w:pPr>
        <w:pStyle w:val="Heading2"/>
      </w:pPr>
      <w:r>
        <w:t xml:space="preserve">Hepatología</w:t>
      </w:r>
    </w:p>
    <w:p>
      <w:pPr>
        <w:pStyle w:val="ListParagraph"/>
        <w:numPr>
          <w:ilvl w:val="0"/>
          <w:numId w:val="1"/>
        </w:numPr>
      </w:pPr>
      <w:r>
        <w:t xml:space="preserve">Hepatitis virales</w:t>
      </w:r>
    </w:p>
    <w:p>
      <w:pPr>
        <w:pStyle w:val="ListParagraph"/>
        <w:numPr>
          <w:ilvl w:val="0"/>
          <w:numId w:val="1"/>
        </w:numPr>
      </w:pPr>
      <w:r>
        <w:t xml:space="preserve">Enfermedad hepática por alcohol y MASLD</w:t>
      </w:r>
    </w:p>
    <w:p>
      <w:pPr>
        <w:pStyle w:val="ListParagraph"/>
        <w:numPr>
          <w:ilvl w:val="0"/>
          <w:numId w:val="1"/>
        </w:numPr>
      </w:pPr>
      <w:r>
        <w:t xml:space="preserve">Cirrosis hepática y sus complicaciones (ascitis, PBE, encefalopatía, síndrome hepatorrenal, hemorragia variceal)</w:t>
      </w:r>
    </w:p>
    <w:p>
      <w:pPr>
        <w:pStyle w:val="ListParagraph"/>
        <w:numPr>
          <w:ilvl w:val="0"/>
          <w:numId w:val="1"/>
        </w:numPr>
      </w:pPr>
      <w:r>
        <w:t xml:space="preserve">Tumores hepáticos y carcinoma hepatocelular</w:t>
      </w:r>
    </w:p>
    <w:p>
      <w:pPr>
        <w:pStyle w:val="Heading1"/>
      </w:pPr>
      <w:r>
        <w:t xml:space="preserve">IV. Nefrología y Trastornos Hidroelectrolíticos</w:t>
      </w:r>
    </w:p>
    <w:p>
      <w:pPr>
        <w:pStyle w:val="Intro"/>
      </w:pPr>
      <w:r>
        <w:t xml:space="preserve">Función renal, equilibrio ácido-base y electrolítico, ejes transversales a prácticamente todo paciente hospitalizado.</w:t>
      </w:r>
    </w:p>
    <w:p>
      <w:pPr>
        <w:pStyle w:val="Heading2"/>
      </w:pPr>
      <w:r>
        <w:t xml:space="preserve">Función renal</w:t>
      </w:r>
    </w:p>
    <w:p>
      <w:pPr>
        <w:pStyle w:val="ListParagraph"/>
        <w:numPr>
          <w:ilvl w:val="0"/>
          <w:numId w:val="1"/>
        </w:numPr>
      </w:pPr>
      <w:r>
        <w:t xml:space="preserve">Lesión renal aguda</w:t>
      </w:r>
    </w:p>
    <w:p>
      <w:pPr>
        <w:pStyle w:val="ListParagraph"/>
        <w:numPr>
          <w:ilvl w:val="0"/>
          <w:numId w:val="1"/>
        </w:numPr>
      </w:pPr>
      <w:r>
        <w:t xml:space="preserve">Enfermedad renal crónica y sus complicaciones</w:t>
      </w:r>
    </w:p>
    <w:p>
      <w:pPr>
        <w:pStyle w:val="ListParagraph"/>
        <w:numPr>
          <w:ilvl w:val="0"/>
          <w:numId w:val="1"/>
        </w:numPr>
      </w:pPr>
      <w:r>
        <w:t xml:space="preserve">Glomerulopatías</w:t>
      </w:r>
    </w:p>
    <w:p>
      <w:pPr>
        <w:pStyle w:val="ListParagraph"/>
        <w:numPr>
          <w:ilvl w:val="0"/>
          <w:numId w:val="1"/>
        </w:numPr>
      </w:pPr>
      <w:r>
        <w:t xml:space="preserve">Nefropatía diabética e hipertensiva</w:t>
      </w:r>
    </w:p>
    <w:p>
      <w:pPr>
        <w:pStyle w:val="Heading2"/>
      </w:pPr>
      <w:r>
        <w:t xml:space="preserve">Equilibrio interno</w:t>
      </w:r>
    </w:p>
    <w:p>
      <w:pPr>
        <w:pStyle w:val="ListParagraph"/>
        <w:numPr>
          <w:ilvl w:val="0"/>
          <w:numId w:val="1"/>
        </w:numPr>
      </w:pPr>
      <w:r>
        <w:t xml:space="preserve">Trastornos ácido-base</w:t>
      </w:r>
    </w:p>
    <w:p>
      <w:pPr>
        <w:pStyle w:val="ListParagraph"/>
        <w:numPr>
          <w:ilvl w:val="0"/>
          <w:numId w:val="1"/>
        </w:numPr>
      </w:pPr>
      <w:r>
        <w:t xml:space="preserve">Trastornos del sodio y del agua</w:t>
      </w:r>
    </w:p>
    <w:p>
      <w:pPr>
        <w:pStyle w:val="ListParagraph"/>
        <w:numPr>
          <w:ilvl w:val="0"/>
          <w:numId w:val="1"/>
        </w:numPr>
      </w:pPr>
      <w:r>
        <w:t xml:space="preserve">Trastornos del potasio, calcio, magnesio y fósforo</w:t>
      </w:r>
    </w:p>
    <w:p>
      <w:pPr>
        <w:pStyle w:val="Heading2"/>
      </w:pPr>
      <w:r>
        <w:t xml:space="preserve">Terapias de reemplazo renal</w:t>
      </w:r>
    </w:p>
    <w:p>
      <w:pPr>
        <w:pStyle w:val="ListParagraph"/>
        <w:numPr>
          <w:ilvl w:val="0"/>
          <w:numId w:val="1"/>
        </w:numPr>
      </w:pPr>
      <w:r>
        <w:t xml:space="preserve">Hemodiálisis y diálisis peritoneal</w:t>
      </w:r>
    </w:p>
    <w:p>
      <w:pPr>
        <w:pStyle w:val="ListParagraph"/>
        <w:numPr>
          <w:ilvl w:val="0"/>
          <w:numId w:val="1"/>
        </w:numPr>
      </w:pPr>
      <w:r>
        <w:t xml:space="preserve">Terapias de reemplazo renal continuas</w:t>
      </w:r>
    </w:p>
    <w:p>
      <w:pPr>
        <w:pStyle w:val="Heading1"/>
      </w:pPr>
      <w:r>
        <w:t xml:space="preserve">V. Endocrinología y Metabolismo</w:t>
      </w:r>
    </w:p>
    <w:p>
      <w:pPr>
        <w:pStyle w:val="Intro"/>
      </w:pPr>
      <w:r>
        <w:t xml:space="preserve">Diabetes, tiroides y eje hormonal, con sus urgencias metabólicas características.</w:t>
      </w:r>
    </w:p>
    <w:p>
      <w:pPr>
        <w:pStyle w:val="Heading2"/>
      </w:pPr>
      <w:r>
        <w:t xml:space="preserve">Diabetes mellitus</w:t>
      </w:r>
    </w:p>
    <w:p>
      <w:pPr>
        <w:pStyle w:val="ListParagraph"/>
        <w:numPr>
          <w:ilvl w:val="0"/>
          <w:numId w:val="1"/>
        </w:numPr>
      </w:pPr>
      <w:r>
        <w:t xml:space="preserve">Diagnóstico y metas de control en tipo 1 y tipo 2</w:t>
      </w:r>
    </w:p>
    <w:p>
      <w:pPr>
        <w:pStyle w:val="ListParagraph"/>
        <w:numPr>
          <w:ilvl w:val="0"/>
          <w:numId w:val="1"/>
        </w:numPr>
      </w:pPr>
      <w:r>
        <w:t xml:space="preserve">Cetoacidosis diabética y estado hiperosmolar hiperglucémico</w:t>
      </w:r>
    </w:p>
    <w:p>
      <w:pPr>
        <w:pStyle w:val="ListParagraph"/>
        <w:numPr>
          <w:ilvl w:val="0"/>
          <w:numId w:val="1"/>
        </w:numPr>
      </w:pPr>
      <w:r>
        <w:t xml:space="preserve">Complicaciones crónicas microvasculares y macrovasculares</w:t>
      </w:r>
    </w:p>
    <w:p>
      <w:pPr>
        <w:pStyle w:val="Heading2"/>
      </w:pPr>
      <w:r>
        <w:t xml:space="preserve">Tiroides y paratiroides</w:t>
      </w:r>
    </w:p>
    <w:p>
      <w:pPr>
        <w:pStyle w:val="ListParagraph"/>
        <w:numPr>
          <w:ilvl w:val="0"/>
          <w:numId w:val="1"/>
        </w:numPr>
      </w:pPr>
      <w:r>
        <w:t xml:space="preserve">Hipotiroidismo e hipertiroidismo</w:t>
      </w:r>
    </w:p>
    <w:p>
      <w:pPr>
        <w:pStyle w:val="ListParagraph"/>
        <w:numPr>
          <w:ilvl w:val="0"/>
          <w:numId w:val="1"/>
        </w:numPr>
      </w:pPr>
      <w:r>
        <w:t xml:space="preserve">Tormenta tiroidea y coma mixedematoso</w:t>
      </w:r>
    </w:p>
    <w:p>
      <w:pPr>
        <w:pStyle w:val="ListParagraph"/>
        <w:numPr>
          <w:ilvl w:val="0"/>
          <w:numId w:val="1"/>
        </w:numPr>
      </w:pPr>
      <w:r>
        <w:t xml:space="preserve">Nódulo tiroideo y trastornos del metabolismo óseo y mineral</w:t>
      </w:r>
    </w:p>
    <w:p>
      <w:pPr>
        <w:pStyle w:val="Heading2"/>
      </w:pPr>
      <w:r>
        <w:t xml:space="preserve">Eje suprarrenal e hipofisario</w:t>
      </w:r>
    </w:p>
    <w:p>
      <w:pPr>
        <w:pStyle w:val="ListParagraph"/>
        <w:numPr>
          <w:ilvl w:val="0"/>
          <w:numId w:val="1"/>
        </w:numPr>
      </w:pPr>
      <w:r>
        <w:t xml:space="preserve">Insuficiencia suprarrenal y crisis addisoniana</w:t>
      </w:r>
    </w:p>
    <w:p>
      <w:pPr>
        <w:pStyle w:val="ListParagraph"/>
        <w:numPr>
          <w:ilvl w:val="0"/>
          <w:numId w:val="1"/>
        </w:numPr>
      </w:pPr>
      <w:r>
        <w:t xml:space="preserve">Síndrome de Cushing</w:t>
      </w:r>
    </w:p>
    <w:p>
      <w:pPr>
        <w:pStyle w:val="ListParagraph"/>
        <w:numPr>
          <w:ilvl w:val="0"/>
          <w:numId w:val="1"/>
        </w:numPr>
      </w:pPr>
      <w:r>
        <w:t xml:space="preserve">Trastornos hipofisarios</w:t>
      </w:r>
    </w:p>
    <w:p>
      <w:pPr>
        <w:pStyle w:val="Heading2"/>
      </w:pPr>
      <w:r>
        <w:t xml:space="preserve">Metabolismo</w:t>
      </w:r>
    </w:p>
    <w:p>
      <w:pPr>
        <w:pStyle w:val="ListParagraph"/>
        <w:numPr>
          <w:ilvl w:val="0"/>
          <w:numId w:val="1"/>
        </w:numPr>
      </w:pPr>
      <w:r>
        <w:t xml:space="preserve">Dislipidemias</w:t>
      </w:r>
    </w:p>
    <w:p>
      <w:pPr>
        <w:pStyle w:val="ListParagraph"/>
        <w:numPr>
          <w:ilvl w:val="0"/>
          <w:numId w:val="1"/>
        </w:numPr>
      </w:pPr>
      <w:r>
        <w:t xml:space="preserve">Obesidad</w:t>
      </w:r>
    </w:p>
    <w:p>
      <w:pPr>
        <w:pStyle w:val="Heading1"/>
      </w:pPr>
      <w:r>
        <w:t xml:space="preserve">VI. Hematología y Oncología</w:t>
      </w:r>
    </w:p>
    <w:p>
      <w:pPr>
        <w:pStyle w:val="Intro"/>
      </w:pPr>
      <w:r>
        <w:t xml:space="preserve">Trastornos de las líneas celulares sanguíneas y principios oncológicos esenciales para el internista.</w:t>
      </w:r>
    </w:p>
    <w:p>
      <w:pPr>
        <w:pStyle w:val="Heading2"/>
      </w:pPr>
      <w:r>
        <w:t xml:space="preserve">Anemias y trastornos de la serie roja</w:t>
      </w:r>
    </w:p>
    <w:p>
      <w:pPr>
        <w:pStyle w:val="ListParagraph"/>
        <w:numPr>
          <w:ilvl w:val="0"/>
          <w:numId w:val="1"/>
        </w:numPr>
      </w:pPr>
      <w:r>
        <w:t xml:space="preserve">Anemia ferropénica y megaloblástica</w:t>
      </w:r>
    </w:p>
    <w:p>
      <w:pPr>
        <w:pStyle w:val="ListParagraph"/>
        <w:numPr>
          <w:ilvl w:val="0"/>
          <w:numId w:val="1"/>
        </w:numPr>
      </w:pPr>
      <w:r>
        <w:t xml:space="preserve">Anemias hemolíticas</w:t>
      </w:r>
    </w:p>
    <w:p>
      <w:pPr>
        <w:pStyle w:val="ListParagraph"/>
        <w:numPr>
          <w:ilvl w:val="0"/>
          <w:numId w:val="1"/>
        </w:numPr>
      </w:pPr>
      <w:r>
        <w:t xml:space="preserve">Anemia de la enfermedad crónica</w:t>
      </w:r>
    </w:p>
    <w:p>
      <w:pPr>
        <w:pStyle w:val="Heading2"/>
      </w:pPr>
      <w:r>
        <w:t xml:space="preserve">Hemostasia y trombosis</w:t>
      </w:r>
    </w:p>
    <w:p>
      <w:pPr>
        <w:pStyle w:val="ListParagraph"/>
        <w:numPr>
          <w:ilvl w:val="0"/>
          <w:numId w:val="1"/>
        </w:numPr>
      </w:pPr>
      <w:r>
        <w:t xml:space="preserve">Trastornos de la coagulación y trombofilias</w:t>
      </w:r>
    </w:p>
    <w:p>
      <w:pPr>
        <w:pStyle w:val="ListParagraph"/>
        <w:numPr>
          <w:ilvl w:val="0"/>
          <w:numId w:val="1"/>
        </w:numPr>
      </w:pPr>
      <w:r>
        <w:t xml:space="preserve">Trombocitopenia y púrpuras</w:t>
      </w:r>
    </w:p>
    <w:p>
      <w:pPr>
        <w:pStyle w:val="ListParagraph"/>
        <w:numPr>
          <w:ilvl w:val="0"/>
          <w:numId w:val="1"/>
        </w:numPr>
      </w:pPr>
      <w:r>
        <w:t xml:space="preserve">Transfusión de hemoderivados</w:t>
      </w:r>
    </w:p>
    <w:p>
      <w:pPr>
        <w:pStyle w:val="Heading2"/>
      </w:pPr>
      <w:r>
        <w:t xml:space="preserve">Neoplasias hematológicas</w:t>
      </w:r>
    </w:p>
    <w:p>
      <w:pPr>
        <w:pStyle w:val="ListParagraph"/>
        <w:numPr>
          <w:ilvl w:val="0"/>
          <w:numId w:val="1"/>
        </w:numPr>
      </w:pPr>
      <w:r>
        <w:t xml:space="preserve">Síndromes mielodisplásicos</w:t>
      </w:r>
    </w:p>
    <w:p>
      <w:pPr>
        <w:pStyle w:val="ListParagraph"/>
        <w:numPr>
          <w:ilvl w:val="0"/>
          <w:numId w:val="1"/>
        </w:numPr>
      </w:pPr>
      <w:r>
        <w:t xml:space="preserve">Neoplasias mieloproliferativas</w:t>
      </w:r>
    </w:p>
    <w:p>
      <w:pPr>
        <w:pStyle w:val="Heading2"/>
      </w:pPr>
      <w:r>
        <w:t xml:space="preserve">Oncología general</w:t>
      </w:r>
    </w:p>
    <w:p>
      <w:pPr>
        <w:pStyle w:val="ListParagraph"/>
        <w:numPr>
          <w:ilvl w:val="0"/>
          <w:numId w:val="1"/>
        </w:numPr>
      </w:pPr>
      <w:r>
        <w:t xml:space="preserve">Urgencias oncológicas (síndrome de lisis tumoral, compresión medular, síndrome de vena cava superior)</w:t>
      </w:r>
    </w:p>
    <w:p>
      <w:pPr>
        <w:pStyle w:val="ListParagraph"/>
        <w:numPr>
          <w:ilvl w:val="0"/>
          <w:numId w:val="1"/>
        </w:numPr>
      </w:pPr>
      <w:r>
        <w:t xml:space="preserve">Neutropenia febril</w:t>
      </w:r>
    </w:p>
    <w:p>
      <w:pPr>
        <w:pStyle w:val="ListParagraph"/>
        <w:numPr>
          <w:ilvl w:val="0"/>
          <w:numId w:val="1"/>
        </w:numPr>
      </w:pPr>
      <w:r>
        <w:t xml:space="preserve">Cuidados de soporte y control de síntomas en cáncer</w:t>
      </w:r>
    </w:p>
    <w:p>
      <w:pPr>
        <w:pStyle w:val="Heading1"/>
      </w:pPr>
      <w:r>
        <w:t xml:space="preserve">VII. Enfermedades Infecciosas</w:t>
      </w:r>
    </w:p>
    <w:p>
      <w:pPr>
        <w:pStyle w:val="Intro"/>
      </w:pPr>
      <w:r>
        <w:t xml:space="preserve">Diagnóstico sindrómico, uso racional de antimicrobianos y manejo del huésped inmunocomprometido.</w:t>
      </w:r>
    </w:p>
    <w:p>
      <w:pPr>
        <w:pStyle w:val="Heading2"/>
      </w:pPr>
      <w:r>
        <w:t xml:space="preserve">Infecciones frecuentes por sistema</w:t>
      </w:r>
    </w:p>
    <w:p>
      <w:pPr>
        <w:pStyle w:val="ListParagraph"/>
        <w:numPr>
          <w:ilvl w:val="0"/>
          <w:numId w:val="1"/>
        </w:numPr>
      </w:pPr>
      <w:r>
        <w:t xml:space="preserve">Infecciones del tracto urinario</w:t>
      </w:r>
    </w:p>
    <w:p>
      <w:pPr>
        <w:pStyle w:val="ListParagraph"/>
        <w:numPr>
          <w:ilvl w:val="0"/>
          <w:numId w:val="1"/>
        </w:numPr>
      </w:pPr>
      <w:r>
        <w:t xml:space="preserve">Infecciones de piel y tejidos blandos</w:t>
      </w:r>
    </w:p>
    <w:p>
      <w:pPr>
        <w:pStyle w:val="ListParagraph"/>
        <w:numPr>
          <w:ilvl w:val="0"/>
          <w:numId w:val="1"/>
        </w:numPr>
      </w:pPr>
      <w:r>
        <w:t xml:space="preserve">Infecciones osteoarticulares</w:t>
      </w:r>
    </w:p>
    <w:p>
      <w:pPr>
        <w:pStyle w:val="ListParagraph"/>
        <w:numPr>
          <w:ilvl w:val="0"/>
          <w:numId w:val="1"/>
        </w:numPr>
      </w:pPr>
      <w:r>
        <w:t xml:space="preserve">Endocarditis infecciosa</w:t>
      </w:r>
    </w:p>
    <w:p>
      <w:pPr>
        <w:pStyle w:val="Heading2"/>
      </w:pPr>
      <w:r>
        <w:t xml:space="preserve">Huésped inmunocomprometido</w:t>
      </w:r>
    </w:p>
    <w:p>
      <w:pPr>
        <w:pStyle w:val="ListParagraph"/>
        <w:numPr>
          <w:ilvl w:val="0"/>
          <w:numId w:val="1"/>
        </w:numPr>
      </w:pPr>
      <w:r>
        <w:t xml:space="preserve">VIH/SIDA e infecciones oportunistas</w:t>
      </w:r>
    </w:p>
    <w:p>
      <w:pPr>
        <w:pStyle w:val="ListParagraph"/>
        <w:numPr>
          <w:ilvl w:val="0"/>
          <w:numId w:val="1"/>
        </w:numPr>
      </w:pPr>
      <w:r>
        <w:t xml:space="preserve">Infecciones en el paciente neutropénico y trasplantado</w:t>
      </w:r>
    </w:p>
    <w:p>
      <w:pPr>
        <w:pStyle w:val="Heading2"/>
      </w:pPr>
      <w:r>
        <w:t xml:space="preserve">Principios generales</w:t>
      </w:r>
    </w:p>
    <w:p>
      <w:pPr>
        <w:pStyle w:val="ListParagraph"/>
        <w:numPr>
          <w:ilvl w:val="0"/>
          <w:numId w:val="1"/>
        </w:numPr>
      </w:pPr>
      <w:r>
        <w:t xml:space="preserve">Uso racional de antimicrobianos y resistencia antimicrobiana</w:t>
      </w:r>
    </w:p>
    <w:p>
      <w:pPr>
        <w:pStyle w:val="ListParagraph"/>
        <w:numPr>
          <w:ilvl w:val="0"/>
          <w:numId w:val="1"/>
        </w:numPr>
      </w:pPr>
      <w:r>
        <w:t xml:space="preserve">Vacunación en el adulto</w:t>
      </w:r>
    </w:p>
    <w:p>
      <w:pPr>
        <w:pStyle w:val="Heading1"/>
      </w:pPr>
      <w:r>
        <w:t xml:space="preserve">VIII. Reumatología e Inmunología Clínica</w:t>
      </w:r>
    </w:p>
    <w:p>
      <w:pPr>
        <w:pStyle w:val="Intro"/>
      </w:pPr>
      <w:r>
        <w:t xml:space="preserve">Enfermedades autoinmunes sistémicas y artropatías, frecuentemente subdiagnosticadas fuera de la subespecialidad.</w:t>
      </w:r>
    </w:p>
    <w:p>
      <w:pPr>
        <w:pStyle w:val="Heading2"/>
      </w:pPr>
      <w:r>
        <w:t xml:space="preserve">Artropatías inflamatorias</w:t>
      </w:r>
    </w:p>
    <w:p>
      <w:pPr>
        <w:pStyle w:val="ListParagraph"/>
        <w:numPr>
          <w:ilvl w:val="0"/>
          <w:numId w:val="1"/>
        </w:numPr>
      </w:pPr>
      <w:r>
        <w:t xml:space="preserve">Artritis reumatoide</w:t>
      </w:r>
    </w:p>
    <w:p>
      <w:pPr>
        <w:pStyle w:val="ListParagraph"/>
        <w:numPr>
          <w:ilvl w:val="0"/>
          <w:numId w:val="1"/>
        </w:numPr>
      </w:pPr>
      <w:r>
        <w:t xml:space="preserve">Espondiloartritis</w:t>
      </w:r>
    </w:p>
    <w:p>
      <w:pPr>
        <w:pStyle w:val="ListParagraph"/>
        <w:numPr>
          <w:ilvl w:val="0"/>
          <w:numId w:val="1"/>
        </w:numPr>
      </w:pPr>
      <w:r>
        <w:t xml:space="preserve">Gota y enfermedad por depósito de cristales</w:t>
      </w:r>
    </w:p>
    <w:p>
      <w:pPr>
        <w:pStyle w:val="Heading2"/>
      </w:pPr>
      <w:r>
        <w:t xml:space="preserve">Enfermedades autoinmunes sistémicas</w:t>
      </w:r>
    </w:p>
    <w:p>
      <w:pPr>
        <w:pStyle w:val="ListParagraph"/>
        <w:numPr>
          <w:ilvl w:val="0"/>
          <w:numId w:val="1"/>
        </w:numPr>
      </w:pPr>
      <w:r>
        <w:t xml:space="preserve">Lupus eritematoso sistémico</w:t>
      </w:r>
    </w:p>
    <w:p>
      <w:pPr>
        <w:pStyle w:val="ListParagraph"/>
        <w:numPr>
          <w:ilvl w:val="0"/>
          <w:numId w:val="1"/>
        </w:numPr>
      </w:pPr>
      <w:r>
        <w:t xml:space="preserve">Esclerosis sistémica y otras conectivopatías</w:t>
      </w:r>
    </w:p>
    <w:p>
      <w:pPr>
        <w:pStyle w:val="ListParagraph"/>
        <w:numPr>
          <w:ilvl w:val="0"/>
          <w:numId w:val="1"/>
        </w:numPr>
      </w:pPr>
      <w:r>
        <w:t xml:space="preserve">Vasculitis sistémicas</w:t>
      </w:r>
    </w:p>
    <w:p>
      <w:pPr>
        <w:pStyle w:val="Heading2"/>
      </w:pPr>
      <w:r>
        <w:t xml:space="preserve">Enfoque diagnóstico</w:t>
      </w:r>
    </w:p>
    <w:p>
      <w:pPr>
        <w:pStyle w:val="ListParagraph"/>
        <w:numPr>
          <w:ilvl w:val="0"/>
          <w:numId w:val="1"/>
        </w:numPr>
      </w:pPr>
      <w:r>
        <w:t xml:space="preserve">Fiebre de origen desconocido</w:t>
      </w:r>
    </w:p>
    <w:p>
      <w:pPr>
        <w:pStyle w:val="Heading1"/>
      </w:pPr>
      <w:r>
        <w:t xml:space="preserve">IX. Neurología</w:t>
      </w:r>
    </w:p>
    <w:p>
      <w:pPr>
        <w:pStyle w:val="Intro"/>
      </w:pPr>
      <w:r>
        <w:t xml:space="preserve">Reconocimiento y manejo agudo de la enfermedad neurológica tiempo-dependiente.</w:t>
      </w:r>
    </w:p>
    <w:p>
      <w:pPr>
        <w:pStyle w:val="Heading2"/>
      </w:pPr>
      <w:r>
        <w:t xml:space="preserve">Enfermedad cerebrovascular</w:t>
      </w:r>
    </w:p>
    <w:p>
      <w:pPr>
        <w:pStyle w:val="ListParagraph"/>
        <w:numPr>
          <w:ilvl w:val="0"/>
          <w:numId w:val="1"/>
        </w:numPr>
      </w:pPr>
      <w:r>
        <w:t xml:space="preserve">Enfermedad vascular cerebral isquémica</w:t>
      </w:r>
    </w:p>
    <w:p>
      <w:pPr>
        <w:pStyle w:val="ListParagraph"/>
        <w:numPr>
          <w:ilvl w:val="0"/>
          <w:numId w:val="1"/>
        </w:numPr>
      </w:pPr>
      <w:r>
        <w:t xml:space="preserve">Hemorragia intracraneal y subaracnoidea</w:t>
      </w:r>
    </w:p>
    <w:p>
      <w:pPr>
        <w:pStyle w:val="Heading2"/>
      </w:pPr>
      <w:r>
        <w:t xml:space="preserve">Trastornos paroxísticos y del movimiento</w:t>
      </w:r>
    </w:p>
    <w:p>
      <w:pPr>
        <w:pStyle w:val="ListParagraph"/>
        <w:numPr>
          <w:ilvl w:val="0"/>
          <w:numId w:val="1"/>
        </w:numPr>
      </w:pPr>
      <w:r>
        <w:t xml:space="preserve">Estado epiléptico y epilepsia</w:t>
      </w:r>
    </w:p>
    <w:p>
      <w:pPr>
        <w:pStyle w:val="ListParagraph"/>
        <w:numPr>
          <w:ilvl w:val="0"/>
          <w:numId w:val="1"/>
        </w:numPr>
      </w:pPr>
      <w:r>
        <w:t xml:space="preserve">Cefaleas</w:t>
      </w:r>
    </w:p>
    <w:p>
      <w:pPr>
        <w:pStyle w:val="ListParagraph"/>
        <w:numPr>
          <w:ilvl w:val="0"/>
          <w:numId w:val="1"/>
        </w:numPr>
      </w:pPr>
      <w:r>
        <w:t xml:space="preserve">Trastornos del movimiento</w:t>
      </w:r>
    </w:p>
    <w:p>
      <w:pPr>
        <w:pStyle w:val="Heading2"/>
      </w:pPr>
      <w:r>
        <w:t xml:space="preserve">Alteración de conciencia y enfermedad neuromuscular</w:t>
      </w:r>
    </w:p>
    <w:p>
      <w:pPr>
        <w:pStyle w:val="ListParagraph"/>
        <w:numPr>
          <w:ilvl w:val="0"/>
          <w:numId w:val="1"/>
        </w:numPr>
      </w:pPr>
      <w:r>
        <w:t xml:space="preserve">Delirium y coma</w:t>
      </w:r>
    </w:p>
    <w:p>
      <w:pPr>
        <w:pStyle w:val="ListParagraph"/>
        <w:numPr>
          <w:ilvl w:val="0"/>
          <w:numId w:val="1"/>
        </w:numPr>
      </w:pPr>
      <w:r>
        <w:t xml:space="preserve">Neuropatías periféricas</w:t>
      </w:r>
    </w:p>
    <w:p>
      <w:pPr>
        <w:pStyle w:val="ListParagraph"/>
        <w:numPr>
          <w:ilvl w:val="0"/>
          <w:numId w:val="1"/>
        </w:numPr>
      </w:pPr>
      <w:r>
        <w:t xml:space="preserve">Síndrome de Guillain-Barré y miastenia gravis</w:t>
      </w:r>
    </w:p>
    <w:p>
      <w:pPr>
        <w:pStyle w:val="Heading1"/>
      </w:pPr>
      <w:r>
        <w:t xml:space="preserve">X. Geriatría</w:t>
      </w:r>
    </w:p>
    <w:p>
      <w:pPr>
        <w:pStyle w:val="Intro"/>
      </w:pPr>
      <w:r>
        <w:t xml:space="preserve">Particularidades fisiológicas y síndromes propios del adulto mayor hospitalizado.</w:t>
      </w:r>
    </w:p>
    <w:p>
      <w:pPr>
        <w:pStyle w:val="Heading2"/>
      </w:pPr>
      <w:r>
        <w:t xml:space="preserve">Valoración y síndromes geriátricos</w:t>
      </w:r>
    </w:p>
    <w:p>
      <w:pPr>
        <w:pStyle w:val="ListParagraph"/>
        <w:numPr>
          <w:ilvl w:val="0"/>
          <w:numId w:val="1"/>
        </w:numPr>
      </w:pPr>
      <w:r>
        <w:t xml:space="preserve">Valoración geriátrica integral</w:t>
      </w:r>
    </w:p>
    <w:p>
      <w:pPr>
        <w:pStyle w:val="ListParagraph"/>
        <w:numPr>
          <w:ilvl w:val="0"/>
          <w:numId w:val="1"/>
        </w:numPr>
      </w:pPr>
      <w:r>
        <w:t xml:space="preserve">Caídas, fragilidad y sarcopenia</w:t>
      </w:r>
    </w:p>
    <w:p>
      <w:pPr>
        <w:pStyle w:val="ListParagraph"/>
        <w:numPr>
          <w:ilvl w:val="0"/>
          <w:numId w:val="1"/>
        </w:numPr>
      </w:pPr>
      <w:r>
        <w:t xml:space="preserve">Polifarmacia y deprescripción</w:t>
      </w:r>
    </w:p>
    <w:p>
      <w:pPr>
        <w:pStyle w:val="Heading2"/>
      </w:pPr>
      <w:r>
        <w:t xml:space="preserve">Cognición</w:t>
      </w:r>
    </w:p>
    <w:p>
      <w:pPr>
        <w:pStyle w:val="ListParagraph"/>
        <w:numPr>
          <w:ilvl w:val="0"/>
          <w:numId w:val="1"/>
        </w:numPr>
      </w:pPr>
      <w:r>
        <w:t xml:space="preserve">Delirium en el adulto mayor</w:t>
      </w:r>
    </w:p>
    <w:p>
      <w:pPr>
        <w:pStyle w:val="ListParagraph"/>
        <w:numPr>
          <w:ilvl w:val="0"/>
          <w:numId w:val="1"/>
        </w:numPr>
      </w:pPr>
      <w:r>
        <w:t xml:space="preserve">Demencias</w:t>
      </w:r>
    </w:p>
    <w:p>
      <w:pPr>
        <w:pStyle w:val="Heading1"/>
      </w:pPr>
      <w:r>
        <w:t xml:space="preserve">XI. Medicina Interna Ambulatoria y Preventiva</w:t>
      </w:r>
    </w:p>
    <w:p>
      <w:pPr>
        <w:pStyle w:val="Intro"/>
      </w:pPr>
      <w:r>
        <w:t xml:space="preserve">El internista como médico de cabecera del adulto: prevención, cribado y problemas frecuentes en consulta externa.</w:t>
      </w:r>
    </w:p>
    <w:p>
      <w:pPr>
        <w:pStyle w:val="Heading2"/>
      </w:pPr>
      <w:r>
        <w:t xml:space="preserve">Prevención y cribado</w:t>
      </w:r>
    </w:p>
    <w:p>
      <w:pPr>
        <w:pStyle w:val="ListParagraph"/>
        <w:numPr>
          <w:ilvl w:val="0"/>
          <w:numId w:val="1"/>
        </w:numPr>
      </w:pPr>
      <w:r>
        <w:t xml:space="preserve">Control de factores de riesgo cardiovascular</w:t>
      </w:r>
    </w:p>
    <w:p>
      <w:pPr>
        <w:pStyle w:val="ListParagraph"/>
        <w:numPr>
          <w:ilvl w:val="0"/>
          <w:numId w:val="1"/>
        </w:numPr>
      </w:pPr>
      <w:r>
        <w:t xml:space="preserve">Tamizaje oncológico</w:t>
      </w:r>
    </w:p>
    <w:p>
      <w:pPr>
        <w:pStyle w:val="ListParagraph"/>
        <w:numPr>
          <w:ilvl w:val="0"/>
          <w:numId w:val="1"/>
        </w:numPr>
      </w:pPr>
      <w:r>
        <w:t xml:space="preserve">Vacunación y medicina preventiva del adulto</w:t>
      </w:r>
    </w:p>
    <w:p>
      <w:pPr>
        <w:pStyle w:val="Heading2"/>
      </w:pPr>
      <w:r>
        <w:t xml:space="preserve">Problemas frecuentes en consulta</w:t>
      </w:r>
    </w:p>
    <w:p>
      <w:pPr>
        <w:pStyle w:val="ListParagraph"/>
        <w:numPr>
          <w:ilvl w:val="0"/>
          <w:numId w:val="1"/>
        </w:numPr>
      </w:pPr>
      <w:r>
        <w:t xml:space="preserve">Salud de la mujer (climaterio, anticoncepción, cribado ginecológico)</w:t>
      </w:r>
    </w:p>
    <w:p>
      <w:pPr>
        <w:pStyle w:val="ListParagraph"/>
        <w:numPr>
          <w:ilvl w:val="0"/>
          <w:numId w:val="1"/>
        </w:numPr>
      </w:pPr>
      <w:r>
        <w:t xml:space="preserve">Dermatología básica para el internista</w:t>
      </w:r>
    </w:p>
    <w:p>
      <w:pPr>
        <w:pStyle w:val="ListParagraph"/>
        <w:numPr>
          <w:ilvl w:val="0"/>
          <w:numId w:val="1"/>
        </w:numPr>
      </w:pPr>
      <w:r>
        <w:t xml:space="preserve">Trastornos psiquiátricos frecuentes (depresión, ansiedad)</w:t>
      </w:r>
    </w:p>
    <w:p>
      <w:pPr>
        <w:pStyle w:val="Heading1"/>
      </w:pPr>
      <w:r>
        <w:t xml:space="preserve">XII. Cuidados Paliativos, Bioética y Comunicación</w:t>
      </w:r>
    </w:p>
    <w:p>
      <w:pPr>
        <w:pStyle w:val="Intro"/>
      </w:pPr>
      <w:r>
        <w:t xml:space="preserve">Competencias esenciales para el acompañamiento integral del paciente y su familia.</w:t>
      </w:r>
    </w:p>
    <w:p>
      <w:pPr>
        <w:pStyle w:val="Heading2"/>
      </w:pPr>
      <w:r>
        <w:t xml:space="preserve">Control de síntomas</w:t>
      </w:r>
    </w:p>
    <w:p>
      <w:pPr>
        <w:pStyle w:val="ListParagraph"/>
        <w:numPr>
          <w:ilvl w:val="0"/>
          <w:numId w:val="1"/>
        </w:numPr>
      </w:pPr>
      <w:r>
        <w:t xml:space="preserve">Manejo del dolor y síntomas al final de la vida</w:t>
      </w:r>
    </w:p>
    <w:p>
      <w:pPr>
        <w:pStyle w:val="Heading2"/>
      </w:pPr>
      <w:r>
        <w:t xml:space="preserve">Toma de decisiones</w:t>
      </w:r>
    </w:p>
    <w:p>
      <w:pPr>
        <w:pStyle w:val="ListParagraph"/>
        <w:numPr>
          <w:ilvl w:val="0"/>
          <w:numId w:val="1"/>
        </w:numPr>
      </w:pPr>
      <w:r>
        <w:t xml:space="preserve">Planificación anticipada de cuidados</w:t>
      </w:r>
    </w:p>
    <w:p>
      <w:pPr>
        <w:pStyle w:val="ListParagraph"/>
        <w:numPr>
          <w:ilvl w:val="0"/>
          <w:numId w:val="1"/>
        </w:numPr>
      </w:pPr>
      <w:r>
        <w:t xml:space="preserve">Principios de bioética clínica</w:t>
      </w:r>
    </w:p>
    <w:p>
      <w:pPr>
        <w:pStyle w:val="ListParagraph"/>
        <w:numPr>
          <w:ilvl w:val="0"/>
          <w:numId w:val="1"/>
        </w:numPr>
      </w:pPr>
      <w:r>
        <w:t xml:space="preserve">Comunicación de malas noticias</w:t>
      </w:r>
    </w:p>
    <w:p>
      <w:pPr>
        <w:pStyle w:val="Heading1"/>
      </w:pPr>
      <w:r>
        <w:t xml:space="preserve">XIII. Farmacología Clínica y Toxicología</w:t>
      </w:r>
    </w:p>
    <w:p>
      <w:pPr>
        <w:pStyle w:val="Intro"/>
      </w:pPr>
      <w:r>
        <w:t xml:space="preserve">Uso seguro del medicamento y reconocimiento de las intoxicaciones más frecuentes.</w:t>
      </w:r>
    </w:p>
    <w:p>
      <w:pPr>
        <w:pStyle w:val="Heading2"/>
      </w:pPr>
      <w:r>
        <w:t xml:space="preserve">Prescripción segura</w:t>
      </w:r>
    </w:p>
    <w:p>
      <w:pPr>
        <w:pStyle w:val="ListParagraph"/>
        <w:numPr>
          <w:ilvl w:val="0"/>
          <w:numId w:val="1"/>
        </w:numPr>
      </w:pPr>
      <w:r>
        <w:t xml:space="preserve">Reconciliación medicamentosa</w:t>
      </w:r>
    </w:p>
    <w:p>
      <w:pPr>
        <w:pStyle w:val="ListParagraph"/>
        <w:numPr>
          <w:ilvl w:val="0"/>
          <w:numId w:val="1"/>
        </w:numPr>
      </w:pPr>
      <w:r>
        <w:t xml:space="preserve">Interacciones farmacológicas relevantes</w:t>
      </w:r>
    </w:p>
    <w:p>
      <w:pPr>
        <w:pStyle w:val="ListParagraph"/>
        <w:numPr>
          <w:ilvl w:val="0"/>
          <w:numId w:val="1"/>
        </w:numPr>
      </w:pPr>
      <w:r>
        <w:t xml:space="preserve">Ajuste de dosis en falla renal y hepática</w:t>
      </w:r>
    </w:p>
    <w:p>
      <w:pPr>
        <w:pStyle w:val="Heading2"/>
      </w:pPr>
      <w:r>
        <w:t xml:space="preserve">Toxicología</w:t>
      </w:r>
    </w:p>
    <w:p>
      <w:pPr>
        <w:pStyle w:val="ListParagraph"/>
        <w:numPr>
          <w:ilvl w:val="0"/>
          <w:numId w:val="1"/>
        </w:numPr>
      </w:pPr>
      <w:r>
        <w:t xml:space="preserve">Intoxicaciones agudas más frecuentes</w:t>
      </w:r>
    </w:p>
    <w:p>
      <w:pPr>
        <w:pStyle w:val="ListParagraph"/>
        <w:numPr>
          <w:ilvl w:val="0"/>
          <w:numId w:val="1"/>
        </w:numPr>
      </w:pPr>
      <w:r>
        <w:t xml:space="preserve">Antídotos y su uso</w:t>
      </w:r>
    </w:p>
    <w:p>
      <w:pPr>
        <w:pStyle w:val="Heading1"/>
      </w:pPr>
      <w:r>
        <w:t xml:space="preserve">XIV. Habilidades Transversales y Procedimientos</w:t>
      </w:r>
    </w:p>
    <w:p>
      <w:pPr>
        <w:pStyle w:val="Intro"/>
      </w:pPr>
      <w:r>
        <w:t xml:space="preserve">Competencias prácticas e interpretativas que atraviesan todas las subespecialidades.</w:t>
      </w:r>
    </w:p>
    <w:p>
      <w:pPr>
        <w:pStyle w:val="Heading2"/>
      </w:pPr>
      <w:r>
        <w:t xml:space="preserve">Procedimientos</w:t>
      </w:r>
    </w:p>
    <w:p>
      <w:pPr>
        <w:pStyle w:val="ListParagraph"/>
        <w:numPr>
          <w:ilvl w:val="0"/>
          <w:numId w:val="1"/>
        </w:numPr>
      </w:pPr>
      <w:r>
        <w:t xml:space="preserve">Paracentesis, toracocentesis y punción lumbar</w:t>
      </w:r>
    </w:p>
    <w:p>
      <w:pPr>
        <w:pStyle w:val="ListParagraph"/>
        <w:numPr>
          <w:ilvl w:val="0"/>
          <w:numId w:val="1"/>
        </w:numPr>
      </w:pPr>
      <w:r>
        <w:t xml:space="preserve">Colocación de accesos venosos centrales</w:t>
      </w:r>
    </w:p>
    <w:p>
      <w:pPr>
        <w:pStyle w:val="Heading2"/>
      </w:pPr>
      <w:r>
        <w:t xml:space="preserve">Interpretación diagnóstica</w:t>
      </w:r>
    </w:p>
    <w:p>
      <w:pPr>
        <w:pStyle w:val="ListParagraph"/>
        <w:numPr>
          <w:ilvl w:val="0"/>
          <w:numId w:val="1"/>
        </w:numPr>
      </w:pPr>
      <w:r>
        <w:t xml:space="preserve">Electrocardiograma</w:t>
      </w:r>
    </w:p>
    <w:p>
      <w:pPr>
        <w:pStyle w:val="ListParagraph"/>
        <w:numPr>
          <w:ilvl w:val="0"/>
          <w:numId w:val="1"/>
        </w:numPr>
      </w:pPr>
      <w:r>
        <w:t xml:space="preserve">Gasometría arterial</w:t>
      </w:r>
    </w:p>
    <w:p>
      <w:pPr>
        <w:pStyle w:val="ListParagraph"/>
        <w:numPr>
          <w:ilvl w:val="0"/>
          <w:numId w:val="1"/>
        </w:numPr>
      </w:pPr>
      <w:r>
        <w:t xml:space="preserve">Imagen básica (radiografía de tórax, tomografía)</w:t>
      </w:r>
    </w:p>
    <w:p>
      <w:pPr>
        <w:pStyle w:val="Heading2"/>
      </w:pPr>
      <w:r>
        <w:t xml:space="preserve">Práctica profesional</w:t>
      </w:r>
    </w:p>
    <w:p>
      <w:pPr>
        <w:pStyle w:val="ListParagraph"/>
        <w:numPr>
          <w:ilvl w:val="0"/>
          <w:numId w:val="1"/>
        </w:numPr>
      </w:pPr>
      <w:r>
        <w:t xml:space="preserve">Seguridad del paciente y calidad de la atención</w:t>
      </w:r>
    </w:p>
    <w:p>
      <w:pPr>
        <w:pStyle w:val="ListParagraph"/>
        <w:numPr>
          <w:ilvl w:val="0"/>
          <w:numId w:val="1"/>
        </w:numPr>
      </w:pPr>
      <w:r>
        <w:t xml:space="preserve">Metodología de la investigación y lectura crítica de la literatura</w:t>
      </w:r>
    </w:p>
    <w:p>
      <w:pPr>
        <w:pStyle w:val="Normal"/>
      </w:pPr>
      <w:r>
        <w:br w:type="page"/>
      </w:r>
    </w:p>
    <w:p>
      <w:pPr>
        <w:pStyle w:val="Heading1"/>
      </w:pPr>
      <w:r>
        <w:t xml:space="preserve">Segunda Sección: Bibliografía</w:t>
      </w:r>
    </w:p>
    <w:p>
      <w:pPr>
        <w:pStyle w:val="Intro"/>
      </w:pPr>
      <w:r>
        <w:t xml:space="preserve">Bibliografía en formato APA (7.ª edición), organizada siguiendo la misma jerarquía del temario (bloque &gt; clúster). Se prioriza la guía o el consenso vigente más reciente de cada tema. Esta sección se irá completando de forma progresiva; por ahora incluye el bloque completo de Sistema Cardiovascular, para revisión.</w:t>
      </w:r>
    </w:p>
    <w:p>
      <w:pPr>
        <w:pStyle w:val="Heading2"/>
      </w:pPr>
      <w:r>
        <w:t xml:space="preserve">I. Sistema Cardiovascular</w:t>
      </w:r>
    </w:p>
    <w:p>
      <w:pPr>
        <w:pStyle w:val="Heading3"/>
      </w:pPr>
      <w:r>
        <w:t xml:space="preserve">Cardiopatía isquémica</w:t>
      </w:r>
    </w:p>
    <w:p>
      <w:pPr>
        <w:pStyle w:val="APARef"/>
      </w:pPr>
      <w:r>
        <w:t xml:space="preserve">Rao, S., O'Donoghue, M. L., Ruel, M., et al. (2025). 2025 ACC/AHA/ACEP/NAEMSP/SCAI guideline for the management of patients with acute coronary syndromes. Circulation, 151(13), e771–e862. https://doi.org/10.1161/CIR.0000000000001309</w:t>
      </w:r>
    </w:p>
    <w:p>
      <w:pPr>
        <w:pStyle w:val="APARef"/>
      </w:pPr>
      <w:r>
        <w:t xml:space="preserve">Vrints, C., Andreotti, F., et al. (2024). 2024 ESC Guidelines for the management of chronic coronary syndromes. European Heart Journal, 45(36), 3415–3537. https://academic.oup.com/eurheartj/article/45/36/3415/7743115</w:t>
      </w:r>
    </w:p>
    <w:p>
      <w:pPr>
        <w:pStyle w:val="APARef"/>
      </w:pPr>
      <w:r>
        <w:t xml:space="preserve">Byrne, R. A., Rossello, X., Coughlan, J. J., Barbato, E., Berry, C., Chieffo, A., Claeys, M. J., Dan, G.-A., Dweck, M. R., Galbraith, M., Gilard, M., Hinterbuchner, L., Jankowska, E. A., Jüni, P., Kimura, T., Kunadian, V., Leosdottir, M., Lorusso, R., Pedretti, R. F. E., . . . Ibanez, B. (2023). 2023 ESC Guidelines for the management of acute coronary syndromes. European Heart Journal, 44(38), 3720–3826. https://academic.oup.com/eurheartj/article/44/38/3720/7243210</w:t>
      </w:r>
    </w:p>
    <w:p>
      <w:pPr>
        <w:pStyle w:val="APARef"/>
      </w:pPr>
      <w:r>
        <w:t xml:space="preserve">Van Diepen, S., Katz, J. N., Albert, N. M., Henry, T. D., Jacobs, A. K., Kapur, N. K., Kilic, A., Menon, V., Ohman, E. M., Sweitzer, N. K., Thiele, H., Washam, J. B., &amp; Cohen, M. G. (2017). Contemporary management of cardiogenic shock: A scientific statement from the American Heart Association. Circulation, 136(16), e232–e268. https://doi.org/10.1161/CIR.0000000000000525</w:t>
      </w:r>
    </w:p>
    <w:p>
      <w:pPr>
        <w:pStyle w:val="Heading3"/>
      </w:pPr>
      <w:r>
        <w:t xml:space="preserve">Insuficiencia cardiaca</w:t>
      </w:r>
    </w:p>
    <w:p>
      <w:pPr>
        <w:pStyle w:val="APARef"/>
      </w:pPr>
      <w:r>
        <w:t xml:space="preserve">Walsh, M. N., Kober, L., Sliwa, K., Adamo, M., Agarwal, A., Banerjee, A., Bozkurt, B., Cikes, M., Damasceno, A., Desai, A. S., Felker, G. M., Hogan, G., Kinugawa, K., Kittleson, M., Lam, C. S. P., McDonagh, T., Metra, M., Mullens, W., Ribeiro, A. L. P., . . . Vest, A. (2026). AHA/ACC/ESC/WHF expert consensus document: Second universal definition of heart failure (2026). Circulation, 153, e000–e000. https://doi.org/10.1161/CIR.0000000000001455</w:t>
      </w:r>
    </w:p>
    <w:p>
      <w:pPr>
        <w:pStyle w:val="APARef"/>
      </w:pPr>
      <w:r>
        <w:t xml:space="preserve">Heidenreich, P. A., Bozkurt, B., Aguilar, D., et al. (2022). 2022 AHA/ACC/HFSA guideline for the management of heart failure. Circulation, 145(18), e895–e1032. https://doi.org/10.1161/CIR.0000000000001063</w:t>
      </w:r>
    </w:p>
    <w:p>
      <w:pPr>
        <w:pStyle w:val="APARef"/>
      </w:pPr>
      <w:r>
        <w:t xml:space="preserve">Bruno, J., Arrigo, M., Baudry, G., Biegus, J., Bozkurt, B., Čerlinskaitė-Bajorė, K., Cohen, L. P., Hartshorne-Evans, N., Ishihara, S., Jessen, N., Martens, P., Myhre, P., Pagnesi, M., Rosner, C., Sari, N. Y., Savarese, G., Skaarup, K. G., Spahillari, A., ter Maaten, J. M., . . . Mebazaa, A. (2026). Contemporary management of acute heart failure: From emergency presentation to long-term remission. Journal of the American College of Cardiology. Advance online publication. https://doi.org/10.1016/j.jacc.2026.03.029</w:t>
      </w:r>
    </w:p>
    <w:p>
      <w:pPr>
        <w:pStyle w:val="APARef"/>
      </w:pPr>
      <w:r>
        <w:t xml:space="preserve">McDonagh, T. A., et al. (2021). 2021 ESC Guidelines for the diagnosis and treatment of acute and chronic heart failure. European Heart Journal, 42(36), 3599–3726. https://doi.org/10.1093/eurheartj/ehab368</w:t>
      </w:r>
    </w:p>
    <w:p>
      <w:pPr>
        <w:pStyle w:val="Heading3"/>
      </w:pPr>
      <w:r>
        <w:t xml:space="preserve">Arritmias y electrofisiología</w:t>
      </w:r>
    </w:p>
    <w:p>
      <w:pPr>
        <w:pStyle w:val="APARef"/>
      </w:pPr>
      <w:r>
        <w:t xml:space="preserve">Joglar, J. A., Chung, M. K., Armbruster, A. L., et al. (2024). 2023 ACC/AHA/ACCP/HRS guideline for the diagnosis and management of atrial fibrillation. Circulation, 149(1), e1–e156. https://doi.org/10.1161/CIR.0000000000001193</w:t>
      </w:r>
    </w:p>
    <w:p>
      <w:pPr>
        <w:pStyle w:val="APARef"/>
      </w:pPr>
      <w:r>
        <w:t xml:space="preserve">Van Gelder, I. C., Rienstra, M., Crijns, H. J. G. M., et al. (2024). 2024 ESC Guidelines for the management of atrial fibrillation. European Heart Journal, 45(36), 3314–3414. https://doi.org/10.1093/eurheartj/ehae176</w:t>
      </w:r>
    </w:p>
    <w:p>
      <w:pPr>
        <w:pStyle w:val="APARef"/>
      </w:pPr>
      <w:r>
        <w:t xml:space="preserve">Zeppenfeld, K., Tfelt-Hansen, J., de Riva, M., et al. (2022). 2022 ESC Guidelines for the management of patients with ventricular arrhythmias and the prevention of sudden cardiac death. European Heart Journal, 43(40), 3997–4126. https://doi.org/10.1093/eurheartj/ehac262</w:t>
      </w:r>
    </w:p>
    <w:p>
      <w:pPr>
        <w:pStyle w:val="APARef"/>
      </w:pPr>
      <w:r>
        <w:t xml:space="preserve">Glikson, M., Nielsen, J. C., Kronborg, M. B., et al. (2021). 2021 ESC Guidelines on cardiac pacing and cardiac resynchronization therapy. European Heart Journal, 42(35), 3427–3520. https://doi.org/10.1093/eurheartj/ehab364</w:t>
      </w:r>
    </w:p>
    <w:p>
      <w:pPr>
        <w:pStyle w:val="Heading3"/>
      </w:pPr>
      <w:r>
        <w:t xml:space="preserve">Enfermedad valvular, pericárdica y miocárdica</w:t>
      </w:r>
    </w:p>
    <w:p>
      <w:pPr>
        <w:pStyle w:val="APARef"/>
      </w:pPr>
      <w:r>
        <w:t xml:space="preserve">Vahanian, A., Beyersdorf, F., Praz, F., et al. (2022). 2021 ESC/EACTS Guidelines for the management of valvular heart disease. European Heart Journal, 43(7), 561–632. https://doi.org/10.1093/eurheartj/ehab395</w:t>
      </w:r>
    </w:p>
    <w:p>
      <w:pPr>
        <w:pStyle w:val="APARef"/>
      </w:pPr>
      <w:r>
        <w:t xml:space="preserve">Arbelo, E., Protonotarios, A., Gimeno, J. R., et al. (2023). 2023 ESC Guidelines for the management of cardiomyopathies. European Heart Journal, 44(37), 3503–3626. https://doi.org/10.1093/eurheartj/ehad194</w:t>
      </w:r>
    </w:p>
    <w:p>
      <w:pPr>
        <w:pStyle w:val="APARef"/>
      </w:pPr>
      <w:r>
        <w:t xml:space="preserve">Imazio, M., Schulz-Menger, J., et al. (2025). 2025 ESC Guidelines for the management of myocarditis and pericarditis. European Heart Journal, 46(40). https://doi.org/10.1093/eurheartj/ehaf192</w:t>
      </w:r>
    </w:p>
    <w:p>
      <w:pPr>
        <w:pStyle w:val="Heading3"/>
      </w:pPr>
      <w:r>
        <w:t xml:space="preserve">Hipertensión arterial y enfermedad tromboembólica</w:t>
      </w:r>
    </w:p>
    <w:p>
      <w:pPr>
        <w:pStyle w:val="APARef"/>
      </w:pPr>
      <w:r>
        <w:t xml:space="preserve">Jones, D. W., Egan, B., et al. (2025). 2025 AHA/ACC/AANP/AAPA/ABC/ACCP/ACPM/AGS/AMA/ASPC/NMA/PCNA/SGIM guideline for the prevention, detection, evaluation, and management of high blood pressure in adults. Circulation, 152, e114–e218. https://doi.org/10.1161/CIR.0000000000001356</w:t>
      </w:r>
    </w:p>
    <w:p>
      <w:pPr>
        <w:pStyle w:val="APARef"/>
      </w:pPr>
      <w:r>
        <w:t xml:space="preserve">McEvoy, J. W., McCarthy, C. P., Bruno, R. M., et al. (2024). 2024 ESC Guidelines for the management of elevated blood pressure and hypertension. European Heart Journal, 45(38), 3912–4018. https://doi.org/10.1093/eurheartj/ehae178</w:t>
      </w:r>
    </w:p>
    <w:p>
      <w:pPr>
        <w:pStyle w:val="APARef"/>
      </w:pPr>
      <w:r>
        <w:t xml:space="preserve">Creager, M. A., Barnes, G. D., Giri, J., et al. (2026). 2026 AHA/ACC/ACCP/ACEP/CHEST/SCAI/SHM/SIR/SVM/SVN guideline for the evaluation and management of acute pulmonary embolism in adults. Circulation. Advance online publication. https://doi.org/10.1161/CIR.0000000000001415</w:t>
      </w:r>
    </w:p>
    <w:p>
      <w:pPr>
        <w:pStyle w:val="APARef"/>
      </w:pPr>
      <w:r>
        <w:t xml:space="preserve">Stevens, S. M., Woller, S. C., Baumann Kreuziger, L., et al. (2021). Antithrombotic therapy for VTE disease: Second update of the CHEST guideline and expert panel report [executive summary]. Chest, 160(6), 2247–2259. https://doi.org/10.1016/j.chest.2021.07.056</w:t>
      </w:r>
    </w:p>
    <w:p>
      <w:pPr>
        <w:pStyle w:val="PendingNote"/>
      </w:pPr>
      <w:r>
        <w:t xml:space="preserve">Los bloques II a XIV quedan pendientes de bibliografía y se agregarán en próximas revisiones.</w:t>
      </w:r>
    </w:p>
    <w:p>
      <w:pPr>
        <w:pStyle w:val="Heading1"/>
      </w:pPr>
      <w:r>
        <w:t xml:space="preserve">Fuentes consultadas</w:t>
      </w:r>
    </w:p>
    <w:p>
      <w:pPr>
        <w:pStyle w:val="ListParagraph"/>
        <w:numPr>
          <w:ilvl w:val="0"/>
          <w:numId w:val="1"/>
        </w:numPr>
      </w:pPr>
      <w:r>
        <w:t xml:space="preserve">Sociedad Española de Medicina Interna (FESEMI). Programa Formativo de la especialidad de Medicina Interna.</w:t>
      </w:r>
    </w:p>
    <w:p>
      <w:pPr>
        <w:pStyle w:val="ListParagraph"/>
        <w:numPr>
          <w:ilvl w:val="0"/>
          <w:numId w:val="1"/>
        </w:numPr>
      </w:pPr>
      <w:r>
        <w:t xml:space="preserve">Facultad de Medicina, UNAM. Plan Único de Especializaciones Médicas (PUEM), Medicina Interna.</w:t>
      </w:r>
    </w:p>
    <w:p>
      <w:pPr>
        <w:pStyle w:val="ListParagraph"/>
        <w:numPr>
          <w:ilvl w:val="0"/>
          <w:numId w:val="1"/>
        </w:numPr>
      </w:pPr>
      <w:r>
        <w:t xml:space="preserve">Accreditation Council for Graduate Medical Education (ACGME). Internal Medicine Milestones 2.0.</w:t>
      </w:r>
    </w:p>
    <w:p>
      <w:pPr>
        <w:pStyle w:val="ListParagraph"/>
        <w:numPr>
          <w:ilvl w:val="0"/>
          <w:numId w:val="1"/>
        </w:numPr>
      </w:pPr>
      <w:r>
        <w:t xml:space="preserve">American College of Physicians. Medical Knowledge Self-Assessment Program (MKSAP), áreas de contenido por subespecialidad.</w:t>
      </w:r>
    </w:p>
    <w:p>
      <w:pPr>
        <w:pStyle w:val="SourceNote"/>
        <w:spacing w:before="200"/>
      </w:pPr>
      <w:r>
        <w:t xml:space="preserve">Documento de orientación académica; no sustituye el programa oficial de cada sede hospitalaria ni las guías de práctica clínica vigentes.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540" w:hanging="270"/>
      </w:pPr>
      <w:rPr>
        <w:rFonts w:ascii="Arial" w:hAnsi="Arial" w:hint="default"/>
      </w:rPr>
    </w:lvl>
    <w:lvl w:ilvl="1">
      <w:start w:val="1"/>
      <w:numFmt w:val="bullet"/>
      <w:lvlText w:val="–"/>
      <w:lvlJc w:val="left"/>
      <w:pPr>
        <w:ind w:left="1080" w:hanging="270"/>
      </w:pPr>
      <w:rPr>
        <w:rFonts w:ascii="Arial" w:hAnsi="Arial" w:hint="default"/>
      </w:rPr>
    </w:lvl>
  </w:abstractNum>
  <w:num w:numId="1">
    <w:abstractNumId w:val="0"/>
  </w:num>
</w:numbering>
</file>

<file path=word/styles.xml><?xml version="1.0" encoding="utf-8"?>
<w:styles xmlns:w="http://schemas.openxmlformats.org/wordprocessingml/2006/main">
  <w:docDefaults>
    <w:rPrDefault>
      <w:rPr>
        <w:rFonts w:ascii="Arial" w:hAnsi="Arial" w:cs="Arial"/>
        <w:sz w:val="21"/>
        <w:szCs w:val="21"/>
        <w:lang w:val="es-MX"/>
      </w:rPr>
    </w:rPrDefault>
  </w:docDefaults>
  <w:style w:type="paragraph" w:default="1" w:styleId="Normal">
    <w:name w:val="Normal"/>
    <w:qFormat/>
    <w:pPr>
      <w:spacing w:after="160" w:line="288" w:lineRule="auto"/>
    </w:pPr>
  </w:style>
  <w:style w:type="paragraph" w:styleId="Title">
    <w:name w:val="Title"/>
    <w:basedOn w:val="Normal"/>
    <w:qFormat/>
    <w:pPr>
      <w:spacing w:after="80"/>
    </w:pPr>
    <w:rPr>
      <w:rFonts w:ascii="Arial" w:hAnsi="Arial"/>
      <w:b/>
      <w:color w:val="1F3B4D"/>
      <w:sz w:val="56"/>
    </w:rPr>
  </w:style>
  <w:style w:type="paragraph" w:styleId="Subtitle">
    <w:name w:val="Subtitle"/>
    <w:basedOn w:val="Normal"/>
    <w:qFormat/>
    <w:pPr>
      <w:spacing w:after="400"/>
    </w:pPr>
    <w:rPr>
      <w:rFonts w:ascii="Arial" w:hAnsi="Arial"/>
      <w:color w:val="5C7A9A"/>
      <w:sz w:val="28"/>
    </w:rPr>
  </w:style>
  <w:style w:type="paragraph" w:styleId="Heading1">
    <w:name w:val="heading 1"/>
    <w:basedOn w:val="Normal"/>
    <w:next w:val="Normal"/>
    <w:qFormat/>
    <w:pPr>
      <w:keepNext/>
      <w:spacing w:before="440" w:after="160"/>
      <w:pBdr>
        <w:bottom w:val="single" w:sz="6" w:space="4" w:color="3D5A73"/>
      </w:pBdr>
    </w:pPr>
    <w:rPr>
      <w:rFonts w:ascii="Arial" w:hAnsi="Arial"/>
      <w:b/>
      <w:color w:val="1F3B4D"/>
      <w:sz w:val="32"/>
    </w:rPr>
  </w:style>
  <w:style w:type="paragraph" w:styleId="Heading2">
    <w:name w:val="heading 2"/>
    <w:basedOn w:val="Normal"/>
    <w:next w:val="Normal"/>
    <w:qFormat/>
    <w:pPr>
      <w:keepNext/>
      <w:spacing w:before="260" w:after="100"/>
    </w:pPr>
    <w:rPr>
      <w:rFonts w:ascii="Arial" w:hAnsi="Arial"/>
      <w:b/>
      <w:color w:val="3D5A73"/>
      <w:sz w:val="24"/>
    </w:rPr>
  </w:style>
  <w:style w:type="paragraph" w:styleId="Heading3">
    <w:name w:val="heading 3"/>
    <w:basedOn w:val="Normal"/>
    <w:next w:val="Normal"/>
    <w:qFormat/>
    <w:pPr>
      <w:keepNext/>
      <w:spacing w:before="160" w:after="60"/>
    </w:pPr>
    <w:rPr>
      <w:rFonts w:ascii="Arial" w:hAnsi="Arial"/>
      <w:b/>
      <w:i/>
      <w:color w:val="5C4A73"/>
      <w:sz w:val="21"/>
    </w:rPr>
  </w:style>
  <w:style w:type="paragraph" w:styleId="Intro">
    <w:name w:val="Intro"/>
    <w:basedOn w:val="Normal"/>
    <w:qFormat/>
    <w:pPr>
      <w:spacing w:after="180"/>
    </w:pPr>
    <w:rPr>
      <w:i/>
      <w:color w:val="5C5646"/>
    </w:rPr>
  </w:style>
  <w:style w:type="paragraph" w:styleId="ListParagraph">
    <w:name w:val="List Paragraph"/>
    <w:basedOn w:val="Normal"/>
    <w:qFormat/>
    <w:pPr>
      <w:spacing w:after="60"/>
    </w:pPr>
  </w:style>
  <w:style w:type="paragraph" w:styleId="TOCEntry">
    <w:name w:val="TOC Entry"/>
    <w:basedOn w:val="Normal"/>
    <w:qFormat/>
    <w:pPr>
      <w:spacing w:after="70"/>
    </w:pPr>
    <w:rPr>
      <w:rFonts w:ascii="Arial" w:hAnsi="Arial"/>
      <w:color w:val="3D5A73"/>
    </w:rPr>
  </w:style>
  <w:style w:type="paragraph" w:styleId="SourceNote">
    <w:name w:val="Source Note"/>
    <w:basedOn w:val="Normal"/>
    <w:qFormat/>
    <w:pPr>
      <w:spacing w:after="60"/>
    </w:pPr>
    <w:rPr>
      <w:color w:val="8D8570"/>
      <w:sz w:val="18"/>
    </w:rPr>
  </w:style>
  <w:style w:type="paragraph" w:styleId="APARef">
    <w:name w:val="APA Reference"/>
    <w:basedOn w:val="Normal"/>
    <w:qFormat/>
    <w:pPr>
      <w:spacing w:after="200" w:line="288" w:lineRule="auto"/>
      <w:ind w:left="720" w:hanging="720"/>
    </w:pPr>
    <w:rPr>
      <w:sz w:val="20"/>
    </w:rPr>
  </w:style>
  <w:style w:type="paragraph" w:styleId="PendingNote">
    <w:name w:val="Pending Note"/>
    <w:basedOn w:val="Normal"/>
    <w:qFormat/>
    <w:pPr>
      <w:spacing w:after="140"/>
    </w:pPr>
    <w:rPr>
      <w:i/>
      <w:color w:val="8D857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ResidenteMed</Application>
</Properties>
</file>

<file path=docProps/core.xml><?xml version="1.0" encoding="utf-8"?>
<cp:coreProperties xmlns:cp="http://schemas.openxmlformats.org/package/2006/metadata/core-properties" xmlns:dc="http://purl.org/dc/elements/1.1/" xmlns:dcterms="http://purl.org/dc/terms/" xmlns:xsi="http://www.w3.org/2001/XMLSchema-instance">
  <dc:title>Temario Holistico de Medicina Interna</dc:title>
  <dc:creator>ResidenteMed</dc:creator>
  <cp:lastModifiedBy>ResidenteMed</cp:lastModifiedBy>
  <dcterms:created xsi:type="dcterms:W3CDTF">2026-07-19T12:00:00Z</dcterms:created>
  <dcterms:modified xsi:type="dcterms:W3CDTF">2026-07-19T12:00:00Z</dcterms:modified>
</cp:coreProperties>
</file>