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spacing w:before="1400"/>
      </w:pPr>
      <w:r>
        <w:t xml:space="preserve">Temario Holístico</w:t>
      </w:r>
    </w:p>
    <w:p>
      <w:pPr>
        <w:pStyle w:val="Title"/>
      </w:pPr>
      <w:r>
        <w:t xml:space="preserve">de Medicina Interna</w:t>
      </w:r>
    </w:p>
    <w:p>
      <w:pPr>
        <w:pStyle w:val="Subtitle"/>
      </w:pPr>
      <w:r>
        <w:t xml:space="preserve">Guía de estudio organizada por bloques temáticos, para la residencia de Medicina Interna</w:t>
      </w:r>
    </w:p>
    <w:p>
      <w:pPr>
        <w:pStyle w:val="SourceNote"/>
      </w:pPr>
      <w:r>
        <w:t xml:space="preserve">Elaborado por ResidenteMed. Julio 2026.</w:t>
      </w:r>
    </w:p>
    <w:p>
      <w:pPr>
        <w:pStyle w:val="Normal"/>
        <w:spacing w:before="500" w:after="140"/>
      </w:pPr>
      <w:r>
        <w:rPr>
          <w:b/>
        </w:rPr>
        <w:t xml:space="preserve">Cómo se organizó este temario</w:t>
      </w:r>
    </w:p>
    <w:p>
      <w:pPr>
        <w:pStyle w:val="Normal"/>
      </w:pPr>
      <w:r>
        <w:t xml:space="preserve">Este documento reúne, en catorce bloques ordenados de forma didáctica, los contenidos nucleares de un programa de residencia en Medicina Interna. La estructura y el alcance se basaron en la revisión de programas formativos vigentes: el Programa Formativo de la especialidad de Medicina Interna de FESEMI (España), el Plan Único de Especializaciones Médicas (PUEM) de la Facultad de Medicina de la UNAM, el marco de Milestones 2.0 del ACGME para Medicina Interna (Estados Unidos), y las áreas de contenido subespecializado del Medical Knowledge Self-Assessment Program (MKSAP) del American College of Physicians, complementado con conocimiento clínico general. Adicionalmente, la cobertura temática se contrastó contra el temario oficial del examen de certificación del Consejo Mexicano de Medicina Interna, A.C. (CMMI), para asegurar que todos los temas evaluados en dicho examen estén representados. Cada bloque agrupa primero por sistema o área, luego por racimo temático (clúster) y finalmente por entidad clínica específica, para facilitar tanto la planificación de rotaciones como el autoestudio progresivo.</w:t>
      </w:r>
    </w:p>
    <w:p>
      <w:pPr>
        <w:pStyle w:val="Normal"/>
        <w:pBdr>
          <w:bottom w:val="single" w:sz="6" w:space="8" w:color="DDD4BF"/>
        </w:pBdr>
      </w:pPr>
      <w:r>
        <w:t xml:space="preserve"> </w:t>
      </w:r>
    </w:p>
    <w:p>
      <w:pPr>
        <w:pStyle w:val="Heading1"/>
      </w:pPr>
      <w:r>
        <w:t xml:space="preserve">Índice</w:t>
      </w:r>
    </w:p>
    <w:p>
      <w:pPr>
        <w:pStyle w:val="TOCEntry"/>
      </w:pPr>
      <w:r>
        <w:t xml:space="preserve">I. Sistema Cardiovascular</w:t>
      </w:r>
    </w:p>
    <w:p>
      <w:pPr>
        <w:pStyle w:val="TOCEntry"/>
      </w:pPr>
      <w:r>
        <w:t xml:space="preserve">II. Neumología y Medicina Crítica</w:t>
      </w:r>
    </w:p>
    <w:p>
      <w:pPr>
        <w:pStyle w:val="TOCEntry"/>
      </w:pPr>
      <w:r>
        <w:t xml:space="preserve">III. Gastroenterología y Hepatología</w:t>
      </w:r>
    </w:p>
    <w:p>
      <w:pPr>
        <w:pStyle w:val="TOCEntry"/>
      </w:pPr>
      <w:r>
        <w:t xml:space="preserve">IV. Nefrología y Trastornos Hidroelectrolíticos</w:t>
      </w:r>
    </w:p>
    <w:p>
      <w:pPr>
        <w:pStyle w:val="TOCEntry"/>
      </w:pPr>
      <w:r>
        <w:t xml:space="preserve">V. Endocrinología y Metabolismo</w:t>
      </w:r>
    </w:p>
    <w:p>
      <w:pPr>
        <w:pStyle w:val="TOCEntry"/>
      </w:pPr>
      <w:r>
        <w:t xml:space="preserve">VI. Hematología y Oncología</w:t>
      </w:r>
    </w:p>
    <w:p>
      <w:pPr>
        <w:pStyle w:val="TOCEntry"/>
      </w:pPr>
      <w:r>
        <w:t xml:space="preserve">VII. Enfermedades Infecciosas</w:t>
      </w:r>
    </w:p>
    <w:p>
      <w:pPr>
        <w:pStyle w:val="TOCEntry"/>
      </w:pPr>
      <w:r>
        <w:t xml:space="preserve">VIII. Reumatología e Inmunología Clínica</w:t>
      </w:r>
    </w:p>
    <w:p>
      <w:pPr>
        <w:pStyle w:val="TOCEntry"/>
      </w:pPr>
      <w:r>
        <w:t xml:space="preserve">IX. Neurología</w:t>
      </w:r>
    </w:p>
    <w:p>
      <w:pPr>
        <w:pStyle w:val="TOCEntry"/>
      </w:pPr>
      <w:r>
        <w:t xml:space="preserve">X. Geriatría</w:t>
      </w:r>
    </w:p>
    <w:p>
      <w:pPr>
        <w:pStyle w:val="TOCEntry"/>
      </w:pPr>
      <w:r>
        <w:t xml:space="preserve">XI. Medicina Interna Ambulatoria y Preventiva</w:t>
      </w:r>
    </w:p>
    <w:p>
      <w:pPr>
        <w:pStyle w:val="TOCEntry"/>
      </w:pPr>
      <w:r>
        <w:t xml:space="preserve">XII. Cuidados Paliativos, Bioética y Comunicación</w:t>
      </w:r>
    </w:p>
    <w:p>
      <w:pPr>
        <w:pStyle w:val="TOCEntry"/>
      </w:pPr>
      <w:r>
        <w:t xml:space="preserve">XIII. Farmacología Clínica y Toxicología</w:t>
      </w:r>
    </w:p>
    <w:p>
      <w:pPr>
        <w:pStyle w:val="TOCEntry"/>
      </w:pPr>
      <w:r>
        <w:t xml:space="preserve">XIV. Habilidades Transversales y Procedimientos</w:t>
      </w:r>
    </w:p>
    <w:p>
      <w:pPr>
        <w:pStyle w:val="TOCEntry"/>
      </w:pPr>
      <w:r>
        <w:t xml:space="preserve">Segunda Sección: Bibliografía</w:t>
      </w:r>
    </w:p>
    <w:p>
      <w:pPr>
        <w:pStyle w:val="Normal"/>
      </w:pPr>
      <w:r>
        <w:br w:type="page"/>
      </w:r>
    </w:p>
    <w:p>
      <w:pPr>
        <w:pStyle w:val="Heading1"/>
      </w:pPr>
      <w:r>
        <w:t xml:space="preserve">I. Sistema Cardiovascular</w:t>
      </w:r>
    </w:p>
    <w:p>
      <w:pPr>
        <w:pStyle w:val="Intro"/>
      </w:pPr>
      <w:r>
        <w:t xml:space="preserve">Reconocimiento, estabilización y manejo longitudinal de la enfermedad cardiovascular, la primera causa de morbimortalidad en el adulto.</w:t>
      </w:r>
    </w:p>
    <w:p>
      <w:pPr>
        <w:pStyle w:val="Heading2"/>
      </w:pPr>
      <w:r>
        <w:t xml:space="preserve">Cardiopatía isquémica</w:t>
      </w:r>
    </w:p>
    <w:p>
      <w:pPr>
        <w:pStyle w:val="ListParagraph"/>
        <w:numPr>
          <w:ilvl w:val="0"/>
          <w:numId w:val="1"/>
        </w:numPr>
      </w:pPr>
      <w:r>
        <w:t xml:space="preserve">Angina estable y pruebas de isquemia</w:t>
      </w:r>
    </w:p>
    <w:p>
      <w:pPr>
        <w:pStyle w:val="ListParagraph"/>
        <w:numPr>
          <w:ilvl w:val="0"/>
          <w:numId w:val="1"/>
        </w:numPr>
      </w:pPr>
      <w:r>
        <w:t xml:space="preserve">Síndromes coronarios agudos (SCACEST, SCASEST) y reperfusión</w:t>
      </w:r>
    </w:p>
    <w:p>
      <w:pPr>
        <w:pStyle w:val="ListParagraph"/>
        <w:numPr>
          <w:ilvl w:val="0"/>
          <w:numId w:val="1"/>
        </w:numPr>
      </w:pPr>
      <w:r>
        <w:t xml:space="preserve">Choque cardiogénico</w:t>
      </w:r>
    </w:p>
    <w:p>
      <w:pPr>
        <w:pStyle w:val="Heading2"/>
      </w:pPr>
      <w:r>
        <w:t xml:space="preserve">Insuficiencia cardiaca</w:t>
      </w:r>
    </w:p>
    <w:p>
      <w:pPr>
        <w:pStyle w:val="ListParagraph"/>
        <w:numPr>
          <w:ilvl w:val="0"/>
          <w:numId w:val="1"/>
        </w:numPr>
      </w:pPr>
      <w:r>
        <w:t xml:space="preserve">IC aguda descompensada y edema agudo de pulmón</w:t>
      </w:r>
    </w:p>
    <w:p>
      <w:pPr>
        <w:pStyle w:val="ListParagraph"/>
        <w:numPr>
          <w:ilvl w:val="0"/>
          <w:numId w:val="1"/>
        </w:numPr>
      </w:pPr>
      <w:r>
        <w:t xml:space="preserve">IC crónica con FEVI reducida y preservada</w:t>
      </w:r>
    </w:p>
    <w:p>
      <w:pPr>
        <w:pStyle w:val="ListParagraph"/>
        <w:numPr>
          <w:ilvl w:val="0"/>
          <w:numId w:val="1"/>
        </w:numPr>
      </w:pPr>
      <w:r>
        <w:t xml:space="preserve">Dispositivos y terapias avanzadas (resincronización, asistencia ventricular)</w:t>
      </w:r>
    </w:p>
    <w:p>
      <w:pPr>
        <w:pStyle w:val="Heading2"/>
      </w:pPr>
      <w:r>
        <w:t xml:space="preserve">Arritmias y electrofisiología</w:t>
      </w:r>
    </w:p>
    <w:p>
      <w:pPr>
        <w:pStyle w:val="ListParagraph"/>
        <w:numPr>
          <w:ilvl w:val="0"/>
          <w:numId w:val="1"/>
        </w:numPr>
      </w:pPr>
      <w:r>
        <w:t xml:space="preserve">Fibrilación y flutter auricular, anticoagulación</w:t>
      </w:r>
    </w:p>
    <w:p>
      <w:pPr>
        <w:pStyle w:val="ListParagraph"/>
        <w:numPr>
          <w:ilvl w:val="0"/>
          <w:numId w:val="1"/>
        </w:numPr>
      </w:pPr>
      <w:r>
        <w:t xml:space="preserve">Taquiarritmias y bradiarritmias sintomáticas</w:t>
      </w:r>
    </w:p>
    <w:p>
      <w:pPr>
        <w:pStyle w:val="ListParagraph"/>
        <w:numPr>
          <w:ilvl w:val="0"/>
          <w:numId w:val="1"/>
        </w:numPr>
      </w:pPr>
      <w:r>
        <w:t xml:space="preserve">Marcapasos y desfibriladores</w:t>
      </w:r>
    </w:p>
    <w:p>
      <w:pPr>
        <w:pStyle w:val="Heading2"/>
      </w:pPr>
      <w:r>
        <w:t xml:space="preserve">Enfermedad valvular, pericárdica y miocárdica</w:t>
      </w:r>
    </w:p>
    <w:p>
      <w:pPr>
        <w:pStyle w:val="ListParagraph"/>
        <w:numPr>
          <w:ilvl w:val="0"/>
          <w:numId w:val="1"/>
        </w:numPr>
      </w:pPr>
      <w:r>
        <w:t xml:space="preserve">Valvulopatías nativas y protésicas</w:t>
      </w:r>
    </w:p>
    <w:p>
      <w:pPr>
        <w:pStyle w:val="ListParagraph"/>
        <w:numPr>
          <w:ilvl w:val="0"/>
          <w:numId w:val="1"/>
        </w:numPr>
      </w:pPr>
      <w:r>
        <w:t xml:space="preserve">Cardiopatía reumática</w:t>
      </w:r>
    </w:p>
    <w:p>
      <w:pPr>
        <w:pStyle w:val="ListParagraph"/>
        <w:numPr>
          <w:ilvl w:val="0"/>
          <w:numId w:val="1"/>
        </w:numPr>
      </w:pPr>
      <w:r>
        <w:t xml:space="preserve">Pericarditis y taponamiento cardiaco</w:t>
      </w:r>
    </w:p>
    <w:p>
      <w:pPr>
        <w:pStyle w:val="ListParagraph"/>
        <w:numPr>
          <w:ilvl w:val="0"/>
          <w:numId w:val="1"/>
        </w:numPr>
      </w:pPr>
      <w:r>
        <w:t xml:space="preserve">Miocardiopatías (dilatada, hipertrófica, restrictiva)</w:t>
      </w:r>
    </w:p>
    <w:p>
      <w:pPr>
        <w:pStyle w:val="ListParagraph"/>
        <w:numPr>
          <w:ilvl w:val="0"/>
          <w:numId w:val="1"/>
        </w:numPr>
      </w:pPr>
      <w:r>
        <w:t xml:space="preserve">Miocarditis</w:t>
      </w:r>
    </w:p>
    <w:p>
      <w:pPr>
        <w:pStyle w:val="ListParagraph"/>
        <w:numPr>
          <w:ilvl w:val="0"/>
          <w:numId w:val="1"/>
        </w:numPr>
      </w:pPr>
      <w:r>
        <w:t xml:space="preserve">Cor pulmonale</w:t>
      </w:r>
    </w:p>
    <w:p>
      <w:pPr>
        <w:pStyle w:val="ListParagraph"/>
        <w:numPr>
          <w:ilvl w:val="0"/>
          <w:numId w:val="1"/>
        </w:numPr>
      </w:pPr>
      <w:r>
        <w:t xml:space="preserve">Cardiopatías congénitas en el adulto</w:t>
      </w:r>
    </w:p>
    <w:p>
      <w:pPr>
        <w:pStyle w:val="Heading2"/>
      </w:pPr>
      <w:r>
        <w:t xml:space="preserve">Hipertensión arterial y enfermedad tromboembólica</w:t>
      </w:r>
    </w:p>
    <w:p>
      <w:pPr>
        <w:pStyle w:val="ListParagraph"/>
        <w:numPr>
          <w:ilvl w:val="0"/>
          <w:numId w:val="1"/>
        </w:numPr>
      </w:pPr>
      <w:r>
        <w:t xml:space="preserve">HTA esencial y urgencias/emergencias hipertensivas</w:t>
      </w:r>
    </w:p>
    <w:p>
      <w:pPr>
        <w:pStyle w:val="ListParagraph"/>
        <w:numPr>
          <w:ilvl w:val="0"/>
          <w:numId w:val="1"/>
        </w:numPr>
      </w:pPr>
      <w:r>
        <w:t xml:space="preserve">HTA secundaria</w:t>
      </w:r>
    </w:p>
    <w:p>
      <w:pPr>
        <w:pStyle w:val="ListParagraph"/>
        <w:numPr>
          <w:ilvl w:val="0"/>
          <w:numId w:val="1"/>
        </w:numPr>
      </w:pPr>
      <w:r>
        <w:t xml:space="preserve">Trombosis venosa profunda y tromboembolia pulmonar</w:t>
      </w:r>
    </w:p>
    <w:p>
      <w:pPr>
        <w:pStyle w:val="ListParagraph"/>
        <w:numPr>
          <w:ilvl w:val="0"/>
          <w:numId w:val="1"/>
        </w:numPr>
      </w:pPr>
      <w:r>
        <w:t xml:space="preserve">Tromboflebitis superficial</w:t>
      </w:r>
    </w:p>
    <w:p>
      <w:pPr>
        <w:pStyle w:val="ListParagraph"/>
        <w:numPr>
          <w:ilvl w:val="0"/>
          <w:numId w:val="1"/>
        </w:numPr>
      </w:pPr>
      <w:r>
        <w:t xml:space="preserve">Aneurisma y disección aórtica</w:t>
      </w:r>
    </w:p>
    <w:p>
      <w:pPr>
        <w:pStyle w:val="ListParagraph"/>
        <w:numPr>
          <w:ilvl w:val="0"/>
          <w:numId w:val="1"/>
        </w:numPr>
      </w:pPr>
      <w:r>
        <w:t xml:space="preserve">Enfermedad arterial periférica</w:t>
      </w:r>
    </w:p>
    <w:p>
      <w:pPr>
        <w:pStyle w:val="Heading1"/>
      </w:pPr>
      <w:r>
        <w:t xml:space="preserve">II. Neumología y Medicina Crítica</w:t>
      </w:r>
    </w:p>
    <w:p>
      <w:pPr>
        <w:pStyle w:val="Intro"/>
      </w:pPr>
      <w:r>
        <w:t xml:space="preserve">Del manejo ambulatorio de la enfermedad respiratoria crónica al soporte vital del paciente críticamente enfermo.</w:t>
      </w:r>
    </w:p>
    <w:p>
      <w:pPr>
        <w:pStyle w:val="Heading2"/>
      </w:pPr>
      <w:r>
        <w:t xml:space="preserve">Enfermedad respiratoria crónica</w:t>
      </w:r>
    </w:p>
    <w:p>
      <w:pPr>
        <w:pStyle w:val="ListParagraph"/>
        <w:numPr>
          <w:ilvl w:val="0"/>
          <w:numId w:val="1"/>
        </w:numPr>
      </w:pPr>
      <w:r>
        <w:t xml:space="preserve">EPOC estable y exacerbación</w:t>
      </w:r>
    </w:p>
    <w:p>
      <w:pPr>
        <w:pStyle w:val="ListParagraph"/>
        <w:numPr>
          <w:ilvl w:val="0"/>
          <w:numId w:val="1"/>
        </w:numPr>
      </w:pPr>
      <w:r>
        <w:t xml:space="preserve">Asma</w:t>
      </w:r>
    </w:p>
    <w:p>
      <w:pPr>
        <w:pStyle w:val="ListParagraph"/>
        <w:numPr>
          <w:ilvl w:val="0"/>
          <w:numId w:val="1"/>
        </w:numPr>
      </w:pPr>
      <w:r>
        <w:t xml:space="preserve">Enfermedad pulmonar intersticial e hipertensión pulmonar</w:t>
      </w:r>
    </w:p>
    <w:p>
      <w:pPr>
        <w:pStyle w:val="ListParagraph"/>
        <w:numPr>
          <w:ilvl w:val="0"/>
          <w:numId w:val="1"/>
        </w:numPr>
      </w:pPr>
      <w:r>
        <w:t xml:space="preserve">Nódulo pulmonar solitario y cáncer de pulmón</w:t>
      </w:r>
    </w:p>
    <w:p>
      <w:pPr>
        <w:pStyle w:val="ListParagraph"/>
        <w:numPr>
          <w:ilvl w:val="0"/>
          <w:numId w:val="1"/>
        </w:numPr>
      </w:pPr>
      <w:r>
        <w:t xml:space="preserve">Apnea obstructiva del sueño</w:t>
      </w:r>
    </w:p>
    <w:p>
      <w:pPr>
        <w:pStyle w:val="ListParagraph"/>
        <w:numPr>
          <w:ilvl w:val="0"/>
          <w:numId w:val="1"/>
        </w:numPr>
      </w:pPr>
      <w:r>
        <w:t xml:space="preserve">Sarcoidosis y otras enfermedades granulomatosas</w:t>
      </w:r>
    </w:p>
    <w:p>
      <w:pPr>
        <w:pStyle w:val="ListParagraph"/>
        <w:numPr>
          <w:ilvl w:val="0"/>
          <w:numId w:val="1"/>
        </w:numPr>
      </w:pPr>
      <w:r>
        <w:t xml:space="preserve">Bronquiectasias</w:t>
      </w:r>
    </w:p>
    <w:p>
      <w:pPr>
        <w:pStyle w:val="Heading2"/>
      </w:pPr>
      <w:r>
        <w:t xml:space="preserve">Infecciones respiratorias</w:t>
      </w:r>
    </w:p>
    <w:p>
      <w:pPr>
        <w:pStyle w:val="ListParagraph"/>
        <w:numPr>
          <w:ilvl w:val="0"/>
          <w:numId w:val="1"/>
        </w:numPr>
      </w:pPr>
      <w:r>
        <w:t xml:space="preserve">Neumonía adquirida en la comunidad y nosocomial</w:t>
      </w:r>
    </w:p>
    <w:p>
      <w:pPr>
        <w:pStyle w:val="ListParagraph"/>
        <w:numPr>
          <w:ilvl w:val="0"/>
          <w:numId w:val="1"/>
        </w:numPr>
      </w:pPr>
      <w:r>
        <w:t xml:space="preserve">Tuberculosis</w:t>
      </w:r>
    </w:p>
    <w:p>
      <w:pPr>
        <w:pStyle w:val="ListParagraph"/>
        <w:numPr>
          <w:ilvl w:val="0"/>
          <w:numId w:val="1"/>
        </w:numPr>
      </w:pPr>
      <w:r>
        <w:t xml:space="preserve">Absceso pulmonar</w:t>
      </w:r>
    </w:p>
    <w:p>
      <w:pPr>
        <w:pStyle w:val="ListParagraph"/>
        <w:numPr>
          <w:ilvl w:val="0"/>
          <w:numId w:val="1"/>
        </w:numPr>
      </w:pPr>
      <w:r>
        <w:t xml:space="preserve">COVID-19 y sus complicaciones</w:t>
      </w:r>
    </w:p>
    <w:p>
      <w:pPr>
        <w:pStyle w:val="ListParagraph"/>
        <w:numPr>
          <w:ilvl w:val="0"/>
          <w:numId w:val="1"/>
        </w:numPr>
      </w:pPr>
      <w:r>
        <w:t xml:space="preserve">Influenza y neumonía viral</w:t>
      </w:r>
    </w:p>
    <w:p>
      <w:pPr>
        <w:pStyle w:val="ListParagraph"/>
        <w:numPr>
          <w:ilvl w:val="0"/>
          <w:numId w:val="1"/>
        </w:numPr>
      </w:pPr>
      <w:r>
        <w:t xml:space="preserve">Bronquitis aguda</w:t>
      </w:r>
    </w:p>
    <w:p>
      <w:pPr>
        <w:pStyle w:val="Heading2"/>
      </w:pPr>
      <w:r>
        <w:t xml:space="preserve">Insuficiencia respiratoria y ventilación</w:t>
      </w:r>
    </w:p>
    <w:p>
      <w:pPr>
        <w:pStyle w:val="ListParagraph"/>
        <w:numPr>
          <w:ilvl w:val="0"/>
          <w:numId w:val="1"/>
        </w:numPr>
      </w:pPr>
      <w:r>
        <w:t xml:space="preserve">Insuficiencia respiratoria aguda y SDRA</w:t>
      </w:r>
    </w:p>
    <w:p>
      <w:pPr>
        <w:pStyle w:val="ListParagraph"/>
        <w:numPr>
          <w:ilvl w:val="0"/>
          <w:numId w:val="1"/>
        </w:numPr>
      </w:pPr>
      <w:r>
        <w:t xml:space="preserve">Ventilación mecánica invasiva y no invasiva</w:t>
      </w:r>
    </w:p>
    <w:p>
      <w:pPr>
        <w:pStyle w:val="ListParagraph"/>
        <w:numPr>
          <w:ilvl w:val="0"/>
          <w:numId w:val="1"/>
        </w:numPr>
      </w:pPr>
      <w:r>
        <w:t xml:space="preserve">Derrame pleural y patología pleural</w:t>
      </w:r>
    </w:p>
    <w:p>
      <w:pPr>
        <w:pStyle w:val="ListParagraph"/>
        <w:numPr>
          <w:ilvl w:val="0"/>
          <w:numId w:val="1"/>
        </w:numPr>
      </w:pPr>
      <w:r>
        <w:t xml:space="preserve">Empiema pleural</w:t>
      </w:r>
    </w:p>
    <w:p>
      <w:pPr>
        <w:pStyle w:val="ListParagraph"/>
        <w:numPr>
          <w:ilvl w:val="0"/>
          <w:numId w:val="1"/>
        </w:numPr>
      </w:pPr>
      <w:r>
        <w:t xml:space="preserve">Neumotórax</w:t>
      </w:r>
    </w:p>
    <w:p>
      <w:pPr>
        <w:pStyle w:val="ListParagraph"/>
        <w:numPr>
          <w:ilvl w:val="0"/>
          <w:numId w:val="1"/>
        </w:numPr>
      </w:pPr>
      <w:r>
        <w:t xml:space="preserve">Hemoptisis</w:t>
      </w:r>
    </w:p>
    <w:p>
      <w:pPr>
        <w:pStyle w:val="Heading2"/>
      </w:pPr>
      <w:r>
        <w:t xml:space="preserve">Choque, sepsis y soporte vital</w:t>
      </w:r>
    </w:p>
    <w:p>
      <w:pPr>
        <w:pStyle w:val="ListParagraph"/>
        <w:numPr>
          <w:ilvl w:val="0"/>
          <w:numId w:val="1"/>
        </w:numPr>
      </w:pPr>
      <w:r>
        <w:t xml:space="preserve">Sepsis y choque séptico</w:t>
      </w:r>
    </w:p>
    <w:p>
      <w:pPr>
        <w:pStyle w:val="ListParagraph"/>
        <w:numPr>
          <w:ilvl w:val="0"/>
          <w:numId w:val="1"/>
        </w:numPr>
      </w:pPr>
      <w:r>
        <w:t xml:space="preserve">Estado de choque (hipovolémico y distributivo)</w:t>
      </w:r>
    </w:p>
    <w:p>
      <w:pPr>
        <w:pStyle w:val="ListParagraph"/>
        <w:numPr>
          <w:ilvl w:val="0"/>
          <w:numId w:val="1"/>
        </w:numPr>
      </w:pPr>
      <w:r>
        <w:t xml:space="preserve">Disfunción orgánica múltiple</w:t>
      </w:r>
    </w:p>
    <w:p>
      <w:pPr>
        <w:pStyle w:val="ListParagraph"/>
        <w:numPr>
          <w:ilvl w:val="0"/>
          <w:numId w:val="1"/>
        </w:numPr>
      </w:pPr>
      <w:r>
        <w:t xml:space="preserve">Sedación, analgesia y bloqueo neuromuscular en UCI (vasopresores y sedantes)</w:t>
      </w:r>
    </w:p>
    <w:p>
      <w:pPr>
        <w:pStyle w:val="ListParagraph"/>
        <w:numPr>
          <w:ilvl w:val="0"/>
          <w:numId w:val="1"/>
        </w:numPr>
      </w:pPr>
      <w:r>
        <w:t xml:space="preserve">Soporte vital avanzado y reanimación cardiopulmonar</w:t>
      </w:r>
    </w:p>
    <w:p>
      <w:pPr>
        <w:pStyle w:val="ListParagraph"/>
        <w:numPr>
          <w:ilvl w:val="0"/>
          <w:numId w:val="1"/>
        </w:numPr>
      </w:pPr>
      <w:r>
        <w:t xml:space="preserve">Anafilaxia</w:t>
      </w:r>
    </w:p>
    <w:p>
      <w:pPr>
        <w:pStyle w:val="Heading2"/>
      </w:pPr>
      <w:r>
        <w:t xml:space="preserve">Emergencias traumáticas y ambientales</w:t>
      </w:r>
    </w:p>
    <w:p>
      <w:pPr>
        <w:pStyle w:val="ListParagraph"/>
        <w:numPr>
          <w:ilvl w:val="0"/>
          <w:numId w:val="1"/>
        </w:numPr>
      </w:pPr>
      <w:r>
        <w:t xml:space="preserve">Abdomen agudo</w:t>
      </w:r>
    </w:p>
    <w:p>
      <w:pPr>
        <w:pStyle w:val="ListParagraph"/>
        <w:numPr>
          <w:ilvl w:val="0"/>
          <w:numId w:val="1"/>
        </w:numPr>
      </w:pPr>
      <w:r>
        <w:t xml:space="preserve">Síndrome de supresión alcohólica</w:t>
      </w:r>
    </w:p>
    <w:p>
      <w:pPr>
        <w:pStyle w:val="ListParagraph"/>
        <w:numPr>
          <w:ilvl w:val="0"/>
          <w:numId w:val="1"/>
        </w:numPr>
      </w:pPr>
      <w:r>
        <w:t xml:space="preserve">Politraumatismo</w:t>
      </w:r>
    </w:p>
    <w:p>
      <w:pPr>
        <w:pStyle w:val="ListParagraph"/>
        <w:numPr>
          <w:ilvl w:val="0"/>
          <w:numId w:val="1"/>
        </w:numPr>
      </w:pPr>
      <w:r>
        <w:t xml:space="preserve">Quemaduras</w:t>
      </w:r>
    </w:p>
    <w:p>
      <w:pPr>
        <w:pStyle w:val="ListParagraph"/>
        <w:numPr>
          <w:ilvl w:val="0"/>
          <w:numId w:val="1"/>
        </w:numPr>
      </w:pPr>
      <w:r>
        <w:t xml:space="preserve">Ahogamiento</w:t>
      </w:r>
    </w:p>
    <w:p>
      <w:pPr>
        <w:pStyle w:val="ListParagraph"/>
        <w:numPr>
          <w:ilvl w:val="0"/>
          <w:numId w:val="1"/>
        </w:numPr>
      </w:pPr>
      <w:r>
        <w:t xml:space="preserve">Broncoaspiración</w:t>
      </w:r>
    </w:p>
    <w:p>
      <w:pPr>
        <w:pStyle w:val="Heading1"/>
      </w:pPr>
      <w:r>
        <w:t xml:space="preserve">III. Gastroenterología y Hepatología</w:t>
      </w:r>
    </w:p>
    <w:p>
      <w:pPr>
        <w:pStyle w:val="Intro"/>
      </w:pPr>
      <w:r>
        <w:t xml:space="preserve">Enfermedades del tubo digestivo, hígado y vía biliar, con énfasis en las complicaciones agudas que definen el ingreso hospitalario.</w:t>
      </w:r>
    </w:p>
    <w:p>
      <w:pPr>
        <w:pStyle w:val="Heading2"/>
      </w:pPr>
      <w:r>
        <w:t xml:space="preserve">Tubo digestivo alto y bajo</w:t>
      </w:r>
    </w:p>
    <w:p>
      <w:pPr>
        <w:pStyle w:val="ListParagraph"/>
        <w:numPr>
          <w:ilvl w:val="0"/>
          <w:numId w:val="1"/>
        </w:numPr>
      </w:pPr>
      <w:r>
        <w:t xml:space="preserve">ERGE y trastornos esofágicos</w:t>
      </w:r>
    </w:p>
    <w:p>
      <w:pPr>
        <w:pStyle w:val="ListParagraph"/>
        <w:numPr>
          <w:ilvl w:val="0"/>
          <w:numId w:val="1"/>
        </w:numPr>
      </w:pPr>
      <w:r>
        <w:t xml:space="preserve">Enfermedad ácido-péptica y H. pylori</w:t>
      </w:r>
    </w:p>
    <w:p>
      <w:pPr>
        <w:pStyle w:val="ListParagraph"/>
        <w:numPr>
          <w:ilvl w:val="0"/>
          <w:numId w:val="1"/>
        </w:numPr>
      </w:pPr>
      <w:r>
        <w:t xml:space="preserve">Enfermedad inflamatoria intestinal y síndrome de intestino irritable</w:t>
      </w:r>
    </w:p>
    <w:p>
      <w:pPr>
        <w:pStyle w:val="ListParagraph"/>
        <w:numPr>
          <w:ilvl w:val="0"/>
          <w:numId w:val="1"/>
        </w:numPr>
      </w:pPr>
      <w:r>
        <w:t xml:space="preserve">Hemorragia digestiva alta y baja</w:t>
      </w:r>
    </w:p>
    <w:p>
      <w:pPr>
        <w:pStyle w:val="ListParagraph"/>
        <w:numPr>
          <w:ilvl w:val="0"/>
          <w:numId w:val="1"/>
        </w:numPr>
      </w:pPr>
      <w:r>
        <w:t xml:space="preserve">Enfermedad diverticular del colon</w:t>
      </w:r>
    </w:p>
    <w:p>
      <w:pPr>
        <w:pStyle w:val="ListParagraph"/>
        <w:numPr>
          <w:ilvl w:val="0"/>
          <w:numId w:val="1"/>
        </w:numPr>
      </w:pPr>
      <w:r>
        <w:t xml:space="preserve">Enfermedad vascular del intestino (isquemia mesentérica)</w:t>
      </w:r>
    </w:p>
    <w:p>
      <w:pPr>
        <w:pStyle w:val="ListParagraph"/>
        <w:numPr>
          <w:ilvl w:val="0"/>
          <w:numId w:val="1"/>
        </w:numPr>
      </w:pPr>
      <w:r>
        <w:t xml:space="preserve">Neoplasias del esófago, estómago y colon-recto</w:t>
      </w:r>
    </w:p>
    <w:p>
      <w:pPr>
        <w:pStyle w:val="ListParagraph"/>
        <w:numPr>
          <w:ilvl w:val="0"/>
          <w:numId w:val="1"/>
        </w:numPr>
      </w:pPr>
      <w:r>
        <w:t xml:space="preserve">Síndrome diarreico crónico y malabsorción intestinal</w:t>
      </w:r>
    </w:p>
    <w:p>
      <w:pPr>
        <w:pStyle w:val="ListParagraph"/>
        <w:numPr>
          <w:ilvl w:val="0"/>
          <w:numId w:val="1"/>
        </w:numPr>
      </w:pPr>
      <w:r>
        <w:t xml:space="preserve">Constipación</w:t>
      </w:r>
    </w:p>
    <w:p>
      <w:pPr>
        <w:pStyle w:val="ListParagraph"/>
        <w:numPr>
          <w:ilvl w:val="0"/>
          <w:numId w:val="1"/>
        </w:numPr>
      </w:pPr>
      <w:r>
        <w:t xml:space="preserve">Disfagia</w:t>
      </w:r>
    </w:p>
    <w:p>
      <w:pPr>
        <w:pStyle w:val="Heading2"/>
      </w:pPr>
      <w:r>
        <w:t xml:space="preserve">Páncreas y vía biliar</w:t>
      </w:r>
    </w:p>
    <w:p>
      <w:pPr>
        <w:pStyle w:val="ListParagraph"/>
        <w:numPr>
          <w:ilvl w:val="0"/>
          <w:numId w:val="1"/>
        </w:numPr>
      </w:pPr>
      <w:r>
        <w:t xml:space="preserve">Pancreatitis aguda y crónica</w:t>
      </w:r>
    </w:p>
    <w:p>
      <w:pPr>
        <w:pStyle w:val="ListParagraph"/>
        <w:numPr>
          <w:ilvl w:val="0"/>
          <w:numId w:val="1"/>
        </w:numPr>
      </w:pPr>
      <w:r>
        <w:t xml:space="preserve">Colestasis y enfermedades de la vía biliar</w:t>
      </w:r>
    </w:p>
    <w:p>
      <w:pPr>
        <w:pStyle w:val="ListParagraph"/>
        <w:numPr>
          <w:ilvl w:val="0"/>
          <w:numId w:val="1"/>
        </w:numPr>
      </w:pPr>
      <w:r>
        <w:t xml:space="preserve">Neoplasias del páncreas y vía biliar</w:t>
      </w:r>
    </w:p>
    <w:p>
      <w:pPr>
        <w:pStyle w:val="Heading2"/>
      </w:pPr>
      <w:r>
        <w:t xml:space="preserve">Hepatología</w:t>
      </w:r>
    </w:p>
    <w:p>
      <w:pPr>
        <w:pStyle w:val="ListParagraph"/>
        <w:numPr>
          <w:ilvl w:val="0"/>
          <w:numId w:val="1"/>
        </w:numPr>
      </w:pPr>
      <w:r>
        <w:t xml:space="preserve">Hepatitis virales</w:t>
      </w:r>
    </w:p>
    <w:p>
      <w:pPr>
        <w:pStyle w:val="ListParagraph"/>
        <w:numPr>
          <w:ilvl w:val="0"/>
          <w:numId w:val="1"/>
        </w:numPr>
      </w:pPr>
      <w:r>
        <w:t xml:space="preserve">Enfermedad hepática por alcohol y MASLD</w:t>
      </w:r>
    </w:p>
    <w:p>
      <w:pPr>
        <w:pStyle w:val="ListParagraph"/>
        <w:numPr>
          <w:ilvl w:val="0"/>
          <w:numId w:val="1"/>
        </w:numPr>
      </w:pPr>
      <w:r>
        <w:t xml:space="preserve">Hepatitis tóxica y lesión hepática inducida por fármacos (DILI)</w:t>
      </w:r>
    </w:p>
    <w:p>
      <w:pPr>
        <w:pStyle w:val="ListParagraph"/>
        <w:numPr>
          <w:ilvl w:val="0"/>
          <w:numId w:val="1"/>
        </w:numPr>
      </w:pPr>
      <w:r>
        <w:t xml:space="preserve">Cirrosis hepática y sus complicaciones (ascitis, PBE, encefalopatía, síndrome hepatorrenal, hemorragia variceal)</w:t>
      </w:r>
    </w:p>
    <w:p>
      <w:pPr>
        <w:pStyle w:val="ListParagraph"/>
        <w:numPr>
          <w:ilvl w:val="0"/>
          <w:numId w:val="1"/>
        </w:numPr>
      </w:pPr>
      <w:r>
        <w:t xml:space="preserve">Tumores hepáticos y carcinoma hepatocelular</w:t>
      </w:r>
    </w:p>
    <w:p>
      <w:pPr>
        <w:pStyle w:val="ListParagraph"/>
        <w:numPr>
          <w:ilvl w:val="0"/>
          <w:numId w:val="1"/>
        </w:numPr>
      </w:pPr>
      <w:r>
        <w:t xml:space="preserve">Enfermedades hepáticas por depósito (hemocromatosis, enfermedad de Wilson) y amiloidosis</w:t>
      </w:r>
    </w:p>
    <w:p>
      <w:pPr>
        <w:pStyle w:val="ListParagraph"/>
        <w:numPr>
          <w:ilvl w:val="0"/>
          <w:numId w:val="1"/>
        </w:numPr>
      </w:pPr>
      <w:r>
        <w:t xml:space="preserve">Síndrome ictérico (enfoque diagnóstico)</w:t>
      </w:r>
    </w:p>
    <w:p>
      <w:pPr>
        <w:pStyle w:val="Heading2"/>
      </w:pPr>
      <w:r>
        <w:t xml:space="preserve">Interpretación de pruebas de función hepática</w:t>
      </w:r>
    </w:p>
    <w:p>
      <w:pPr>
        <w:pStyle w:val="ListParagraph"/>
        <w:numPr>
          <w:ilvl w:val="0"/>
          <w:numId w:val="1"/>
        </w:numPr>
      </w:pPr>
      <w:r>
        <w:t xml:space="preserve">Interpretación de pruebas de función hepática anormales</w:t>
      </w:r>
    </w:p>
    <w:p>
      <w:pPr>
        <w:pStyle w:val="ListParagraph"/>
        <w:numPr>
          <w:ilvl w:val="0"/>
          <w:numId w:val="1"/>
        </w:numPr>
      </w:pPr>
      <w:r>
        <w:t xml:space="preserve">Hipertransaminasemia en el paciente críticamente enfermo</w:t>
      </w:r>
    </w:p>
    <w:p>
      <w:pPr>
        <w:pStyle w:val="Heading1"/>
      </w:pPr>
      <w:r>
        <w:t xml:space="preserve">IV. Nefrología y Trastornos Hidroelectrolíticos</w:t>
      </w:r>
    </w:p>
    <w:p>
      <w:pPr>
        <w:pStyle w:val="Intro"/>
      </w:pPr>
      <w:r>
        <w:t xml:space="preserve">Función renal, equilibrio ácido-base y electrolítico, ejes transversales a prácticamente todo paciente hospitalizado.</w:t>
      </w:r>
    </w:p>
    <w:p>
      <w:pPr>
        <w:pStyle w:val="Heading2"/>
      </w:pPr>
      <w:r>
        <w:t xml:space="preserve">Función renal</w:t>
      </w:r>
    </w:p>
    <w:p>
      <w:pPr>
        <w:pStyle w:val="ListParagraph"/>
        <w:numPr>
          <w:ilvl w:val="0"/>
          <w:numId w:val="1"/>
        </w:numPr>
      </w:pPr>
      <w:r>
        <w:t xml:space="preserve">Lesión renal aguda</w:t>
      </w:r>
    </w:p>
    <w:p>
      <w:pPr>
        <w:pStyle w:val="ListParagraph"/>
        <w:numPr>
          <w:ilvl w:val="0"/>
          <w:numId w:val="1"/>
        </w:numPr>
      </w:pPr>
      <w:r>
        <w:t xml:space="preserve">Enfermedad renal crónica y sus complicaciones</w:t>
      </w:r>
    </w:p>
    <w:p>
      <w:pPr>
        <w:pStyle w:val="ListParagraph"/>
        <w:numPr>
          <w:ilvl w:val="0"/>
          <w:numId w:val="1"/>
        </w:numPr>
      </w:pPr>
      <w:r>
        <w:t xml:space="preserve">Glomerulopatías</w:t>
      </w:r>
    </w:p>
    <w:p>
      <w:pPr>
        <w:pStyle w:val="ListParagraph"/>
        <w:numPr>
          <w:ilvl w:val="0"/>
          <w:numId w:val="1"/>
        </w:numPr>
      </w:pPr>
      <w:r>
        <w:t xml:space="preserve">Síndrome nefrótico y síndrome nefrítico</w:t>
      </w:r>
    </w:p>
    <w:p>
      <w:pPr>
        <w:pStyle w:val="ListParagraph"/>
        <w:numPr>
          <w:ilvl w:val="0"/>
          <w:numId w:val="1"/>
        </w:numPr>
      </w:pPr>
      <w:r>
        <w:t xml:space="preserve">Hematuria (enfoque diagnóstico)</w:t>
      </w:r>
    </w:p>
    <w:p>
      <w:pPr>
        <w:pStyle w:val="ListParagraph"/>
        <w:numPr>
          <w:ilvl w:val="0"/>
          <w:numId w:val="1"/>
        </w:numPr>
      </w:pPr>
      <w:r>
        <w:t xml:space="preserve">Proteinuria (enfoque diagnóstico)</w:t>
      </w:r>
    </w:p>
    <w:p>
      <w:pPr>
        <w:pStyle w:val="ListParagraph"/>
        <w:numPr>
          <w:ilvl w:val="0"/>
          <w:numId w:val="1"/>
        </w:numPr>
      </w:pPr>
      <w:r>
        <w:t xml:space="preserve">Nefropatía diabética e hipertensiva</w:t>
      </w:r>
    </w:p>
    <w:p>
      <w:pPr>
        <w:pStyle w:val="ListParagraph"/>
        <w:numPr>
          <w:ilvl w:val="0"/>
          <w:numId w:val="1"/>
        </w:numPr>
      </w:pPr>
      <w:r>
        <w:t xml:space="preserve">Litiasis urinaria y nefropatía obstructiva</w:t>
      </w:r>
    </w:p>
    <w:p>
      <w:pPr>
        <w:pStyle w:val="ListParagraph"/>
        <w:numPr>
          <w:ilvl w:val="0"/>
          <w:numId w:val="1"/>
        </w:numPr>
      </w:pPr>
      <w:r>
        <w:t xml:space="preserve">Enfermedad renal poliquística</w:t>
      </w:r>
    </w:p>
    <w:p>
      <w:pPr>
        <w:pStyle w:val="ListParagraph"/>
        <w:numPr>
          <w:ilvl w:val="0"/>
          <w:numId w:val="1"/>
        </w:numPr>
      </w:pPr>
      <w:r>
        <w:t xml:space="preserve">Enfermedades de la próstata y neoplasias urológicas (riñón, vejiga, próstata)</w:t>
      </w:r>
    </w:p>
    <w:p>
      <w:pPr>
        <w:pStyle w:val="ListParagraph"/>
        <w:numPr>
          <w:ilvl w:val="0"/>
          <w:numId w:val="1"/>
        </w:numPr>
      </w:pPr>
      <w:r>
        <w:t xml:space="preserve">Trasplante renal</w:t>
      </w:r>
    </w:p>
    <w:p>
      <w:pPr>
        <w:pStyle w:val="ListParagraph"/>
        <w:numPr>
          <w:ilvl w:val="0"/>
          <w:numId w:val="1"/>
        </w:numPr>
      </w:pPr>
      <w:r>
        <w:t xml:space="preserve">Nefrotoxicidad por fármacos</w:t>
      </w:r>
    </w:p>
    <w:p>
      <w:pPr>
        <w:pStyle w:val="ListParagraph"/>
        <w:numPr>
          <w:ilvl w:val="0"/>
          <w:numId w:val="1"/>
        </w:numPr>
      </w:pPr>
      <w:r>
        <w:t xml:space="preserve">Nefropatía túbulo-intersticial</w:t>
      </w:r>
    </w:p>
    <w:p>
      <w:pPr>
        <w:pStyle w:val="Heading2"/>
      </w:pPr>
      <w:r>
        <w:t xml:space="preserve">Equilibrio interno</w:t>
      </w:r>
    </w:p>
    <w:p>
      <w:pPr>
        <w:pStyle w:val="ListParagraph"/>
        <w:numPr>
          <w:ilvl w:val="0"/>
          <w:numId w:val="1"/>
        </w:numPr>
      </w:pPr>
      <w:r>
        <w:t xml:space="preserve">Trastornos ácido-base</w:t>
      </w:r>
    </w:p>
    <w:p>
      <w:pPr>
        <w:pStyle w:val="ListParagraph"/>
        <w:numPr>
          <w:ilvl w:val="0"/>
          <w:numId w:val="1"/>
        </w:numPr>
      </w:pPr>
      <w:r>
        <w:t xml:space="preserve">Trastornos del sodio y del agua</w:t>
      </w:r>
    </w:p>
    <w:p>
      <w:pPr>
        <w:pStyle w:val="ListParagraph"/>
        <w:numPr>
          <w:ilvl w:val="0"/>
          <w:numId w:val="1"/>
        </w:numPr>
      </w:pPr>
      <w:r>
        <w:t xml:space="preserve">Trastornos del potasio, calcio, magnesio y fósforo</w:t>
      </w:r>
    </w:p>
    <w:p>
      <w:pPr>
        <w:pStyle w:val="Heading2"/>
      </w:pPr>
      <w:r>
        <w:t xml:space="preserve">Terapias de reemplazo renal</w:t>
      </w:r>
    </w:p>
    <w:p>
      <w:pPr>
        <w:pStyle w:val="ListParagraph"/>
        <w:numPr>
          <w:ilvl w:val="0"/>
          <w:numId w:val="1"/>
        </w:numPr>
      </w:pPr>
      <w:r>
        <w:t xml:space="preserve">Hemodiálisis y diálisis peritoneal</w:t>
      </w:r>
    </w:p>
    <w:p>
      <w:pPr>
        <w:pStyle w:val="ListParagraph"/>
        <w:numPr>
          <w:ilvl w:val="0"/>
          <w:numId w:val="1"/>
        </w:numPr>
      </w:pPr>
      <w:r>
        <w:t xml:space="preserve">Terapias de reemplazo renal continuas</w:t>
      </w:r>
    </w:p>
    <w:p>
      <w:pPr>
        <w:pStyle w:val="Heading1"/>
      </w:pPr>
      <w:r>
        <w:t xml:space="preserve">V. Endocrinología y Metabolismo</w:t>
      </w:r>
    </w:p>
    <w:p>
      <w:pPr>
        <w:pStyle w:val="Intro"/>
      </w:pPr>
      <w:r>
        <w:t xml:space="preserve">Diabetes, tiroides y eje hormonal, con sus urgencias metabólicas características.</w:t>
      </w:r>
    </w:p>
    <w:p>
      <w:pPr>
        <w:pStyle w:val="Heading2"/>
      </w:pPr>
      <w:r>
        <w:t xml:space="preserve">Diabetes mellitus</w:t>
      </w:r>
    </w:p>
    <w:p>
      <w:pPr>
        <w:pStyle w:val="ListParagraph"/>
        <w:numPr>
          <w:ilvl w:val="0"/>
          <w:numId w:val="1"/>
        </w:numPr>
      </w:pPr>
      <w:r>
        <w:t xml:space="preserve">Diagnóstico y metas de control en tipo 1 y tipo 2</w:t>
      </w:r>
    </w:p>
    <w:p>
      <w:pPr>
        <w:pStyle w:val="ListParagraph"/>
        <w:numPr>
          <w:ilvl w:val="0"/>
          <w:numId w:val="1"/>
        </w:numPr>
      </w:pPr>
      <w:r>
        <w:t xml:space="preserve">Cetoacidosis diabética y estado hiperosmolar hiperglucémico</w:t>
      </w:r>
    </w:p>
    <w:p>
      <w:pPr>
        <w:pStyle w:val="ListParagraph"/>
        <w:numPr>
          <w:ilvl w:val="0"/>
          <w:numId w:val="1"/>
        </w:numPr>
      </w:pPr>
      <w:r>
        <w:t xml:space="preserve">Complicaciones crónicas microvasculares y macrovasculares</w:t>
      </w:r>
    </w:p>
    <w:p>
      <w:pPr>
        <w:pStyle w:val="ListParagraph"/>
        <w:numPr>
          <w:ilvl w:val="0"/>
          <w:numId w:val="1"/>
        </w:numPr>
      </w:pPr>
      <w:r>
        <w:t xml:space="preserve">Pie diabético</w:t>
      </w:r>
    </w:p>
    <w:p>
      <w:pPr>
        <w:pStyle w:val="ListParagraph"/>
        <w:numPr>
          <w:ilvl w:val="0"/>
          <w:numId w:val="1"/>
        </w:numPr>
      </w:pPr>
      <w:r>
        <w:t xml:space="preserve">Hipoglucemia y diabetes gestacional</w:t>
      </w:r>
    </w:p>
    <w:p>
      <w:pPr>
        <w:pStyle w:val="Heading2"/>
      </w:pPr>
      <w:r>
        <w:t xml:space="preserve">Tiroides y paratiroides</w:t>
      </w:r>
    </w:p>
    <w:p>
      <w:pPr>
        <w:pStyle w:val="ListParagraph"/>
        <w:numPr>
          <w:ilvl w:val="0"/>
          <w:numId w:val="1"/>
        </w:numPr>
      </w:pPr>
      <w:r>
        <w:t xml:space="preserve">Hipotiroidismo e hipertiroidismo</w:t>
      </w:r>
    </w:p>
    <w:p>
      <w:pPr>
        <w:pStyle w:val="ListParagraph"/>
        <w:numPr>
          <w:ilvl w:val="0"/>
          <w:numId w:val="1"/>
        </w:numPr>
      </w:pPr>
      <w:r>
        <w:t xml:space="preserve">Tiroiditis</w:t>
      </w:r>
    </w:p>
    <w:p>
      <w:pPr>
        <w:pStyle w:val="ListParagraph"/>
        <w:numPr>
          <w:ilvl w:val="0"/>
          <w:numId w:val="1"/>
        </w:numPr>
      </w:pPr>
      <w:r>
        <w:t xml:space="preserve">Bocio difuso y multinodular no tóxico</w:t>
      </w:r>
    </w:p>
    <w:p>
      <w:pPr>
        <w:pStyle w:val="ListParagraph"/>
        <w:numPr>
          <w:ilvl w:val="0"/>
          <w:numId w:val="1"/>
        </w:numPr>
      </w:pPr>
      <w:r>
        <w:t xml:space="preserve">Tormenta tiroidea y coma mixedematoso</w:t>
      </w:r>
    </w:p>
    <w:p>
      <w:pPr>
        <w:pStyle w:val="ListParagraph"/>
        <w:numPr>
          <w:ilvl w:val="0"/>
          <w:numId w:val="1"/>
        </w:numPr>
      </w:pPr>
      <w:r>
        <w:t xml:space="preserve">Nódulo tiroideo y trastornos del metabolismo óseo y mineral</w:t>
      </w:r>
    </w:p>
    <w:p>
      <w:pPr>
        <w:pStyle w:val="ListParagraph"/>
        <w:numPr>
          <w:ilvl w:val="0"/>
          <w:numId w:val="1"/>
        </w:numPr>
      </w:pPr>
      <w:r>
        <w:t xml:space="preserve">Neoplasias del tiroides</w:t>
      </w:r>
    </w:p>
    <w:p>
      <w:pPr>
        <w:pStyle w:val="Heading2"/>
      </w:pPr>
      <w:r>
        <w:t xml:space="preserve">Eje suprarrenal e hipofisario</w:t>
      </w:r>
    </w:p>
    <w:p>
      <w:pPr>
        <w:pStyle w:val="ListParagraph"/>
        <w:numPr>
          <w:ilvl w:val="0"/>
          <w:numId w:val="1"/>
        </w:numPr>
      </w:pPr>
      <w:r>
        <w:t xml:space="preserve">Insuficiencia suprarrenal y crisis addisoniana</w:t>
      </w:r>
    </w:p>
    <w:p>
      <w:pPr>
        <w:pStyle w:val="ListParagraph"/>
        <w:numPr>
          <w:ilvl w:val="0"/>
          <w:numId w:val="1"/>
        </w:numPr>
      </w:pPr>
      <w:r>
        <w:t xml:space="preserve">Síndrome de Cushing</w:t>
      </w:r>
    </w:p>
    <w:p>
      <w:pPr>
        <w:pStyle w:val="ListParagraph"/>
        <w:numPr>
          <w:ilvl w:val="0"/>
          <w:numId w:val="1"/>
        </w:numPr>
      </w:pPr>
      <w:r>
        <w:t xml:space="preserve">Trastornos hipofisarios</w:t>
      </w:r>
    </w:p>
    <w:p>
      <w:pPr>
        <w:pStyle w:val="ListParagraph"/>
        <w:numPr>
          <w:ilvl w:val="0"/>
          <w:numId w:val="1"/>
        </w:numPr>
      </w:pPr>
      <w:r>
        <w:t xml:space="preserve">Acromegalia e hiperprolactinemia</w:t>
      </w:r>
    </w:p>
    <w:p>
      <w:pPr>
        <w:pStyle w:val="ListParagraph"/>
        <w:numPr>
          <w:ilvl w:val="0"/>
          <w:numId w:val="1"/>
        </w:numPr>
      </w:pPr>
      <w:r>
        <w:t xml:space="preserve">Síndromes poliúricos (diabetes insípida)</w:t>
      </w:r>
    </w:p>
    <w:p>
      <w:pPr>
        <w:pStyle w:val="ListParagraph"/>
        <w:numPr>
          <w:ilvl w:val="0"/>
          <w:numId w:val="1"/>
        </w:numPr>
      </w:pPr>
      <w:r>
        <w:t xml:space="preserve">Hiperaldosteronismo primario</w:t>
      </w:r>
    </w:p>
    <w:p>
      <w:pPr>
        <w:pStyle w:val="ListParagraph"/>
        <w:numPr>
          <w:ilvl w:val="0"/>
          <w:numId w:val="1"/>
        </w:numPr>
      </w:pPr>
      <w:r>
        <w:t xml:space="preserve">Incidentaloma y neoplasias suprarrenales</w:t>
      </w:r>
    </w:p>
    <w:p>
      <w:pPr>
        <w:pStyle w:val="ListParagraph"/>
        <w:numPr>
          <w:ilvl w:val="0"/>
          <w:numId w:val="1"/>
        </w:numPr>
      </w:pPr>
      <w:r>
        <w:t xml:space="preserve">Hipogonadismo y ginecomastia</w:t>
      </w:r>
    </w:p>
    <w:p>
      <w:pPr>
        <w:pStyle w:val="ListParagraph"/>
        <w:numPr>
          <w:ilvl w:val="0"/>
          <w:numId w:val="1"/>
        </w:numPr>
      </w:pPr>
      <w:r>
        <w:t xml:space="preserve">Neoplasia endocrina múltiple y síndromes de secreción hormonal ectópica</w:t>
      </w:r>
    </w:p>
    <w:p>
      <w:pPr>
        <w:pStyle w:val="Heading2"/>
      </w:pPr>
      <w:r>
        <w:t xml:space="preserve">Metabolismo</w:t>
      </w:r>
    </w:p>
    <w:p>
      <w:pPr>
        <w:pStyle w:val="ListParagraph"/>
        <w:numPr>
          <w:ilvl w:val="0"/>
          <w:numId w:val="1"/>
        </w:numPr>
      </w:pPr>
      <w:r>
        <w:t xml:space="preserve">Dislipidemias</w:t>
      </w:r>
    </w:p>
    <w:p>
      <w:pPr>
        <w:pStyle w:val="ListParagraph"/>
        <w:numPr>
          <w:ilvl w:val="0"/>
          <w:numId w:val="1"/>
        </w:numPr>
      </w:pPr>
      <w:r>
        <w:t xml:space="preserve">Obesidad</w:t>
      </w:r>
    </w:p>
    <w:p>
      <w:pPr>
        <w:pStyle w:val="ListParagraph"/>
        <w:numPr>
          <w:ilvl w:val="0"/>
          <w:numId w:val="1"/>
        </w:numPr>
      </w:pPr>
      <w:r>
        <w:t xml:space="preserve">Síndrome cardiovascular-renal-metabólico (CKM)</w:t>
      </w:r>
    </w:p>
    <w:p>
      <w:pPr>
        <w:pStyle w:val="ListParagraph"/>
        <w:numPr>
          <w:ilvl w:val="0"/>
          <w:numId w:val="1"/>
        </w:numPr>
      </w:pPr>
      <w:r>
        <w:t xml:space="preserve">Osteoporosis</w:t>
      </w:r>
    </w:p>
    <w:p>
      <w:pPr>
        <w:pStyle w:val="Heading1"/>
      </w:pPr>
      <w:r>
        <w:t xml:space="preserve">VI. Hematología y Oncología</w:t>
      </w:r>
    </w:p>
    <w:p>
      <w:pPr>
        <w:pStyle w:val="Intro"/>
      </w:pPr>
      <w:r>
        <w:t xml:space="preserve">Trastornos de las líneas celulares sanguíneas y principios oncológicos esenciales para el internista.</w:t>
      </w:r>
    </w:p>
    <w:p>
      <w:pPr>
        <w:pStyle w:val="Heading2"/>
      </w:pPr>
      <w:r>
        <w:t xml:space="preserve">Anemias y trastornos de la serie roja</w:t>
      </w:r>
    </w:p>
    <w:p>
      <w:pPr>
        <w:pStyle w:val="ListParagraph"/>
        <w:numPr>
          <w:ilvl w:val="0"/>
          <w:numId w:val="1"/>
        </w:numPr>
      </w:pPr>
      <w:r>
        <w:t xml:space="preserve">Anemia ferropénica y megaloblástica</w:t>
      </w:r>
    </w:p>
    <w:p>
      <w:pPr>
        <w:pStyle w:val="ListParagraph"/>
        <w:numPr>
          <w:ilvl w:val="0"/>
          <w:numId w:val="1"/>
        </w:numPr>
      </w:pPr>
      <w:r>
        <w:t xml:space="preserve">Anemias hemolíticas</w:t>
      </w:r>
    </w:p>
    <w:p>
      <w:pPr>
        <w:pStyle w:val="ListParagraph"/>
        <w:numPr>
          <w:ilvl w:val="0"/>
          <w:numId w:val="1"/>
        </w:numPr>
      </w:pPr>
      <w:r>
        <w:t xml:space="preserve">Anemia de la enfermedad crónica</w:t>
      </w:r>
    </w:p>
    <w:p>
      <w:pPr>
        <w:pStyle w:val="ListParagraph"/>
        <w:numPr>
          <w:ilvl w:val="0"/>
          <w:numId w:val="1"/>
        </w:numPr>
      </w:pPr>
      <w:r>
        <w:t xml:space="preserve">Policitemia secundaria (eritrocitosis)</w:t>
      </w:r>
    </w:p>
    <w:p>
      <w:pPr>
        <w:pStyle w:val="ListParagraph"/>
        <w:numPr>
          <w:ilvl w:val="0"/>
          <w:numId w:val="1"/>
        </w:numPr>
      </w:pPr>
      <w:r>
        <w:t xml:space="preserve">Alteraciones de la serie blanca (leucocitosis, leucopenia, eosinofilia)</w:t>
      </w:r>
    </w:p>
    <w:p>
      <w:pPr>
        <w:pStyle w:val="ListParagraph"/>
        <w:numPr>
          <w:ilvl w:val="0"/>
          <w:numId w:val="1"/>
        </w:numPr>
      </w:pPr>
      <w:r>
        <w:t xml:space="preserve">Porfirias</w:t>
      </w:r>
    </w:p>
    <w:p>
      <w:pPr>
        <w:pStyle w:val="ListParagraph"/>
        <w:numPr>
          <w:ilvl w:val="0"/>
          <w:numId w:val="1"/>
        </w:numPr>
      </w:pPr>
      <w:r>
        <w:t xml:space="preserve">Anemia aplásica</w:t>
      </w:r>
    </w:p>
    <w:p>
      <w:pPr>
        <w:pStyle w:val="ListParagraph"/>
        <w:numPr>
          <w:ilvl w:val="0"/>
          <w:numId w:val="1"/>
        </w:numPr>
      </w:pPr>
      <w:r>
        <w:t xml:space="preserve">Hemoglobinopatías (talasemias, drepanocitosis)</w:t>
      </w:r>
    </w:p>
    <w:p>
      <w:pPr>
        <w:pStyle w:val="Heading2"/>
      </w:pPr>
      <w:r>
        <w:t xml:space="preserve">Hemostasia y trombosis</w:t>
      </w:r>
    </w:p>
    <w:p>
      <w:pPr>
        <w:pStyle w:val="ListParagraph"/>
        <w:numPr>
          <w:ilvl w:val="0"/>
          <w:numId w:val="1"/>
        </w:numPr>
      </w:pPr>
      <w:r>
        <w:t xml:space="preserve">Trastornos de la coagulación y trombofilias</w:t>
      </w:r>
    </w:p>
    <w:p>
      <w:pPr>
        <w:pStyle w:val="ListParagraph"/>
        <w:numPr>
          <w:ilvl w:val="0"/>
          <w:numId w:val="1"/>
        </w:numPr>
      </w:pPr>
      <w:r>
        <w:t xml:space="preserve">Trombocitopenia y púrpuras</w:t>
      </w:r>
    </w:p>
    <w:p>
      <w:pPr>
        <w:pStyle w:val="ListParagraph"/>
        <w:numPr>
          <w:ilvl w:val="0"/>
          <w:numId w:val="1"/>
        </w:numPr>
      </w:pPr>
      <w:r>
        <w:t xml:space="preserve">Trombocitosis reactiva</w:t>
      </w:r>
    </w:p>
    <w:p>
      <w:pPr>
        <w:pStyle w:val="ListParagraph"/>
        <w:numPr>
          <w:ilvl w:val="0"/>
          <w:numId w:val="1"/>
        </w:numPr>
      </w:pPr>
      <w:r>
        <w:t xml:space="preserve">Transfusión de hemoderivados</w:t>
      </w:r>
    </w:p>
    <w:p>
      <w:pPr>
        <w:pStyle w:val="ListParagraph"/>
        <w:numPr>
          <w:ilvl w:val="0"/>
          <w:numId w:val="1"/>
        </w:numPr>
      </w:pPr>
      <w:r>
        <w:t xml:space="preserve">Coagulación intravascular diseminada</w:t>
      </w:r>
    </w:p>
    <w:p>
      <w:pPr>
        <w:pStyle w:val="Heading2"/>
      </w:pPr>
      <w:r>
        <w:t xml:space="preserve">Neoplasias hematológicas</w:t>
      </w:r>
    </w:p>
    <w:p>
      <w:pPr>
        <w:pStyle w:val="ListParagraph"/>
        <w:numPr>
          <w:ilvl w:val="0"/>
          <w:numId w:val="1"/>
        </w:numPr>
      </w:pPr>
      <w:r>
        <w:t xml:space="preserve">Síndromes mielodisplásicos</w:t>
      </w:r>
    </w:p>
    <w:p>
      <w:pPr>
        <w:pStyle w:val="ListParagraph"/>
        <w:numPr>
          <w:ilvl w:val="0"/>
          <w:numId w:val="1"/>
        </w:numPr>
      </w:pPr>
      <w:r>
        <w:t xml:space="preserve">Neoplasias mieloproliferativas</w:t>
      </w:r>
    </w:p>
    <w:p>
      <w:pPr>
        <w:pStyle w:val="ListParagraph"/>
        <w:numPr>
          <w:ilvl w:val="0"/>
          <w:numId w:val="1"/>
        </w:numPr>
      </w:pPr>
      <w:r>
        <w:t xml:space="preserve">Leucemias agudas y crónicas</w:t>
      </w:r>
    </w:p>
    <w:p>
      <w:pPr>
        <w:pStyle w:val="ListParagraph"/>
        <w:numPr>
          <w:ilvl w:val="0"/>
          <w:numId w:val="1"/>
        </w:numPr>
      </w:pPr>
      <w:r>
        <w:t xml:space="preserve">Linfomas, incluyendo linfoma de Hodgkin</w:t>
      </w:r>
    </w:p>
    <w:p>
      <w:pPr>
        <w:pStyle w:val="ListParagraph"/>
        <w:numPr>
          <w:ilvl w:val="0"/>
          <w:numId w:val="1"/>
        </w:numPr>
      </w:pPr>
      <w:r>
        <w:t xml:space="preserve">Mieloma múltiple</w:t>
      </w:r>
    </w:p>
    <w:p>
      <w:pPr>
        <w:pStyle w:val="ListParagraph"/>
        <w:numPr>
          <w:ilvl w:val="0"/>
          <w:numId w:val="1"/>
        </w:numPr>
      </w:pPr>
      <w:r>
        <w:t xml:space="preserve">Linfadenopatías, hiperesplenismo y síndrome de hiperviscosidad</w:t>
      </w:r>
    </w:p>
    <w:p>
      <w:pPr>
        <w:pStyle w:val="Heading2"/>
      </w:pPr>
      <w:r>
        <w:t xml:space="preserve">Oncología general</w:t>
      </w:r>
    </w:p>
    <w:p>
      <w:pPr>
        <w:pStyle w:val="ListParagraph"/>
        <w:numPr>
          <w:ilvl w:val="0"/>
          <w:numId w:val="1"/>
        </w:numPr>
      </w:pPr>
      <w:r>
        <w:t xml:space="preserve">Urgencias oncológicas (síndrome de lisis tumoral, compresión medular, síndrome de vena cava superior)</w:t>
      </w:r>
    </w:p>
    <w:p>
      <w:pPr>
        <w:pStyle w:val="ListParagraph"/>
        <w:numPr>
          <w:ilvl w:val="0"/>
          <w:numId w:val="1"/>
        </w:numPr>
      </w:pPr>
      <w:r>
        <w:t xml:space="preserve">Neutropenia febril</w:t>
      </w:r>
    </w:p>
    <w:p>
      <w:pPr>
        <w:pStyle w:val="ListParagraph"/>
        <w:numPr>
          <w:ilvl w:val="0"/>
          <w:numId w:val="1"/>
        </w:numPr>
      </w:pPr>
      <w:r>
        <w:t xml:space="preserve">Cuidados de soporte y control de síntomas en cáncer</w:t>
      </w:r>
    </w:p>
    <w:p>
      <w:pPr>
        <w:pStyle w:val="ListParagraph"/>
        <w:numPr>
          <w:ilvl w:val="0"/>
          <w:numId w:val="1"/>
        </w:numPr>
      </w:pPr>
      <w:r>
        <w:t xml:space="preserve">Síndromes paraneoplásicos y metástasis de primario desconocido</w:t>
      </w:r>
    </w:p>
    <w:p>
      <w:pPr>
        <w:pStyle w:val="ListParagraph"/>
        <w:numPr>
          <w:ilvl w:val="0"/>
          <w:numId w:val="1"/>
        </w:numPr>
      </w:pPr>
      <w:r>
        <w:t xml:space="preserve">Complicaciones de quimioterapia y radioterapia</w:t>
      </w:r>
    </w:p>
    <w:p>
      <w:pPr>
        <w:pStyle w:val="Heading1"/>
      </w:pPr>
      <w:r>
        <w:t xml:space="preserve">VII. Enfermedades Infecciosas</w:t>
      </w:r>
    </w:p>
    <w:p>
      <w:pPr>
        <w:pStyle w:val="Intro"/>
      </w:pPr>
      <w:r>
        <w:t xml:space="preserve">Diagnóstico sindrómico, uso racional de antimicrobianos y manejo del huésped inmunocomprometido.</w:t>
      </w:r>
    </w:p>
    <w:p>
      <w:pPr>
        <w:pStyle w:val="Heading2"/>
      </w:pPr>
      <w:r>
        <w:t xml:space="preserve">Infecciones frecuentes por sistema</w:t>
      </w:r>
    </w:p>
    <w:p>
      <w:pPr>
        <w:pStyle w:val="ListParagraph"/>
        <w:numPr>
          <w:ilvl w:val="0"/>
          <w:numId w:val="1"/>
        </w:numPr>
      </w:pPr>
      <w:r>
        <w:t xml:space="preserve">Infecciones del tracto urinario</w:t>
      </w:r>
    </w:p>
    <w:p>
      <w:pPr>
        <w:pStyle w:val="ListParagraph"/>
        <w:numPr>
          <w:ilvl w:val="0"/>
          <w:numId w:val="1"/>
        </w:numPr>
      </w:pPr>
      <w:r>
        <w:t xml:space="preserve">Infecciones de piel y tejidos blandos</w:t>
      </w:r>
    </w:p>
    <w:p>
      <w:pPr>
        <w:pStyle w:val="ListParagraph"/>
        <w:numPr>
          <w:ilvl w:val="0"/>
          <w:numId w:val="1"/>
        </w:numPr>
      </w:pPr>
      <w:r>
        <w:t xml:space="preserve">Micosis superficiales (tiña, pitiriasis versicolor, onicomicosis)</w:t>
      </w:r>
    </w:p>
    <w:p>
      <w:pPr>
        <w:pStyle w:val="ListParagraph"/>
        <w:numPr>
          <w:ilvl w:val="0"/>
          <w:numId w:val="1"/>
        </w:numPr>
      </w:pPr>
      <w:r>
        <w:t xml:space="preserve">Infecciones osteoarticulares</w:t>
      </w:r>
    </w:p>
    <w:p>
      <w:pPr>
        <w:pStyle w:val="ListParagraph"/>
        <w:numPr>
          <w:ilvl w:val="0"/>
          <w:numId w:val="1"/>
        </w:numPr>
      </w:pPr>
      <w:r>
        <w:t xml:space="preserve">Endocarditis infecciosa</w:t>
      </w:r>
    </w:p>
    <w:p>
      <w:pPr>
        <w:pStyle w:val="ListParagraph"/>
        <w:numPr>
          <w:ilvl w:val="0"/>
          <w:numId w:val="1"/>
        </w:numPr>
      </w:pPr>
      <w:r>
        <w:t xml:space="preserve">Infecciones de transmisión sexual (sífilis, uretritis)</w:t>
      </w:r>
    </w:p>
    <w:p>
      <w:pPr>
        <w:pStyle w:val="ListParagraph"/>
        <w:numPr>
          <w:ilvl w:val="0"/>
          <w:numId w:val="1"/>
        </w:numPr>
      </w:pPr>
      <w:r>
        <w:t xml:space="preserve">Infecciones por herpesvirus (herpes simple, herpes zóster, mononucleosis infecciosa)</w:t>
      </w:r>
    </w:p>
    <w:p>
      <w:pPr>
        <w:pStyle w:val="Heading2"/>
      </w:pPr>
      <w:r>
        <w:t xml:space="preserve">Huésped inmunocomprometido</w:t>
      </w:r>
    </w:p>
    <w:p>
      <w:pPr>
        <w:pStyle w:val="ListParagraph"/>
        <w:numPr>
          <w:ilvl w:val="0"/>
          <w:numId w:val="1"/>
        </w:numPr>
      </w:pPr>
      <w:r>
        <w:t xml:space="preserve">VIH/SIDA e infecciones oportunistas</w:t>
      </w:r>
    </w:p>
    <w:p>
      <w:pPr>
        <w:pStyle w:val="ListParagraph"/>
        <w:numPr>
          <w:ilvl w:val="0"/>
          <w:numId w:val="1"/>
        </w:numPr>
      </w:pPr>
      <w:r>
        <w:t xml:space="preserve">Infecciones en el paciente neutropénico y trasplantado</w:t>
      </w:r>
    </w:p>
    <w:p>
      <w:pPr>
        <w:pStyle w:val="Heading2"/>
      </w:pPr>
      <w:r>
        <w:t xml:space="preserve">Principios generales</w:t>
      </w:r>
    </w:p>
    <w:p>
      <w:pPr>
        <w:pStyle w:val="ListParagraph"/>
        <w:numPr>
          <w:ilvl w:val="0"/>
          <w:numId w:val="1"/>
        </w:numPr>
      </w:pPr>
      <w:r>
        <w:t xml:space="preserve">Uso racional de antimicrobianos y resistencia antimicrobiana</w:t>
      </w:r>
    </w:p>
    <w:p>
      <w:pPr>
        <w:pStyle w:val="ListParagraph"/>
        <w:numPr>
          <w:ilvl w:val="0"/>
          <w:numId w:val="1"/>
        </w:numPr>
      </w:pPr>
      <w:r>
        <w:t xml:space="preserve">Vacunación en el adulto</w:t>
      </w:r>
    </w:p>
    <w:p>
      <w:pPr>
        <w:pStyle w:val="Heading2"/>
      </w:pPr>
      <w:r>
        <w:t xml:space="preserve">Infecciones tropicales, zoonosis y parasitosis</w:t>
      </w:r>
    </w:p>
    <w:p>
      <w:pPr>
        <w:pStyle w:val="ListParagraph"/>
        <w:numPr>
          <w:ilvl w:val="0"/>
          <w:numId w:val="1"/>
        </w:numPr>
      </w:pPr>
      <w:r>
        <w:t xml:space="preserve">Enfermedades transmitidas por vectores (dengue, paludismo, leishmaniasis)</w:t>
      </w:r>
    </w:p>
    <w:p>
      <w:pPr>
        <w:pStyle w:val="ListParagraph"/>
        <w:numPr>
          <w:ilvl w:val="0"/>
          <w:numId w:val="1"/>
        </w:numPr>
      </w:pPr>
      <w:r>
        <w:t xml:space="preserve">Zoonosis y enfermedades bacterianas clásicas (brucelosis, fiebre tifoidea, leptospirosis, tétanos)</w:t>
      </w:r>
    </w:p>
    <w:p>
      <w:pPr>
        <w:pStyle w:val="ListParagraph"/>
        <w:numPr>
          <w:ilvl w:val="0"/>
          <w:numId w:val="1"/>
        </w:numPr>
      </w:pPr>
      <w:r>
        <w:t xml:space="preserve">Parasitosis intestinales y tisulares (amibiasis, giardiasis, helmintiasis, cisticercosis, triquinosis)</w:t>
      </w:r>
    </w:p>
    <w:p>
      <w:pPr>
        <w:pStyle w:val="ListParagraph"/>
        <w:numPr>
          <w:ilvl w:val="0"/>
          <w:numId w:val="1"/>
        </w:numPr>
      </w:pPr>
      <w:r>
        <w:t xml:space="preserve">Micosis endémicas e infecciones oportunistas (histoplasmosis, coccidioidomicosis, criptococosis, neumocistosis)</w:t>
      </w:r>
    </w:p>
    <w:p>
      <w:pPr>
        <w:pStyle w:val="ListParagraph"/>
        <w:numPr>
          <w:ilvl w:val="0"/>
          <w:numId w:val="1"/>
        </w:numPr>
      </w:pPr>
      <w:r>
        <w:t xml:space="preserve">Infección por citomegalovirus</w:t>
      </w:r>
    </w:p>
    <w:p>
      <w:pPr>
        <w:pStyle w:val="ListParagraph"/>
        <w:numPr>
          <w:ilvl w:val="0"/>
          <w:numId w:val="1"/>
        </w:numPr>
      </w:pPr>
      <w:r>
        <w:t xml:space="preserve">Shigelosis y otras diarreas bacterianas invasivas</w:t>
      </w:r>
    </w:p>
    <w:p>
      <w:pPr>
        <w:pStyle w:val="ListParagraph"/>
        <w:numPr>
          <w:ilvl w:val="0"/>
          <w:numId w:val="1"/>
        </w:numPr>
      </w:pPr>
      <w:r>
        <w:t xml:space="preserve">Toxoplasmosis</w:t>
      </w:r>
    </w:p>
    <w:p>
      <w:pPr>
        <w:pStyle w:val="ListParagraph"/>
        <w:numPr>
          <w:ilvl w:val="0"/>
          <w:numId w:val="1"/>
        </w:numPr>
      </w:pPr>
      <w:r>
        <w:t xml:space="preserve">Lepra</w:t>
      </w:r>
    </w:p>
    <w:p>
      <w:pPr>
        <w:pStyle w:val="ListParagraph"/>
        <w:numPr>
          <w:ilvl w:val="0"/>
          <w:numId w:val="1"/>
        </w:numPr>
      </w:pPr>
      <w:r>
        <w:t xml:space="preserve">Candidosis mucocutánea e invasiva</w:t>
      </w:r>
    </w:p>
    <w:p>
      <w:pPr>
        <w:pStyle w:val="Heading1"/>
      </w:pPr>
      <w:r>
        <w:t xml:space="preserve">VIII. Reumatología e Inmunología Clínica</w:t>
      </w:r>
    </w:p>
    <w:p>
      <w:pPr>
        <w:pStyle w:val="Intro"/>
      </w:pPr>
      <w:r>
        <w:t xml:space="preserve">Enfermedades autoinmunes sistémicas y artropatías, frecuentemente subdiagnosticadas fuera de la subespecialidad.</w:t>
      </w:r>
    </w:p>
    <w:p>
      <w:pPr>
        <w:pStyle w:val="Heading2"/>
      </w:pPr>
      <w:r>
        <w:t xml:space="preserve">Artropatías inflamatorias</w:t>
      </w:r>
    </w:p>
    <w:p>
      <w:pPr>
        <w:pStyle w:val="ListParagraph"/>
        <w:numPr>
          <w:ilvl w:val="0"/>
          <w:numId w:val="1"/>
        </w:numPr>
      </w:pPr>
      <w:r>
        <w:t xml:space="preserve">Artritis reumatoide</w:t>
      </w:r>
    </w:p>
    <w:p>
      <w:pPr>
        <w:pStyle w:val="ListParagraph"/>
        <w:numPr>
          <w:ilvl w:val="0"/>
          <w:numId w:val="1"/>
        </w:numPr>
      </w:pPr>
      <w:r>
        <w:t xml:space="preserve">Espondiloartritis</w:t>
      </w:r>
    </w:p>
    <w:p>
      <w:pPr>
        <w:pStyle w:val="ListParagraph"/>
        <w:numPr>
          <w:ilvl w:val="0"/>
          <w:numId w:val="1"/>
        </w:numPr>
      </w:pPr>
      <w:r>
        <w:t xml:space="preserve">Gota y enfermedad por depósito de cristales</w:t>
      </w:r>
    </w:p>
    <w:p>
      <w:pPr>
        <w:pStyle w:val="ListParagraph"/>
        <w:numPr>
          <w:ilvl w:val="0"/>
          <w:numId w:val="1"/>
        </w:numPr>
      </w:pPr>
      <w:r>
        <w:t xml:space="preserve">Osteoartritis y artritis séptica</w:t>
      </w:r>
    </w:p>
    <w:p>
      <w:pPr>
        <w:pStyle w:val="Heading2"/>
      </w:pPr>
      <w:r>
        <w:t xml:space="preserve">Enfermedades autoinmunes sistémicas</w:t>
      </w:r>
    </w:p>
    <w:p>
      <w:pPr>
        <w:pStyle w:val="ListParagraph"/>
        <w:numPr>
          <w:ilvl w:val="0"/>
          <w:numId w:val="1"/>
        </w:numPr>
      </w:pPr>
      <w:r>
        <w:t xml:space="preserve">Lupus eritematoso sistémico</w:t>
      </w:r>
    </w:p>
    <w:p>
      <w:pPr>
        <w:pStyle w:val="ListParagraph"/>
        <w:numPr>
          <w:ilvl w:val="0"/>
          <w:numId w:val="1"/>
        </w:numPr>
      </w:pPr>
      <w:r>
        <w:t xml:space="preserve">Esclerosis sistémica y otras conectivopatías</w:t>
      </w:r>
    </w:p>
    <w:p>
      <w:pPr>
        <w:pStyle w:val="ListParagraph"/>
        <w:numPr>
          <w:ilvl w:val="0"/>
          <w:numId w:val="1"/>
        </w:numPr>
      </w:pPr>
      <w:r>
        <w:t xml:space="preserve">Vasculitis sistémicas</w:t>
      </w:r>
    </w:p>
    <w:p>
      <w:pPr>
        <w:pStyle w:val="ListParagraph"/>
        <w:numPr>
          <w:ilvl w:val="0"/>
          <w:numId w:val="1"/>
        </w:numPr>
      </w:pPr>
      <w:r>
        <w:t xml:space="preserve">Síndrome antifosfolípido y síndrome de Sjögren</w:t>
      </w:r>
    </w:p>
    <w:p>
      <w:pPr>
        <w:pStyle w:val="ListParagraph"/>
        <w:numPr>
          <w:ilvl w:val="0"/>
          <w:numId w:val="1"/>
        </w:numPr>
      </w:pPr>
      <w:r>
        <w:t xml:space="preserve">Miopatías inflamatorias (polimiositis y dermatomiositis)</w:t>
      </w:r>
    </w:p>
    <w:p>
      <w:pPr>
        <w:pStyle w:val="ListParagraph"/>
        <w:numPr>
          <w:ilvl w:val="0"/>
          <w:numId w:val="1"/>
        </w:numPr>
      </w:pPr>
      <w:r>
        <w:t xml:space="preserve">Síndrome de Raynaud</w:t>
      </w:r>
    </w:p>
    <w:p>
      <w:pPr>
        <w:pStyle w:val="Heading2"/>
      </w:pPr>
      <w:r>
        <w:t xml:space="preserve">Reumatismos de partes blandas y síndromes regionales</w:t>
      </w:r>
    </w:p>
    <w:p>
      <w:pPr>
        <w:pStyle w:val="ListParagraph"/>
        <w:numPr>
          <w:ilvl w:val="0"/>
          <w:numId w:val="1"/>
        </w:numPr>
      </w:pPr>
      <w:r>
        <w:t xml:space="preserve">Bursitis y tendinitis</w:t>
      </w:r>
    </w:p>
    <w:p>
      <w:pPr>
        <w:pStyle w:val="ListParagraph"/>
        <w:numPr>
          <w:ilvl w:val="0"/>
          <w:numId w:val="1"/>
        </w:numPr>
      </w:pPr>
      <w:r>
        <w:t xml:space="preserve">Lumbalgia</w:t>
      </w:r>
    </w:p>
    <w:p>
      <w:pPr>
        <w:pStyle w:val="ListParagraph"/>
        <w:numPr>
          <w:ilvl w:val="0"/>
          <w:numId w:val="1"/>
        </w:numPr>
      </w:pPr>
      <w:r>
        <w:t xml:space="preserve">Síndrome de canal estrecho lumbar</w:t>
      </w:r>
    </w:p>
    <w:p>
      <w:pPr>
        <w:pStyle w:val="ListParagraph"/>
        <w:numPr>
          <w:ilvl w:val="0"/>
          <w:numId w:val="1"/>
        </w:numPr>
      </w:pPr>
      <w:r>
        <w:t xml:space="preserve">Hernia de disco</w:t>
      </w:r>
    </w:p>
    <w:p>
      <w:pPr>
        <w:pStyle w:val="ListParagraph"/>
        <w:numPr>
          <w:ilvl w:val="0"/>
          <w:numId w:val="1"/>
        </w:numPr>
      </w:pPr>
      <w:r>
        <w:t xml:space="preserve">Fibromialgia</w:t>
      </w:r>
    </w:p>
    <w:p>
      <w:pPr>
        <w:pStyle w:val="Heading2"/>
      </w:pPr>
      <w:r>
        <w:t xml:space="preserve">Enfoque diagnóstico</w:t>
      </w:r>
    </w:p>
    <w:p>
      <w:pPr>
        <w:pStyle w:val="ListParagraph"/>
        <w:numPr>
          <w:ilvl w:val="0"/>
          <w:numId w:val="1"/>
        </w:numPr>
      </w:pPr>
      <w:r>
        <w:t xml:space="preserve">Fiebre de origen desconocido</w:t>
      </w:r>
    </w:p>
    <w:p>
      <w:pPr>
        <w:pStyle w:val="Heading1"/>
      </w:pPr>
      <w:r>
        <w:t xml:space="preserve">IX. Neurología</w:t>
      </w:r>
    </w:p>
    <w:p>
      <w:pPr>
        <w:pStyle w:val="Intro"/>
      </w:pPr>
      <w:r>
        <w:t xml:space="preserve">Reconocimiento y manejo agudo de la enfermedad neurológica tiempo-dependiente.</w:t>
      </w:r>
    </w:p>
    <w:p>
      <w:pPr>
        <w:pStyle w:val="Heading2"/>
      </w:pPr>
      <w:r>
        <w:t xml:space="preserve">Enfermedad cerebrovascular</w:t>
      </w:r>
    </w:p>
    <w:p>
      <w:pPr>
        <w:pStyle w:val="ListParagraph"/>
        <w:numPr>
          <w:ilvl w:val="0"/>
          <w:numId w:val="1"/>
        </w:numPr>
      </w:pPr>
      <w:r>
        <w:t xml:space="preserve">Enfermedad vascular cerebral isquémica</w:t>
      </w:r>
    </w:p>
    <w:p>
      <w:pPr>
        <w:pStyle w:val="ListParagraph"/>
        <w:numPr>
          <w:ilvl w:val="0"/>
          <w:numId w:val="1"/>
        </w:numPr>
      </w:pPr>
      <w:r>
        <w:t xml:space="preserve">Hemorragia intracraneal y subaracnoidea</w:t>
      </w:r>
    </w:p>
    <w:p>
      <w:pPr>
        <w:pStyle w:val="ListParagraph"/>
        <w:numPr>
          <w:ilvl w:val="0"/>
          <w:numId w:val="1"/>
        </w:numPr>
      </w:pPr>
      <w:r>
        <w:t xml:space="preserve">Neoplasias del sistema nervioso central</w:t>
      </w:r>
    </w:p>
    <w:p>
      <w:pPr>
        <w:pStyle w:val="ListParagraph"/>
        <w:numPr>
          <w:ilvl w:val="0"/>
          <w:numId w:val="1"/>
        </w:numPr>
      </w:pPr>
      <w:r>
        <w:t xml:space="preserve">Síndrome de hipertensión intracraneal</w:t>
      </w:r>
    </w:p>
    <w:p>
      <w:pPr>
        <w:pStyle w:val="ListParagraph"/>
        <w:numPr>
          <w:ilvl w:val="0"/>
          <w:numId w:val="1"/>
        </w:numPr>
      </w:pPr>
      <w:r>
        <w:t xml:space="preserve">Traumatismo craneoencefálico</w:t>
      </w:r>
    </w:p>
    <w:p>
      <w:pPr>
        <w:pStyle w:val="ListParagraph"/>
        <w:numPr>
          <w:ilvl w:val="0"/>
          <w:numId w:val="1"/>
        </w:numPr>
      </w:pPr>
      <w:r>
        <w:t xml:space="preserve">Vértigo central (síndrome vestibular agudo)</w:t>
      </w:r>
    </w:p>
    <w:p>
      <w:pPr>
        <w:pStyle w:val="Heading2"/>
      </w:pPr>
      <w:r>
        <w:t xml:space="preserve">Trastornos paroxísticos y del movimiento</w:t>
      </w:r>
    </w:p>
    <w:p>
      <w:pPr>
        <w:pStyle w:val="ListParagraph"/>
        <w:numPr>
          <w:ilvl w:val="0"/>
          <w:numId w:val="1"/>
        </w:numPr>
      </w:pPr>
      <w:r>
        <w:t xml:space="preserve">Estado epiléptico y epilepsia</w:t>
      </w:r>
    </w:p>
    <w:p>
      <w:pPr>
        <w:pStyle w:val="ListParagraph"/>
        <w:numPr>
          <w:ilvl w:val="0"/>
          <w:numId w:val="1"/>
        </w:numPr>
      </w:pPr>
      <w:r>
        <w:t xml:space="preserve">Cefaleas</w:t>
      </w:r>
    </w:p>
    <w:p>
      <w:pPr>
        <w:pStyle w:val="ListParagraph"/>
        <w:numPr>
          <w:ilvl w:val="0"/>
          <w:numId w:val="1"/>
        </w:numPr>
      </w:pPr>
      <w:r>
        <w:t xml:space="preserve">Enfermedad de Parkinson</w:t>
      </w:r>
    </w:p>
    <w:p>
      <w:pPr>
        <w:pStyle w:val="ListParagraph"/>
        <w:numPr>
          <w:ilvl w:val="0"/>
          <w:numId w:val="1"/>
        </w:numPr>
      </w:pPr>
      <w:r>
        <w:t xml:space="preserve">Otros trastornos del movimiento</w:t>
      </w:r>
    </w:p>
    <w:p>
      <w:pPr>
        <w:pStyle w:val="ListParagraph"/>
        <w:numPr>
          <w:ilvl w:val="0"/>
          <w:numId w:val="1"/>
        </w:numPr>
      </w:pPr>
      <w:r>
        <w:t xml:space="preserve">Esclerosis múltiple y otras enfermedades desmielinizantes</w:t>
      </w:r>
    </w:p>
    <w:p>
      <w:pPr>
        <w:pStyle w:val="Heading2"/>
      </w:pPr>
      <w:r>
        <w:t xml:space="preserve">Alteración de conciencia y enfermedad neuromuscular</w:t>
      </w:r>
    </w:p>
    <w:p>
      <w:pPr>
        <w:pStyle w:val="ListParagraph"/>
        <w:numPr>
          <w:ilvl w:val="0"/>
          <w:numId w:val="1"/>
        </w:numPr>
      </w:pPr>
      <w:r>
        <w:t xml:space="preserve">Delirium y coma</w:t>
      </w:r>
    </w:p>
    <w:p>
      <w:pPr>
        <w:pStyle w:val="ListParagraph"/>
        <w:numPr>
          <w:ilvl w:val="0"/>
          <w:numId w:val="1"/>
        </w:numPr>
      </w:pPr>
      <w:r>
        <w:t xml:space="preserve">Encefalopatías metabólicas</w:t>
      </w:r>
    </w:p>
    <w:p>
      <w:pPr>
        <w:pStyle w:val="ListParagraph"/>
        <w:numPr>
          <w:ilvl w:val="0"/>
          <w:numId w:val="1"/>
        </w:numPr>
      </w:pPr>
      <w:r>
        <w:t xml:space="preserve">Neuropatías periféricas</w:t>
      </w:r>
    </w:p>
    <w:p>
      <w:pPr>
        <w:pStyle w:val="ListParagraph"/>
        <w:numPr>
          <w:ilvl w:val="0"/>
          <w:numId w:val="1"/>
        </w:numPr>
      </w:pPr>
      <w:r>
        <w:t xml:space="preserve">Síndrome de Guillain-Barré y miastenia gravis</w:t>
      </w:r>
    </w:p>
    <w:p>
      <w:pPr>
        <w:pStyle w:val="ListParagraph"/>
        <w:numPr>
          <w:ilvl w:val="0"/>
          <w:numId w:val="1"/>
        </w:numPr>
      </w:pPr>
      <w:r>
        <w:t xml:space="preserve">Esclerosis lateral amiotrófica</w:t>
      </w:r>
    </w:p>
    <w:p>
      <w:pPr>
        <w:pStyle w:val="ListParagraph"/>
        <w:numPr>
          <w:ilvl w:val="0"/>
          <w:numId w:val="1"/>
        </w:numPr>
      </w:pPr>
      <w:r>
        <w:t xml:space="preserve">Meningoencefalitis infecciosa</w:t>
      </w:r>
    </w:p>
    <w:p>
      <w:pPr>
        <w:pStyle w:val="Heading1"/>
      </w:pPr>
      <w:r>
        <w:t xml:space="preserve">X. Geriatría</w:t>
      </w:r>
    </w:p>
    <w:p>
      <w:pPr>
        <w:pStyle w:val="Intro"/>
      </w:pPr>
      <w:r>
        <w:t xml:space="preserve">Particularidades fisiológicas y síndromes propios del adulto mayor hospitalizado.</w:t>
      </w:r>
    </w:p>
    <w:p>
      <w:pPr>
        <w:pStyle w:val="Heading2"/>
      </w:pPr>
      <w:r>
        <w:t xml:space="preserve">Valoración y síndromes geriátricos</w:t>
      </w:r>
    </w:p>
    <w:p>
      <w:pPr>
        <w:pStyle w:val="ListParagraph"/>
        <w:numPr>
          <w:ilvl w:val="0"/>
          <w:numId w:val="1"/>
        </w:numPr>
      </w:pPr>
      <w:r>
        <w:t xml:space="preserve">Valoración geriátrica integral</w:t>
      </w:r>
    </w:p>
    <w:p>
      <w:pPr>
        <w:pStyle w:val="ListParagraph"/>
        <w:numPr>
          <w:ilvl w:val="0"/>
          <w:numId w:val="1"/>
        </w:numPr>
      </w:pPr>
      <w:r>
        <w:t xml:space="preserve">Biología del envejecimiento</w:t>
      </w:r>
    </w:p>
    <w:p>
      <w:pPr>
        <w:pStyle w:val="ListParagraph"/>
        <w:numPr>
          <w:ilvl w:val="0"/>
          <w:numId w:val="1"/>
        </w:numPr>
      </w:pPr>
      <w:r>
        <w:t xml:space="preserve">Caídas, fragilidad y sarcopenia</w:t>
      </w:r>
    </w:p>
    <w:p>
      <w:pPr>
        <w:pStyle w:val="ListParagraph"/>
        <w:numPr>
          <w:ilvl w:val="0"/>
          <w:numId w:val="1"/>
        </w:numPr>
      </w:pPr>
      <w:r>
        <w:t xml:space="preserve">Polifarmacia y deprescripción</w:t>
      </w:r>
    </w:p>
    <w:p>
      <w:pPr>
        <w:pStyle w:val="ListParagraph"/>
        <w:numPr>
          <w:ilvl w:val="0"/>
          <w:numId w:val="1"/>
        </w:numPr>
      </w:pPr>
      <w:r>
        <w:t xml:space="preserve">Abdomen agudo en el adulto mayor</w:t>
      </w:r>
    </w:p>
    <w:p>
      <w:pPr>
        <w:pStyle w:val="Heading2"/>
      </w:pPr>
      <w:r>
        <w:t xml:space="preserve">Cognición</w:t>
      </w:r>
    </w:p>
    <w:p>
      <w:pPr>
        <w:pStyle w:val="ListParagraph"/>
        <w:numPr>
          <w:ilvl w:val="0"/>
          <w:numId w:val="1"/>
        </w:numPr>
      </w:pPr>
      <w:r>
        <w:t xml:space="preserve">Delirium en el adulto mayor</w:t>
      </w:r>
    </w:p>
    <w:p>
      <w:pPr>
        <w:pStyle w:val="ListParagraph"/>
        <w:numPr>
          <w:ilvl w:val="0"/>
          <w:numId w:val="1"/>
        </w:numPr>
      </w:pPr>
      <w:r>
        <w:t xml:space="preserve">Demencias</w:t>
      </w:r>
    </w:p>
    <w:p>
      <w:pPr>
        <w:pStyle w:val="ListParagraph"/>
        <w:numPr>
          <w:ilvl w:val="0"/>
          <w:numId w:val="1"/>
        </w:numPr>
      </w:pPr>
      <w:r>
        <w:t xml:space="preserve">Enfermedad de Alzheimer</w:t>
      </w:r>
    </w:p>
    <w:p>
      <w:pPr>
        <w:pStyle w:val="ListParagraph"/>
        <w:numPr>
          <w:ilvl w:val="0"/>
          <w:numId w:val="1"/>
        </w:numPr>
      </w:pPr>
      <w:r>
        <w:t xml:space="preserve">Depresión en el adulto mayor</w:t>
      </w:r>
    </w:p>
    <w:p>
      <w:pPr>
        <w:pStyle w:val="Heading1"/>
      </w:pPr>
      <w:r>
        <w:t xml:space="preserve">XI. Medicina Interna Ambulatoria y Preventiva</w:t>
      </w:r>
    </w:p>
    <w:p>
      <w:pPr>
        <w:pStyle w:val="Intro"/>
      </w:pPr>
      <w:r>
        <w:t xml:space="preserve">El internista como médico de cabecera del adulto: prevención, cribado y problemas frecuentes en consulta externa.</w:t>
      </w:r>
    </w:p>
    <w:p>
      <w:pPr>
        <w:pStyle w:val="Heading2"/>
      </w:pPr>
      <w:r>
        <w:t xml:space="preserve">Prevención y cribado</w:t>
      </w:r>
    </w:p>
    <w:p>
      <w:pPr>
        <w:pStyle w:val="ListParagraph"/>
        <w:numPr>
          <w:ilvl w:val="0"/>
          <w:numId w:val="1"/>
        </w:numPr>
      </w:pPr>
      <w:r>
        <w:t xml:space="preserve">Control de factores de riesgo cardiovascular</w:t>
      </w:r>
    </w:p>
    <w:p>
      <w:pPr>
        <w:pStyle w:val="ListParagraph"/>
        <w:numPr>
          <w:ilvl w:val="0"/>
          <w:numId w:val="1"/>
        </w:numPr>
      </w:pPr>
      <w:r>
        <w:t xml:space="preserve">Tamizaje oncológico</w:t>
      </w:r>
    </w:p>
    <w:p>
      <w:pPr>
        <w:pStyle w:val="ListParagraph"/>
        <w:numPr>
          <w:ilvl w:val="0"/>
          <w:numId w:val="1"/>
        </w:numPr>
      </w:pPr>
      <w:r>
        <w:t xml:space="preserve">Vacunación y medicina preventiva del adulto</w:t>
      </w:r>
    </w:p>
    <w:p>
      <w:pPr>
        <w:pStyle w:val="Heading2"/>
      </w:pPr>
      <w:r>
        <w:t xml:space="preserve">Salud de la mujer y embarazo</w:t>
      </w:r>
    </w:p>
    <w:p>
      <w:pPr>
        <w:pStyle w:val="ListParagraph"/>
        <w:numPr>
          <w:ilvl w:val="0"/>
          <w:numId w:val="1"/>
        </w:numPr>
      </w:pPr>
      <w:r>
        <w:t xml:space="preserve">Salud de la mujer (climaterio, anticoncepción, cribado ginecológico)</w:t>
      </w:r>
    </w:p>
    <w:p>
      <w:pPr>
        <w:pStyle w:val="ListParagraph"/>
        <w:numPr>
          <w:ilvl w:val="0"/>
          <w:numId w:val="1"/>
        </w:numPr>
      </w:pPr>
      <w:r>
        <w:t xml:space="preserve">Complicaciones médicas del embarazo (preeclampsia-eclampsia, síndrome de HELLP) y cáncer ginecológico</w:t>
      </w:r>
    </w:p>
    <w:p>
      <w:pPr>
        <w:pStyle w:val="ListParagraph"/>
        <w:numPr>
          <w:ilvl w:val="0"/>
          <w:numId w:val="1"/>
        </w:numPr>
      </w:pPr>
      <w:r>
        <w:t xml:space="preserve">Cardiopatía y embarazo</w:t>
      </w:r>
    </w:p>
    <w:p>
      <w:pPr>
        <w:pStyle w:val="ListParagraph"/>
        <w:numPr>
          <w:ilvl w:val="0"/>
          <w:numId w:val="1"/>
        </w:numPr>
      </w:pPr>
      <w:r>
        <w:t xml:space="preserve">Lupus eritematoso y embarazo</w:t>
      </w:r>
    </w:p>
    <w:p>
      <w:pPr>
        <w:pStyle w:val="ListParagraph"/>
        <w:numPr>
          <w:ilvl w:val="0"/>
          <w:numId w:val="1"/>
        </w:numPr>
      </w:pPr>
      <w:r>
        <w:t xml:space="preserve">Convulsiones y embarazo</w:t>
      </w:r>
    </w:p>
    <w:p>
      <w:pPr>
        <w:pStyle w:val="ListParagraph"/>
        <w:numPr>
          <w:ilvl w:val="0"/>
          <w:numId w:val="1"/>
        </w:numPr>
      </w:pPr>
      <w:r>
        <w:t xml:space="preserve">Tiroiditis posparto</w:t>
      </w:r>
    </w:p>
    <w:p>
      <w:pPr>
        <w:pStyle w:val="ListParagraph"/>
        <w:numPr>
          <w:ilvl w:val="0"/>
          <w:numId w:val="1"/>
        </w:numPr>
      </w:pPr>
      <w:r>
        <w:t xml:space="preserve">Sepsis posaborto</w:t>
      </w:r>
    </w:p>
    <w:p>
      <w:pPr>
        <w:pStyle w:val="ListParagraph"/>
        <w:numPr>
          <w:ilvl w:val="0"/>
          <w:numId w:val="1"/>
        </w:numPr>
      </w:pPr>
      <w:r>
        <w:t xml:space="preserve">Cáncer de mama</w:t>
      </w:r>
    </w:p>
    <w:p>
      <w:pPr>
        <w:pStyle w:val="Heading2"/>
      </w:pPr>
      <w:r>
        <w:t xml:space="preserve">Trastornos psiquiátricos frecuentes</w:t>
      </w:r>
    </w:p>
    <w:p>
      <w:pPr>
        <w:pStyle w:val="ListParagraph"/>
        <w:numPr>
          <w:ilvl w:val="0"/>
          <w:numId w:val="1"/>
        </w:numPr>
      </w:pPr>
      <w:r>
        <w:t xml:space="preserve">Trastornos psiquiátricos frecuentes (depresión, ansiedad)</w:t>
      </w:r>
    </w:p>
    <w:p>
      <w:pPr>
        <w:pStyle w:val="ListParagraph"/>
        <w:numPr>
          <w:ilvl w:val="0"/>
          <w:numId w:val="1"/>
        </w:numPr>
      </w:pPr>
      <w:r>
        <w:t xml:space="preserve">Esquizofrenia</w:t>
      </w:r>
    </w:p>
    <w:p>
      <w:pPr>
        <w:pStyle w:val="ListParagraph"/>
        <w:numPr>
          <w:ilvl w:val="0"/>
          <w:numId w:val="1"/>
        </w:numPr>
      </w:pPr>
      <w:r>
        <w:t xml:space="preserve">Trastornos psicosexuales</w:t>
      </w:r>
    </w:p>
    <w:p>
      <w:pPr>
        <w:pStyle w:val="ListParagraph"/>
        <w:numPr>
          <w:ilvl w:val="0"/>
          <w:numId w:val="1"/>
        </w:numPr>
      </w:pPr>
      <w:r>
        <w:t xml:space="preserve">Síndromes somatomorfos</w:t>
      </w:r>
    </w:p>
    <w:p>
      <w:pPr>
        <w:pStyle w:val="ListParagraph"/>
        <w:numPr>
          <w:ilvl w:val="0"/>
          <w:numId w:val="1"/>
        </w:numPr>
      </w:pPr>
      <w:r>
        <w:t xml:space="preserve">Anorexia nerviosa</w:t>
      </w:r>
    </w:p>
    <w:p>
      <w:pPr>
        <w:pStyle w:val="ListParagraph"/>
        <w:numPr>
          <w:ilvl w:val="0"/>
          <w:numId w:val="1"/>
        </w:numPr>
      </w:pPr>
      <w:r>
        <w:t xml:space="preserve">Otros trastornos psiquiátricos frecuentes (trastornos del sueño, adicciones y alcoholismo, riesgo suicida)</w:t>
      </w:r>
    </w:p>
    <w:p>
      <w:pPr>
        <w:pStyle w:val="Heading2"/>
      </w:pPr>
      <w:r>
        <w:t xml:space="preserve">Otros problemas frecuentes</w:t>
      </w:r>
    </w:p>
    <w:p>
      <w:pPr>
        <w:pStyle w:val="ListParagraph"/>
        <w:numPr>
          <w:ilvl w:val="0"/>
          <w:numId w:val="1"/>
        </w:numPr>
      </w:pPr>
      <w:r>
        <w:t xml:space="preserve">Dermatología básica para el internista</w:t>
      </w:r>
    </w:p>
    <w:p>
      <w:pPr>
        <w:pStyle w:val="ListParagraph"/>
        <w:numPr>
          <w:ilvl w:val="0"/>
          <w:numId w:val="1"/>
        </w:numPr>
      </w:pPr>
      <w:r>
        <w:t xml:space="preserve">Desnutrición y evaluación del estado nutricional</w:t>
      </w:r>
    </w:p>
    <w:p>
      <w:pPr>
        <w:pStyle w:val="Heading2"/>
      </w:pPr>
      <w:r>
        <w:t xml:space="preserve">Dermatología</w:t>
      </w:r>
    </w:p>
    <w:p>
      <w:pPr>
        <w:pStyle w:val="ListParagraph"/>
        <w:numPr>
          <w:ilvl w:val="0"/>
          <w:numId w:val="1"/>
        </w:numPr>
      </w:pPr>
      <w:r>
        <w:t xml:space="preserve">Dermatología frecuente (psoriasis, urticaria, dermatitis, pénfigo, melanoma y otras neoplasias cutáneas)</w:t>
      </w:r>
    </w:p>
    <w:p>
      <w:pPr>
        <w:pStyle w:val="ListParagraph"/>
        <w:numPr>
          <w:ilvl w:val="0"/>
          <w:numId w:val="1"/>
        </w:numPr>
      </w:pPr>
      <w:r>
        <w:t xml:space="preserve">Eritema nodoso y eritema multiforme</w:t>
      </w:r>
    </w:p>
    <w:p>
      <w:pPr>
        <w:pStyle w:val="ListParagraph"/>
        <w:numPr>
          <w:ilvl w:val="0"/>
          <w:numId w:val="1"/>
        </w:numPr>
      </w:pPr>
      <w:r>
        <w:t xml:space="preserve">Eritrodermia (dermatitis exfoliativa)</w:t>
      </w:r>
    </w:p>
    <w:p>
      <w:pPr>
        <w:pStyle w:val="ListParagraph"/>
        <w:numPr>
          <w:ilvl w:val="0"/>
          <w:numId w:val="1"/>
        </w:numPr>
      </w:pPr>
      <w:r>
        <w:t xml:space="preserve">Dermatitis medicamentosa</w:t>
      </w:r>
    </w:p>
    <w:p>
      <w:pPr>
        <w:pStyle w:val="ListParagraph"/>
        <w:numPr>
          <w:ilvl w:val="0"/>
          <w:numId w:val="1"/>
        </w:numPr>
      </w:pPr>
      <w:r>
        <w:t xml:space="preserve">Dermatitis por contacto</w:t>
      </w:r>
    </w:p>
    <w:p>
      <w:pPr>
        <w:pStyle w:val="ListParagraph"/>
        <w:numPr>
          <w:ilvl w:val="0"/>
          <w:numId w:val="1"/>
        </w:numPr>
      </w:pPr>
      <w:r>
        <w:t xml:space="preserve">Sarcoma de Kaposi</w:t>
      </w:r>
    </w:p>
    <w:p>
      <w:pPr>
        <w:pStyle w:val="ListParagraph"/>
        <w:numPr>
          <w:ilvl w:val="0"/>
          <w:numId w:val="1"/>
        </w:numPr>
      </w:pPr>
      <w:r>
        <w:t xml:space="preserve">Manifestaciones cutáneas de enfermedad sistémica</w:t>
      </w:r>
    </w:p>
    <w:p>
      <w:pPr>
        <w:pStyle w:val="Heading2"/>
      </w:pPr>
      <w:r>
        <w:t xml:space="preserve">Oftalmología</w:t>
      </w:r>
    </w:p>
    <w:p>
      <w:pPr>
        <w:pStyle w:val="ListParagraph"/>
        <w:numPr>
          <w:ilvl w:val="0"/>
          <w:numId w:val="1"/>
        </w:numPr>
      </w:pPr>
      <w:r>
        <w:t xml:space="preserve">Oftalmología básica (ojo rojo y manifestaciones oculares de enfermedad sistémica)</w:t>
      </w:r>
    </w:p>
    <w:p>
      <w:pPr>
        <w:pStyle w:val="ListParagraph"/>
        <w:numPr>
          <w:ilvl w:val="0"/>
          <w:numId w:val="1"/>
        </w:numPr>
      </w:pPr>
      <w:r>
        <w:t xml:space="preserve">Coriorretinitis</w:t>
      </w:r>
    </w:p>
    <w:p>
      <w:pPr>
        <w:pStyle w:val="Heading2"/>
      </w:pPr>
      <w:r>
        <w:t xml:space="preserve">Otorrinolaringología</w:t>
      </w:r>
    </w:p>
    <w:p>
      <w:pPr>
        <w:pStyle w:val="ListParagraph"/>
        <w:numPr>
          <w:ilvl w:val="0"/>
          <w:numId w:val="1"/>
        </w:numPr>
      </w:pPr>
      <w:r>
        <w:t xml:space="preserve">Otorrinolaringología básica (rinosinusitis, otitis media, vértigo)</w:t>
      </w:r>
    </w:p>
    <w:p>
      <w:pPr>
        <w:pStyle w:val="ListParagraph"/>
        <w:numPr>
          <w:ilvl w:val="0"/>
          <w:numId w:val="1"/>
        </w:numPr>
      </w:pPr>
      <w:r>
        <w:t xml:space="preserve">Laberintitis</w:t>
      </w:r>
    </w:p>
    <w:p>
      <w:pPr>
        <w:pStyle w:val="ListParagraph"/>
        <w:numPr>
          <w:ilvl w:val="0"/>
          <w:numId w:val="1"/>
        </w:numPr>
      </w:pPr>
      <w:r>
        <w:t xml:space="preserve">Cáncer de laringe</w:t>
      </w:r>
    </w:p>
    <w:p>
      <w:pPr>
        <w:pStyle w:val="ListParagraph"/>
        <w:numPr>
          <w:ilvl w:val="0"/>
          <w:numId w:val="1"/>
        </w:numPr>
      </w:pPr>
      <w:r>
        <w:t xml:space="preserve">Rinitis alérgica</w:t>
      </w:r>
    </w:p>
    <w:p>
      <w:pPr>
        <w:pStyle w:val="Heading1"/>
      </w:pPr>
      <w:r>
        <w:t xml:space="preserve">XII. Cuidados Paliativos, Bioética y Comunicación</w:t>
      </w:r>
    </w:p>
    <w:p>
      <w:pPr>
        <w:pStyle w:val="Intro"/>
      </w:pPr>
      <w:r>
        <w:t xml:space="preserve">Competencias esenciales para el acompañamiento integral del paciente y su familia.</w:t>
      </w:r>
    </w:p>
    <w:p>
      <w:pPr>
        <w:pStyle w:val="Heading2"/>
      </w:pPr>
      <w:r>
        <w:t xml:space="preserve">Control de síntomas</w:t>
      </w:r>
    </w:p>
    <w:p>
      <w:pPr>
        <w:pStyle w:val="ListParagraph"/>
        <w:numPr>
          <w:ilvl w:val="0"/>
          <w:numId w:val="1"/>
        </w:numPr>
      </w:pPr>
      <w:r>
        <w:t xml:space="preserve">Manejo del dolor y síntomas al final de la vida</w:t>
      </w:r>
    </w:p>
    <w:p>
      <w:pPr>
        <w:pStyle w:val="ListParagraph"/>
        <w:numPr>
          <w:ilvl w:val="0"/>
          <w:numId w:val="1"/>
        </w:numPr>
      </w:pPr>
      <w:r>
        <w:t xml:space="preserve">Sedación paliativa</w:t>
      </w:r>
    </w:p>
    <w:p>
      <w:pPr>
        <w:pStyle w:val="Heading2"/>
      </w:pPr>
      <w:r>
        <w:t xml:space="preserve">Toma de decisiones</w:t>
      </w:r>
    </w:p>
    <w:p>
      <w:pPr>
        <w:pStyle w:val="ListParagraph"/>
        <w:numPr>
          <w:ilvl w:val="0"/>
          <w:numId w:val="1"/>
        </w:numPr>
      </w:pPr>
      <w:r>
        <w:t xml:space="preserve">Planificación anticipada de cuidados</w:t>
      </w:r>
    </w:p>
    <w:p>
      <w:pPr>
        <w:pStyle w:val="ListParagraph"/>
        <w:numPr>
          <w:ilvl w:val="0"/>
          <w:numId w:val="1"/>
        </w:numPr>
      </w:pPr>
      <w:r>
        <w:t xml:space="preserve">Principios de bioética clínica</w:t>
      </w:r>
    </w:p>
    <w:p>
      <w:pPr>
        <w:pStyle w:val="ListParagraph"/>
        <w:numPr>
          <w:ilvl w:val="0"/>
          <w:numId w:val="1"/>
        </w:numPr>
      </w:pPr>
      <w:r>
        <w:t xml:space="preserve">Comunicación de malas noticias</w:t>
      </w:r>
    </w:p>
    <w:p>
      <w:pPr>
        <w:pStyle w:val="ListParagraph"/>
        <w:numPr>
          <w:ilvl w:val="0"/>
          <w:numId w:val="1"/>
        </w:numPr>
      </w:pPr>
      <w:r>
        <w:t xml:space="preserve">Futilidad terapéutica y limitación del esfuerzo terapéutico</w:t>
      </w:r>
    </w:p>
    <w:p>
      <w:pPr>
        <w:pStyle w:val="ListParagraph"/>
        <w:numPr>
          <w:ilvl w:val="0"/>
          <w:numId w:val="1"/>
        </w:numPr>
      </w:pPr>
      <w:r>
        <w:t xml:space="preserve">Consentimiento informado y confidencialidad</w:t>
      </w:r>
    </w:p>
    <w:p>
      <w:pPr>
        <w:pStyle w:val="Heading2"/>
      </w:pPr>
      <w:r>
        <w:t xml:space="preserve">Tanatología y relación médico-paciente</w:t>
      </w:r>
    </w:p>
    <w:p>
      <w:pPr>
        <w:pStyle w:val="ListParagraph"/>
        <w:numPr>
          <w:ilvl w:val="0"/>
          <w:numId w:val="1"/>
        </w:numPr>
      </w:pPr>
      <w:r>
        <w:t xml:space="preserve">Tanatología: el proceso de morir y el duelo</w:t>
      </w:r>
    </w:p>
    <w:p>
      <w:pPr>
        <w:pStyle w:val="ListParagraph"/>
        <w:numPr>
          <w:ilvl w:val="0"/>
          <w:numId w:val="1"/>
        </w:numPr>
      </w:pPr>
      <w:r>
        <w:t xml:space="preserve">Duelo y apoyo a la familia</w:t>
      </w:r>
    </w:p>
    <w:p>
      <w:pPr>
        <w:pStyle w:val="ListParagraph"/>
        <w:numPr>
          <w:ilvl w:val="0"/>
          <w:numId w:val="1"/>
        </w:numPr>
      </w:pPr>
      <w:r>
        <w:t xml:space="preserve">Relación médico-paciente</w:t>
      </w:r>
    </w:p>
    <w:p>
      <w:pPr>
        <w:pStyle w:val="Heading1"/>
      </w:pPr>
      <w:r>
        <w:t xml:space="preserve">XIII. Farmacología Clínica y Toxicología</w:t>
      </w:r>
    </w:p>
    <w:p>
      <w:pPr>
        <w:pStyle w:val="Intro"/>
      </w:pPr>
      <w:r>
        <w:t xml:space="preserve">Uso seguro del medicamento y reconocimiento de las intoxicaciones más frecuentes.</w:t>
      </w:r>
    </w:p>
    <w:p>
      <w:pPr>
        <w:pStyle w:val="Heading2"/>
      </w:pPr>
      <w:r>
        <w:t xml:space="preserve">Prescripción segura</w:t>
      </w:r>
    </w:p>
    <w:p>
      <w:pPr>
        <w:pStyle w:val="ListParagraph"/>
        <w:numPr>
          <w:ilvl w:val="0"/>
          <w:numId w:val="1"/>
        </w:numPr>
      </w:pPr>
      <w:r>
        <w:t xml:space="preserve">Reconciliación medicamentosa</w:t>
      </w:r>
    </w:p>
    <w:p>
      <w:pPr>
        <w:pStyle w:val="ListParagraph"/>
        <w:numPr>
          <w:ilvl w:val="0"/>
          <w:numId w:val="1"/>
        </w:numPr>
      </w:pPr>
      <w:r>
        <w:t xml:space="preserve">Interacciones farmacológicas relevantes</w:t>
      </w:r>
    </w:p>
    <w:p>
      <w:pPr>
        <w:pStyle w:val="ListParagraph"/>
        <w:numPr>
          <w:ilvl w:val="0"/>
          <w:numId w:val="1"/>
        </w:numPr>
      </w:pPr>
      <w:r>
        <w:t xml:space="preserve">Ajuste de dosis en falla renal y hepática</w:t>
      </w:r>
    </w:p>
    <w:p>
      <w:pPr>
        <w:pStyle w:val="ListParagraph"/>
        <w:numPr>
          <w:ilvl w:val="0"/>
          <w:numId w:val="1"/>
        </w:numPr>
      </w:pPr>
      <w:r>
        <w:t xml:space="preserve">Reacciones adversas a medicamentos y farmacovigilancia</w:t>
      </w:r>
    </w:p>
    <w:p>
      <w:pPr>
        <w:pStyle w:val="Heading2"/>
      </w:pPr>
      <w:r>
        <w:t xml:space="preserve">Toxicología</w:t>
      </w:r>
    </w:p>
    <w:p>
      <w:pPr>
        <w:pStyle w:val="ListParagraph"/>
        <w:numPr>
          <w:ilvl w:val="0"/>
          <w:numId w:val="1"/>
        </w:numPr>
      </w:pPr>
      <w:r>
        <w:t xml:space="preserve">Intoxicación por depresores del sistema nervioso central (benzodiacepinas, opioides, alcohol)</w:t>
      </w:r>
    </w:p>
    <w:p>
      <w:pPr>
        <w:pStyle w:val="ListParagraph"/>
        <w:numPr>
          <w:ilvl w:val="0"/>
          <w:numId w:val="1"/>
        </w:numPr>
      </w:pPr>
      <w:r>
        <w:t xml:space="preserve">Intoxicación por insecticidas y raticidas (organofosforados, carbamatos)</w:t>
      </w:r>
    </w:p>
    <w:p>
      <w:pPr>
        <w:pStyle w:val="ListParagraph"/>
        <w:numPr>
          <w:ilvl w:val="0"/>
          <w:numId w:val="1"/>
        </w:numPr>
      </w:pPr>
      <w:r>
        <w:t xml:space="preserve">Intoxicación por paracetamol (acetaminofén)</w:t>
      </w:r>
    </w:p>
    <w:p>
      <w:pPr>
        <w:pStyle w:val="ListParagraph"/>
        <w:numPr>
          <w:ilvl w:val="0"/>
          <w:numId w:val="1"/>
        </w:numPr>
      </w:pPr>
      <w:r>
        <w:t xml:space="preserve">Intoxicación por salicilatos</w:t>
      </w:r>
    </w:p>
    <w:p>
      <w:pPr>
        <w:pStyle w:val="ListParagraph"/>
        <w:numPr>
          <w:ilvl w:val="0"/>
          <w:numId w:val="1"/>
        </w:numPr>
      </w:pPr>
      <w:r>
        <w:t xml:space="preserve">Intoxicación por alcoholes tóxicos (metanol, etilenglicol)</w:t>
      </w:r>
    </w:p>
    <w:p>
      <w:pPr>
        <w:pStyle w:val="ListParagraph"/>
        <w:numPr>
          <w:ilvl w:val="0"/>
          <w:numId w:val="1"/>
        </w:numPr>
      </w:pPr>
      <w:r>
        <w:t xml:space="preserve">Síndrome serotoninérgico y síndrome neuroléptico maligno</w:t>
      </w:r>
    </w:p>
    <w:p>
      <w:pPr>
        <w:pStyle w:val="ListParagraph"/>
        <w:numPr>
          <w:ilvl w:val="0"/>
          <w:numId w:val="1"/>
        </w:numPr>
      </w:pPr>
      <w:r>
        <w:t xml:space="preserve">Antídotos y su uso</w:t>
      </w:r>
    </w:p>
    <w:p>
      <w:pPr>
        <w:pStyle w:val="Heading1"/>
      </w:pPr>
      <w:r>
        <w:t xml:space="preserve">XIV. Habilidades Transversales y Procedimientos</w:t>
      </w:r>
    </w:p>
    <w:p>
      <w:pPr>
        <w:pStyle w:val="Intro"/>
      </w:pPr>
      <w:r>
        <w:t xml:space="preserve">Competencias prácticas e interpretativas que atraviesan todas las subespecialidades.</w:t>
      </w:r>
    </w:p>
    <w:p>
      <w:pPr>
        <w:pStyle w:val="Heading2"/>
      </w:pPr>
      <w:r>
        <w:t xml:space="preserve">Procedimientos</w:t>
      </w:r>
    </w:p>
    <w:p>
      <w:pPr>
        <w:pStyle w:val="ListParagraph"/>
        <w:numPr>
          <w:ilvl w:val="0"/>
          <w:numId w:val="1"/>
        </w:numPr>
      </w:pPr>
      <w:r>
        <w:t xml:space="preserve">Paracentesis, toracocentesis y punción lumbar</w:t>
      </w:r>
    </w:p>
    <w:p>
      <w:pPr>
        <w:pStyle w:val="ListParagraph"/>
        <w:numPr>
          <w:ilvl w:val="0"/>
          <w:numId w:val="1"/>
        </w:numPr>
      </w:pPr>
      <w:r>
        <w:t xml:space="preserve">Colocación de accesos venosos centrales</w:t>
      </w:r>
    </w:p>
    <w:p>
      <w:pPr>
        <w:pStyle w:val="ListParagraph"/>
        <w:numPr>
          <w:ilvl w:val="0"/>
          <w:numId w:val="1"/>
        </w:numPr>
      </w:pPr>
      <w:r>
        <w:t xml:space="preserve">Artrocentesis (aspiración articular)</w:t>
      </w:r>
    </w:p>
    <w:p>
      <w:pPr>
        <w:pStyle w:val="Heading2"/>
      </w:pPr>
      <w:r>
        <w:t xml:space="preserve">Interpretación diagnóstica</w:t>
      </w:r>
    </w:p>
    <w:p>
      <w:pPr>
        <w:pStyle w:val="ListParagraph"/>
        <w:numPr>
          <w:ilvl w:val="0"/>
          <w:numId w:val="1"/>
        </w:numPr>
      </w:pPr>
      <w:r>
        <w:t xml:space="preserve">Electrocardiograma</w:t>
      </w:r>
    </w:p>
    <w:p>
      <w:pPr>
        <w:pStyle w:val="ListParagraph"/>
        <w:numPr>
          <w:ilvl w:val="0"/>
          <w:numId w:val="1"/>
        </w:numPr>
      </w:pPr>
      <w:r>
        <w:t xml:space="preserve">Gasometría arterial</w:t>
      </w:r>
    </w:p>
    <w:p>
      <w:pPr>
        <w:pStyle w:val="ListParagraph"/>
        <w:numPr>
          <w:ilvl w:val="0"/>
          <w:numId w:val="1"/>
        </w:numPr>
      </w:pPr>
      <w:r>
        <w:t xml:space="preserve">Radiografía de tórax</w:t>
      </w:r>
    </w:p>
    <w:p>
      <w:pPr>
        <w:pStyle w:val="ListParagraph"/>
        <w:numPr>
          <w:ilvl w:val="0"/>
          <w:numId w:val="1"/>
        </w:numPr>
      </w:pPr>
      <w:r>
        <w:t xml:space="preserve">Radiografía de abdomen</w:t>
      </w:r>
    </w:p>
    <w:p>
      <w:pPr>
        <w:pStyle w:val="ListParagraph"/>
        <w:numPr>
          <w:ilvl w:val="0"/>
          <w:numId w:val="1"/>
        </w:numPr>
      </w:pPr>
      <w:r>
        <w:t xml:space="preserve">Tomografía computada básica (tórax y abdomen)</w:t>
      </w:r>
    </w:p>
    <w:p>
      <w:pPr>
        <w:pStyle w:val="ListParagraph"/>
        <w:numPr>
          <w:ilvl w:val="0"/>
          <w:numId w:val="1"/>
        </w:numPr>
      </w:pPr>
      <w:r>
        <w:t xml:space="preserve">Ecografía clínica a pie de cama (POCUS)</w:t>
      </w:r>
    </w:p>
    <w:p>
      <w:pPr>
        <w:pStyle w:val="Heading2"/>
      </w:pPr>
      <w:r>
        <w:t xml:space="preserve">Práctica profesional</w:t>
      </w:r>
    </w:p>
    <w:p>
      <w:pPr>
        <w:pStyle w:val="ListParagraph"/>
        <w:numPr>
          <w:ilvl w:val="0"/>
          <w:numId w:val="1"/>
        </w:numPr>
      </w:pPr>
      <w:r>
        <w:t xml:space="preserve">Seguridad del paciente y calidad de la atención</w:t>
      </w:r>
    </w:p>
    <w:p>
      <w:pPr>
        <w:pStyle w:val="ListParagraph"/>
        <w:numPr>
          <w:ilvl w:val="0"/>
          <w:numId w:val="1"/>
        </w:numPr>
      </w:pPr>
      <w:r>
        <w:t xml:space="preserve">Metodología de la investigación y lectura crítica de la literatura</w:t>
      </w:r>
    </w:p>
    <w:p>
      <w:pPr>
        <w:pStyle w:val="ListParagraph"/>
        <w:numPr>
          <w:ilvl w:val="0"/>
          <w:numId w:val="1"/>
        </w:numPr>
      </w:pPr>
      <w:r>
        <w:t xml:space="preserve">Bioestadística clínica y epidemiología (sensibilidad, especificidad, riesgo relativo, NNT)</w:t>
      </w:r>
    </w:p>
    <w:p>
      <w:pPr>
        <w:pStyle w:val="ListParagraph"/>
        <w:numPr>
          <w:ilvl w:val="0"/>
          <w:numId w:val="1"/>
        </w:numPr>
      </w:pPr>
      <w:r>
        <w:t xml:space="preserve">Razonamiento clínico y diagnóstico</w:t>
      </w:r>
    </w:p>
    <w:p>
      <w:pPr>
        <w:pStyle w:val="ListParagraph"/>
        <w:numPr>
          <w:ilvl w:val="0"/>
          <w:numId w:val="1"/>
        </w:numPr>
      </w:pPr>
      <w:r>
        <w:t xml:space="preserve">Transiciones de cuidado y continuidad</w:t>
      </w:r>
    </w:p>
    <w:p>
      <w:pPr>
        <w:pStyle w:val="ListParagraph"/>
        <w:numPr>
          <w:ilvl w:val="0"/>
          <w:numId w:val="1"/>
        </w:numPr>
      </w:pPr>
      <w:r>
        <w:t xml:space="preserve">Documentación clínica y nota médica</w:t>
      </w:r>
    </w:p>
    <w:p>
      <w:pPr>
        <w:pStyle w:val="Normal"/>
      </w:pPr>
      <w:r>
        <w:br w:type="page"/>
      </w:r>
    </w:p>
    <w:p>
      <w:pPr>
        <w:pStyle w:val="Heading1"/>
      </w:pPr>
      <w:r>
        <w:t xml:space="preserve">Segunda Sección: Bibliografía</w:t>
      </w:r>
    </w:p>
    <w:p>
      <w:pPr>
        <w:pStyle w:val="Intro"/>
      </w:pPr>
      <w:r>
        <w:t xml:space="preserve">Bibliografía en formato APA (7.ª edición), organizada siguiendo la misma jerarquía del temario (bloque &gt; clúster). Se prioriza la guía o el consenso vigente más reciente de cada tema. El listado de temas de cada bloque se contrastó contra el temario oficial del examen de certificación del Consejo Mexicano de Medicina Interna, A.C. (CMMI), para asegurar cobertura completa. Esta sección cubre ya los catorce bloques del temario.</w:t>
      </w:r>
    </w:p>
    <w:p>
      <w:pPr>
        <w:pStyle w:val="Heading2"/>
      </w:pPr>
      <w:r>
        <w:t xml:space="preserve">I. Sistema Cardiovascular</w:t>
      </w:r>
    </w:p>
    <w:p>
      <w:pPr>
        <w:pStyle w:val="Heading3"/>
      </w:pPr>
      <w:r>
        <w:t xml:space="preserve">Cardiopatía isquémica</w:t>
      </w:r>
    </w:p>
    <w:p>
      <w:pPr>
        <w:pStyle w:val="APARef"/>
      </w:pPr>
      <w:r>
        <w:t xml:space="preserve">Rao, S., O'Donoghue, M. L., Ruel, M., et al. (2025). 2025 ACC/AHA/ACEP/NAEMSP/SCAI guideline for the management of patients with acute coronary syndromes. Circulation, 151(13), e771–e862. https://doi.org/10.1161/CIR.0000000000001309</w:t>
      </w:r>
    </w:p>
    <w:p>
      <w:pPr>
        <w:pStyle w:val="APARef"/>
      </w:pPr>
      <w:r>
        <w:t xml:space="preserve">Vrints, C., Andreotti, F., et al. (2024). 2024 ESC Guidelines for the management of chronic coronary syndromes. European Heart Journal, 45(36), 3415–3537. https://academic.oup.com/eurheartj/article/45/36/3415/7743115</w:t>
      </w:r>
    </w:p>
    <w:p>
      <w:pPr>
        <w:pStyle w:val="APARef"/>
      </w:pPr>
      <w:r>
        <w:t xml:space="preserve">Byrne, R. A., Rossello, X., Coughlan, J. J., Barbato, E., Berry, C., Chieffo, A., Claeys, M. J., Dan, G.-A., Dweck, M. R., Galbraith, M., Gilard, M., Hinterbuchner, L., Jankowska, E. A., Jüni, P., Kimura, T., Kunadian, V., Leosdottir, M., Lorusso, R., Pedretti, R. F. E., . . . Ibanez, B. (2023). 2023 ESC Guidelines for the management of acute coronary syndromes. European Heart Journal, 44(38), 3720–3826. https://academic.oup.com/eurheartj/article/44/38/3720/7243210</w:t>
      </w:r>
    </w:p>
    <w:p>
      <w:pPr>
        <w:pStyle w:val="APARef"/>
      </w:pPr>
      <w:r>
        <w:t xml:space="preserve">Van Diepen, S., Katz, J. N., Albert, N. M., Henry, T. D., Jacobs, A. K., Kapur, N. K., Kilic, A., Menon, V., Ohman, E. M., Sweitzer, N. K., Thiele, H., Washam, J. B., &amp; Cohen, M. G. (2017). Contemporary management of cardiogenic shock: A scientific statement from the American Heart Association. Circulation, 136(16), e232–e268. https://doi.org/10.1161/CIR.0000000000000525</w:t>
      </w:r>
    </w:p>
    <w:p>
      <w:pPr>
        <w:pStyle w:val="Heading3"/>
      </w:pPr>
      <w:r>
        <w:t xml:space="preserve">Insuficiencia cardiaca</w:t>
      </w:r>
    </w:p>
    <w:p>
      <w:pPr>
        <w:pStyle w:val="APARef"/>
      </w:pPr>
      <w:r>
        <w:t xml:space="preserve">Walsh, M. N., Kober, L., Sliwa, K., Adamo, M., Agarwal, A., Banerjee, A., Bozkurt, B., Cikes, M., Damasceno, A., Desai, A. S., Felker, G. M., Hogan, G., Kinugawa, K., Kittleson, M., Lam, C. S. P., McDonagh, T., Metra, M., Mullens, W., Ribeiro, A. L. P., . . . Vest, A. (2026). AHA/ACC/ESC/WHF expert consensus document: Second universal definition of heart failure (2026). Circulation, 153, e000–e000. https://doi.org/10.1161/CIR.0000000000001455</w:t>
      </w:r>
    </w:p>
    <w:p>
      <w:pPr>
        <w:pStyle w:val="APARef"/>
      </w:pPr>
      <w:r>
        <w:t xml:space="preserve">Heidenreich, P. A., Bozkurt, B., Aguilar, D., et al. (2022). 2022 AHA/ACC/HFSA guideline for the management of heart failure. Circulation, 145(18), e895–e1032. https://doi.org/10.1161/CIR.0000000000001063</w:t>
      </w:r>
    </w:p>
    <w:p>
      <w:pPr>
        <w:pStyle w:val="APARef"/>
      </w:pPr>
      <w:r>
        <w:t xml:space="preserve">Bruno, J., Arrigo, M., Baudry, G., Biegus, J., Bozkurt, B., Čerlinskaitė-Bajorė, K., Cohen, L. P., Hartshorne-Evans, N., Ishihara, S., Jessen, N., Martens, P., Myhre, P., Pagnesi, M., Rosner, C., Sari, N. Y., Savarese, G., Skaarup, K. G., Spahillari, A., ter Maaten, J. M., . . . Mebazaa, A. (2026). Contemporary management of acute heart failure: From emergency presentation to long-term remission. Journal of the American College of Cardiology. Advance online publication. https://doi.org/10.1016/j.jacc.2026.03.029</w:t>
      </w:r>
    </w:p>
    <w:p>
      <w:pPr>
        <w:pStyle w:val="APARef"/>
      </w:pPr>
      <w:r>
        <w:t xml:space="preserve">McDonagh, T. A., et al. (2021). 2021 ESC Guidelines for the diagnosis and treatment of acute and chronic heart failure. European Heart Journal, 42(36), 3599–3726. https://doi.org/10.1093/eurheartj/ehab368</w:t>
      </w:r>
    </w:p>
    <w:p>
      <w:pPr>
        <w:pStyle w:val="APARef"/>
      </w:pPr>
      <w:r>
        <w:t xml:space="preserve">Saeed, D., Feldman, D., D'Alessandro, D., et al. (2023). The 2023 International Society for Heart and Lung Transplantation guidelines for mechanical circulatory support: A 10-year update. Journal of Heart and Lung Transplantation, 42(7), e1–e222. https://doi.org/10.1016/j.healun.2022.12.004</w:t>
      </w:r>
    </w:p>
    <w:p>
      <w:pPr>
        <w:pStyle w:val="Heading3"/>
      </w:pPr>
      <w:r>
        <w:t xml:space="preserve">Arritmias y electrofisiología</w:t>
      </w:r>
    </w:p>
    <w:p>
      <w:pPr>
        <w:pStyle w:val="APARef"/>
      </w:pPr>
      <w:r>
        <w:t xml:space="preserve">Joglar, J. A., Chung, M. K., Armbruster, A. L., et al. (2024). 2023 ACC/AHA/ACCP/HRS guideline for the diagnosis and management of atrial fibrillation. Circulation, 149(1), e1–e156. https://doi.org/10.1161/CIR.0000000000001193</w:t>
      </w:r>
    </w:p>
    <w:p>
      <w:pPr>
        <w:pStyle w:val="APARef"/>
      </w:pPr>
      <w:r>
        <w:t xml:space="preserve">Van Gelder, I. C., Rienstra, M., Crijns, H. J. G. M., et al. (2024). 2024 ESC Guidelines for the management of atrial fibrillation. European Heart Journal, 45(36), 3314–3414. https://doi.org/10.1093/eurheartj/ehae176</w:t>
      </w:r>
    </w:p>
    <w:p>
      <w:pPr>
        <w:pStyle w:val="APARef"/>
      </w:pPr>
      <w:r>
        <w:t xml:space="preserve">Zeppenfeld, K., Tfelt-Hansen, J., de Riva, M., et al. (2022). 2022 ESC Guidelines for the management of patients with ventricular arrhythmias and the prevention of sudden cardiac death. European Heart Journal, 43(40), 3997–4126. https://doi.org/10.1093/eurheartj/ehac262</w:t>
      </w:r>
    </w:p>
    <w:p>
      <w:pPr>
        <w:pStyle w:val="APARef"/>
      </w:pPr>
      <w:r>
        <w:t xml:space="preserve">Glikson, M., Nielsen, J. C., Kronborg, M. B., et al. (2021). 2021 ESC Guidelines on cardiac pacing and cardiac resynchronization therapy. European Heart Journal, 42(35), 3427–3520. https://doi.org/10.1093/eurheartj/ehab364</w:t>
      </w:r>
    </w:p>
    <w:p>
      <w:pPr>
        <w:pStyle w:val="Heading3"/>
      </w:pPr>
      <w:r>
        <w:t xml:space="preserve">Enfermedad valvular, pericárdica y miocárdica</w:t>
      </w:r>
    </w:p>
    <w:p>
      <w:pPr>
        <w:pStyle w:val="APARef"/>
      </w:pPr>
      <w:r>
        <w:t xml:space="preserve">Vahanian, A., Beyersdorf, F., Praz, F., et al. (2022). 2021 ESC/EACTS Guidelines for the management of valvular heart disease. European Heart Journal, 43(7), 561–632. https://doi.org/10.1093/eurheartj/ehab395</w:t>
      </w:r>
    </w:p>
    <w:p>
      <w:pPr>
        <w:pStyle w:val="APARef"/>
      </w:pPr>
      <w:r>
        <w:t xml:space="preserve">Arbelo, E., Protonotarios, A., Gimeno, J. R., et al. (2023). 2023 ESC Guidelines for the management of cardiomyopathies. European Heart Journal, 44(37), 3503–3626. https://doi.org/10.1093/eurheartj/ehad194</w:t>
      </w:r>
    </w:p>
    <w:p>
      <w:pPr>
        <w:pStyle w:val="APARef"/>
      </w:pPr>
      <w:r>
        <w:t xml:space="preserve">Imazio, M., Schulz-Menger, J., et al. (2025). 2025 ESC Guidelines for the management of myocarditis and pericarditis. European Heart Journal, 46(40). https://doi.org/10.1093/eurheartj/ehaf192</w:t>
      </w:r>
    </w:p>
    <w:p>
      <w:pPr>
        <w:pStyle w:val="APARef"/>
      </w:pPr>
      <w:r>
        <w:t xml:space="preserve">Baumgartner, H., De Backer, J., Babu-Narayan, S. V., et al. (2021). 2020 ESC Guidelines for the management of adult congenital heart disease. European Heart Journal, 42(6), 563–645. https://doi.org/10.1093/eurheartj/ehaa554</w:t>
      </w:r>
    </w:p>
    <w:p>
      <w:pPr>
        <w:pStyle w:val="APARef"/>
      </w:pPr>
      <w:r>
        <w:t xml:space="preserve">World Health Organization. (2024). WHO guideline on the prevention and diagnosis of rheumatic fever and rheumatic heart disease. World Health Organization. https://doi.org/10.2471/B09132</w:t>
      </w:r>
    </w:p>
    <w:p>
      <w:pPr>
        <w:pStyle w:val="APARef"/>
      </w:pPr>
      <w:r>
        <w:t xml:space="preserve">Rubin, L. J. (2018). Cor pulmonale revisited: From Ferrer and Harvey to the present. Annals of the American Thoracic Society, 15(Suppl 1), S42–S44. https://doi.org/10.1513/AnnalsATS.201710-772KV</w:t>
      </w:r>
    </w:p>
    <w:p>
      <w:pPr>
        <w:pStyle w:val="Heading3"/>
      </w:pPr>
      <w:r>
        <w:t xml:space="preserve">Hipertensión arterial y enfermedad tromboembólica</w:t>
      </w:r>
    </w:p>
    <w:p>
      <w:pPr>
        <w:pStyle w:val="APARef"/>
      </w:pPr>
      <w:r>
        <w:t xml:space="preserve">Jones, D. W., Egan, B., et al. (2025). 2025 AHA/ACC/AANP/AAPA/ABC/ACCP/ACPM/AGS/AMA/ASPC/NMA/PCNA/SGIM guideline for the prevention, detection, evaluation, and management of high blood pressure in adults. Circulation, 152, e114–e218. https://doi.org/10.1161/CIR.0000000000001356</w:t>
      </w:r>
    </w:p>
    <w:p>
      <w:pPr>
        <w:pStyle w:val="APARef"/>
      </w:pPr>
      <w:r>
        <w:t xml:space="preserve">McEvoy, J. W., McCarthy, C. P., Bruno, R. M., et al. (2024). 2024 ESC Guidelines for the management of elevated blood pressure and hypertension. European Heart Journal, 45(38), 3912–4018. https://doi.org/10.1093/eurheartj/ehae178</w:t>
      </w:r>
    </w:p>
    <w:p>
      <w:pPr>
        <w:pStyle w:val="APARef"/>
      </w:pPr>
      <w:r>
        <w:t xml:space="preserve">Creager, M. A., Barnes, G. D., Giri, J., et al. (2026). 2026 AHA/ACC/ACCP/ACEP/CHEST/SCAI/SHM/SIR/SVM/SVN guideline for the evaluation and management of acute pulmonary embolism in adults. Circulation. Advance online publication. https://doi.org/10.1161/CIR.0000000000001415</w:t>
      </w:r>
    </w:p>
    <w:p>
      <w:pPr>
        <w:pStyle w:val="APARef"/>
      </w:pPr>
      <w:r>
        <w:t xml:space="preserve">Stevens, S. M., Woller, S. C., Baumann Kreuziger, L., et al. (2021). Antithrombotic therapy for VTE disease: Second update of the CHEST guideline and expert panel report [executive summary]. Chest, 160(6), 2247–2259. https://doi.org/10.1016/j.chest.2021.07.056</w:t>
      </w:r>
    </w:p>
    <w:p>
      <w:pPr>
        <w:pStyle w:val="APARef"/>
      </w:pPr>
      <w:r>
        <w:t xml:space="preserve">Isselbacher, E. M., Preventza, O., Hamilton Black, J., et al. (2022). 2022 ACC/AHA guideline for the diagnosis and management of aortic disease. Circulation, 146(24), e334–e482. https://doi.org/10.1161/CIR.0000000000001106</w:t>
      </w:r>
    </w:p>
    <w:p>
      <w:pPr>
        <w:pStyle w:val="APARef"/>
      </w:pPr>
      <w:r>
        <w:t xml:space="preserve">Mazzolai, L., Teixido-Tura, G., Lanzi, S., et al. (2024). 2024 ESC Guidelines for the management of peripheral arterial and aortic diseases. European Heart Journal, 45(36), 3538–3700. https://doi.org/10.1093/eurheartj/ehae179</w:t>
      </w:r>
    </w:p>
    <w:p>
      <w:pPr>
        <w:pStyle w:val="Heading2"/>
      </w:pPr>
      <w:r>
        <w:t xml:space="preserve">II. Neumología y Medicina Crítica</w:t>
      </w:r>
    </w:p>
    <w:p>
      <w:pPr>
        <w:pStyle w:val="Heading3"/>
      </w:pPr>
      <w:r>
        <w:t xml:space="preserve">Enfermedad respiratoria crónica</w:t>
      </w:r>
    </w:p>
    <w:p>
      <w:pPr>
        <w:pStyle w:val="APARef"/>
      </w:pPr>
      <w:r>
        <w:t xml:space="preserve">Global Initiative for Chronic Obstructive Lung Disease. (2026). Global strategy for the diagnosis, management, and prevention of chronic obstructive pulmonary disease: 2026 report. https://goldcopd.org/2026-gold-report-and-pocket-guide/</w:t>
      </w:r>
    </w:p>
    <w:p>
      <w:pPr>
        <w:pStyle w:val="APARef"/>
      </w:pPr>
      <w:r>
        <w:t xml:space="preserve">Global Initiative for Asthma. (2026). Global strategy for asthma management and prevention: 2026 update. https://ginasthma.org/2026-gina-strategy-report/</w:t>
      </w:r>
    </w:p>
    <w:p>
      <w:pPr>
        <w:pStyle w:val="APARef"/>
      </w:pPr>
      <w:r>
        <w:t xml:space="preserve">Raghu, G., Remy-Jardin, M., Myers, J. L., et al. (2022). Idiopathic pulmonary fibrosis (an update) and progressive pulmonary fibrosis in adults: An official ATS/ERS/JRS/ALAT clinical practice guideline. American Journal of Respiratory and Critical Care Medicine, 205(9), e18–e47. https://doi.org/10.1164/rccm.202202-0399ST</w:t>
      </w:r>
    </w:p>
    <w:p>
      <w:pPr>
        <w:pStyle w:val="APARef"/>
      </w:pPr>
      <w:r>
        <w:t xml:space="preserve">Humbert, M., Kovacs, G., Hoeper, M. M., et al. (2022). 2022 ESC/ERS Guidelines for the diagnosis and treatment of pulmonary hypertension. European Heart Journal, 43(38), 3618–3731. https://doi.org/10.1093/eurheartj/ehac237</w:t>
      </w:r>
    </w:p>
    <w:p>
      <w:pPr>
        <w:pStyle w:val="APARef"/>
      </w:pPr>
      <w:r>
        <w:t xml:space="preserve">MacMahon, H., Naidich, D. P., Goo, J. M., et al. (2017). Guidelines for management of incidental pulmonary nodules detected on CT images: From the Fleischner Society 2017. Radiology, 284(1), 228–243. https://doi.org/10.1148/radiol.2017161659</w:t>
      </w:r>
    </w:p>
    <w:p>
      <w:pPr>
        <w:pStyle w:val="APARef"/>
      </w:pPr>
      <w:r>
        <w:t xml:space="preserve">National Comprehensive Cancer Network. (2026). NCCN clinical practice guidelines in oncology: Non-small cell lung cancer (Version 4.2026).</w:t>
      </w:r>
    </w:p>
    <w:p>
      <w:pPr>
        <w:pStyle w:val="APARef"/>
      </w:pPr>
      <w:r>
        <w:t xml:space="preserve">Kapur, V. K., Auckley, D. H., Chowdhuri, S., et al. (2017). Clinical practice guideline for diagnostic testing for adult obstructive sleep apnea: An American Academy of Sleep Medicine clinical practice guideline. Journal of Clinical Sleep Medicine, 13(3), 479–504. https://doi.org/10.5664/jcsm.6506</w:t>
      </w:r>
    </w:p>
    <w:p>
      <w:pPr>
        <w:pStyle w:val="APARef"/>
      </w:pPr>
      <w:r>
        <w:t xml:space="preserve">Crouser, E. D., Maier, L. A., Wilson, K. C., et al. (2020). Diagnosis and detection of sarcoidosis: An official American Thoracic Society clinical practice guideline. American Journal of Respiratory and Critical Care Medicine, 201(8), e26–e51. https://doi.org/10.1164/rccm.202002-0251ST</w:t>
      </w:r>
    </w:p>
    <w:p>
      <w:pPr>
        <w:pStyle w:val="APARef"/>
      </w:pPr>
      <w:r>
        <w:t xml:space="preserve">Polverino, E., Goeminne, P. C., McDonnell, M. J., et al. (2017). European Respiratory Society guidelines for the management of adult bronchiectasis. European Respiratory Journal, 50(3), 1700629. https://doi.org/10.1183/13993003.00629-2017</w:t>
      </w:r>
    </w:p>
    <w:p>
      <w:pPr>
        <w:pStyle w:val="Heading3"/>
      </w:pPr>
      <w:r>
        <w:t xml:space="preserve">Infecciones respiratorias</w:t>
      </w:r>
    </w:p>
    <w:p>
      <w:pPr>
        <w:pStyle w:val="APARef"/>
      </w:pPr>
      <w:r>
        <w:t xml:space="preserve">Jones, B. E., Ramirez, J. A., Restrepo, M. I., et al. (2026). Diagnosis and management of community-acquired pneumonia: An official American Thoracic Society clinical practice guideline. American Journal of Respiratory and Critical Care Medicine, 212(1), 24–44. https://doi.org/10.1164/rccm.202507-1692ST</w:t>
      </w:r>
    </w:p>
    <w:p>
      <w:pPr>
        <w:pStyle w:val="APARef"/>
      </w:pPr>
      <w:r>
        <w:t xml:space="preserve">Kalil, A. C., Metersky, M. L., Klompas, M., et al. (2016). Management of adults with hospital-acquired and ventilator-associated pneumonia: 2016 clinical practice guidelines by the Infectious Diseases Society of America and the American Thoracic Society. Clinical Infectious Diseases, 63(5), e61–e111. https://doi.org/10.1093/cid/ciw353</w:t>
      </w:r>
    </w:p>
    <w:p>
      <w:pPr>
        <w:pStyle w:val="APARef"/>
      </w:pPr>
      <w:r>
        <w:t xml:space="preserve">Nahid, P., Dorman, S. E., Alipanah, N., et al. (2016). Official American Thoracic Society/Centers for Disease Control and Prevention/Infectious Diseases Society of America clinical practice guidelines: Treatment of drug-susceptible tuberculosis. Clinical Infectious Diseases, 63(7), e147–e195.</w:t>
      </w:r>
    </w:p>
    <w:p>
      <w:pPr>
        <w:pStyle w:val="APARef"/>
      </w:pPr>
      <w:r>
        <w:t xml:space="preserve">World Health Organization. (2022). WHO consolidated guidelines on tuberculosis. Module 4: Treatment — drug-resistant tuberculosis treatment, 2022 update. https://www.who.int/publications/i/item/9789240063129</w:t>
      </w:r>
    </w:p>
    <w:p>
      <w:pPr>
        <w:pStyle w:val="APARef"/>
      </w:pPr>
      <w:r>
        <w:t xml:space="preserve">Hadid, W., Stella, G. M., Maskey, A. P., Bechara, R. I., &amp; Islam, S. (2024). Lung abscess: The non-conservative management: A narrative review. Journal of Thoracic Disease, 16(5), 3431–3440. https://doi.org/10.21037/jtd-23-1561</w:t>
      </w:r>
    </w:p>
    <w:p>
      <w:pPr>
        <w:pStyle w:val="APARef"/>
      </w:pPr>
      <w:r>
        <w:t xml:space="preserve">Shumaker, A. H., Bhimraj, A., Bedimo, R., et al. (2026). 2025 clinical practice guideline update by the Infectious Diseases Society of America on the treatment and management of COVID-19: Antiviral treatment for mild to moderate COVID-19 in adults. Clinical Infectious Diseases. Advance online publication. https://doi.org/10.1093/cid/ciaf680</w:t>
      </w:r>
    </w:p>
    <w:p>
      <w:pPr>
        <w:pStyle w:val="APARef"/>
      </w:pPr>
      <w:r>
        <w:t xml:space="preserve">Uyeki, T. M., Bernstein, H. H., Bradley, J. S., et al. (2019). Clinical practice guidelines by the Infectious Diseases Society of America: 2018 update on diagnosis, treatment, chemoprophylaxis, and institutional outbreak management of seasonal influenza. Clinical Infectious Diseases, 68(6), e1–e47.</w:t>
      </w:r>
    </w:p>
    <w:p>
      <w:pPr>
        <w:pStyle w:val="APARef"/>
      </w:pPr>
      <w:r>
        <w:t xml:space="preserve">Albert, R. H. (2010). Diagnosis and treatment of acute bronchitis. American Family Physician, 82(11), 1345–1350.</w:t>
      </w:r>
    </w:p>
    <w:p>
      <w:pPr>
        <w:pStyle w:val="Heading3"/>
      </w:pPr>
      <w:r>
        <w:t xml:space="preserve">Insuficiencia respiratoria y ventilación</w:t>
      </w:r>
    </w:p>
    <w:p>
      <w:pPr>
        <w:pStyle w:val="APARef"/>
      </w:pPr>
      <w:r>
        <w:t xml:space="preserve">Qadir, N., Sahetya, S., Munshi, L., et al. (2024). An update on management of adult patients with acute respiratory distress syndrome: An official American Thoracic Society clinical practice guideline. American Journal of Respiratory and Critical Care Medicine, 209(1), 24–36. https://doi.org/10.1164/rccm.202311-2011ST</w:t>
      </w:r>
    </w:p>
    <w:p>
      <w:pPr>
        <w:pStyle w:val="APARef"/>
      </w:pPr>
      <w:r>
        <w:t xml:space="preserve">Grasselli, G., Calfee, C. S., Camporota, L., et al. (2023). ESICM guidelines on acute respiratory distress syndrome: Definition, phenotyping and respiratory support strategies. Intensive Care Medicine, 49(7), 727–759. https://doi.org/10.1007/s00134-023-07050-7</w:t>
      </w:r>
    </w:p>
    <w:p>
      <w:pPr>
        <w:pStyle w:val="APARef"/>
      </w:pPr>
      <w:r>
        <w:t xml:space="preserve">Girard, T. D., Alhazzani, W., Kress, J. P., et al. (2017). An official American Thoracic Society/American College of Chest Physicians clinical practice guideline: Liberation from mechanical ventilation in critically ill adults. Rehabilitation protocols, ventilator liberation protocols, and cuff leak tests. American Journal of Respiratory and Critical Care Medicine, 195(1), 120–133. https://doi.org/10.1164/rccm.201610-2075ST</w:t>
      </w:r>
    </w:p>
    <w:p>
      <w:pPr>
        <w:pStyle w:val="APARef"/>
      </w:pPr>
      <w:r>
        <w:t xml:space="preserve">BTS Pleural Guideline Development Group. (2023). British Thoracic Society guideline for pleural disease. Thorax, 78(Suppl 3), 1–s42. https://doi.org/10.1136/thorax-2022-219784</w:t>
      </w:r>
    </w:p>
    <w:p>
      <w:pPr>
        <w:pStyle w:val="APARef"/>
      </w:pPr>
      <w:r>
        <w:t xml:space="preserve">Shen, K. R., Bribriesco, A., Crabtree, T., et al. (2017). The American Association for Thoracic Surgery consensus guidelines for the management of empyema. Journal of Thoracic and Cardiovascular Surgery, 153(6), e129–e146. https://doi.org/10.1016/j.jtcvs.2017.01.030</w:t>
      </w:r>
    </w:p>
    <w:p>
      <w:pPr>
        <w:pStyle w:val="APARef"/>
      </w:pPr>
      <w:r>
        <w:t xml:space="preserve">Rochwerg, B., Brochard, L., Elliott, M. W., et al. (2017). Official ERS/ATS clinical practice guidelines: Noninvasive ventilation for acute respiratory failure. European Respiratory Journal, 50(2), 1602426. https://doi.org/10.1183/13993003.02426-2016</w:t>
      </w:r>
    </w:p>
    <w:p>
      <w:pPr>
        <w:pStyle w:val="APARef"/>
      </w:pPr>
      <w:r>
        <w:t xml:space="preserve">Davidson, K., &amp; Shojaee, S. (2020). Managing massive hemoptysis. Chest, 157(1), 77–88. https://doi.org/10.1016/j.chest.2019.07.012</w:t>
      </w:r>
    </w:p>
    <w:p>
      <w:pPr>
        <w:pStyle w:val="Heading3"/>
      </w:pPr>
      <w:r>
        <w:t xml:space="preserve">Choque, sepsis y soporte vital</w:t>
      </w:r>
    </w:p>
    <w:p>
      <w:pPr>
        <w:pStyle w:val="APARef"/>
      </w:pPr>
      <w:r>
        <w:t xml:space="preserve">Singer, M., Deutschman, C. S., Seymour, C. W., et al. (2016). The Third International Consensus Definitions for Sepsis and Septic Shock (Sepsis-3). JAMA, 315(8), 801–810.</w:t>
      </w:r>
    </w:p>
    <w:p>
      <w:pPr>
        <w:pStyle w:val="APARef"/>
      </w:pPr>
      <w:r>
        <w:t xml:space="preserve">Prescott, H. C., Antonelli, M., Alhazzani, W., et al. (2026). Surviving Sepsis Campaign: International guidelines for management of sepsis and septic shock 2026. Critical Care Medicine, 54(4), 725–812.</w:t>
      </w:r>
    </w:p>
    <w:p>
      <w:pPr>
        <w:pStyle w:val="APARef"/>
      </w:pPr>
      <w:r>
        <w:t xml:space="preserve">Vincent, J. L., &amp; De Backer, D. (2013). Circulatory shock. New England Journal of Medicine, 369(18), 1726–1734.</w:t>
      </w:r>
    </w:p>
    <w:p>
      <w:pPr>
        <w:pStyle w:val="APARef"/>
      </w:pPr>
      <w:r>
        <w:t xml:space="preserve">Ranzani, O. T., Singer, M., Salluh, J. I. F., et al. (2025). Development and validation of the Sequential Organ Failure Assessment (SOFA)-2 score. JAMA, 334(23), 2090–2103.</w:t>
      </w:r>
    </w:p>
    <w:p>
      <w:pPr>
        <w:pStyle w:val="APARef"/>
      </w:pPr>
      <w:r>
        <w:t xml:space="preserve">Devlin, J. W., Skrobik, Y., Gélinas, C., et al. (2018). Clinical practice guidelines for the prevention and management of pain, agitation/sedation, withdrawal, and delirium in adult critically ill patients (PADIS). Critical Care Medicine, 46(9), e825–e873.</w:t>
      </w:r>
    </w:p>
    <w:p>
      <w:pPr>
        <w:pStyle w:val="APARef"/>
      </w:pPr>
      <w:r>
        <w:t xml:space="preserve">Murray, M. J., DeBlock, H., Erstad, B., et al. (2016). Clinical practice guidelines for sustained neuromuscular blockade in the adult critically ill patient. Critical Care Medicine, 44(11), 2079–2103.</w:t>
      </w:r>
    </w:p>
    <w:p>
      <w:pPr>
        <w:pStyle w:val="APARef"/>
      </w:pPr>
      <w:r>
        <w:t xml:space="preserve">Wigginton, J. G., Kurz, M. C., et al. (2025). Part 9: Adult advanced life support: 2025 American Heart Association guidelines for cardiopulmonary resuscitation and emergency cardiovascular care. Circulation, 152(16), S538–S577. https://doi.org/10.1161/CIR.0000000000001376</w:t>
      </w:r>
    </w:p>
    <w:p>
      <w:pPr>
        <w:pStyle w:val="APARef"/>
      </w:pPr>
      <w:r>
        <w:t xml:space="preserve">Shaker, M. S., Wallace, D. V., Golden, D. B. K., et al. (2020). Anaphylaxis: A 2020 practice parameter update, systematic review, and Grading of Recommendations, Assessment, Development and Evaluation (GRADE) analysis. Journal of Allergy and Clinical Immunology, 145(4), 1082–1123. https://doi.org/10.1016/j.jaci.2020.01.017</w:t>
      </w:r>
    </w:p>
    <w:p>
      <w:pPr>
        <w:pStyle w:val="Heading3"/>
      </w:pPr>
      <w:r>
        <w:t xml:space="preserve">Emergencias traumáticas y ambientales</w:t>
      </w:r>
    </w:p>
    <w:p>
      <w:pPr>
        <w:pStyle w:val="APARef"/>
      </w:pPr>
      <w:r>
        <w:t xml:space="preserve">Rogers, S. O., &amp; Kirton, O. C. (2024). Acute abdomen in the modern era. New England Journal of Medicine, 391(1), 60–67. https://doi.org/10.1056/NEJMra2313071</w:t>
      </w:r>
    </w:p>
    <w:p>
      <w:pPr>
        <w:pStyle w:val="APARef"/>
      </w:pPr>
      <w:r>
        <w:t xml:space="preserve">Wong, J., Saver, B., Scanlan, J. M., et al. (2020). The ASAM Clinical Practice Guideline on Alcohol Withdrawal Management. Journal of Addiction Medicine, 14(3S Suppl 1), 1–72. https://doi.org/10.1097/ADM.0000000000000668</w:t>
      </w:r>
    </w:p>
    <w:p>
      <w:pPr>
        <w:pStyle w:val="APARef"/>
      </w:pPr>
      <w:r>
        <w:t xml:space="preserve">American College of Surgeons Committee on Trauma. (2018). Advanced Trauma Life Support (ATLS) student course manual (10th ed.). American College of Surgeons.</w:t>
      </w:r>
    </w:p>
    <w:p>
      <w:pPr>
        <w:pStyle w:val="APARef"/>
      </w:pPr>
      <w:r>
        <w:t xml:space="preserve">Jeschke, M. G., van Baar, M. E., Choudhry, M. A., Chung, K. K., Gibran, N. S., &amp; Logsetty, S. (2020). Burn injury. Nature Reviews Disease Primers, 6, 11. https://doi.org/10.1038/s41572-020-0145-5</w:t>
      </w:r>
    </w:p>
    <w:p>
      <w:pPr>
        <w:pStyle w:val="APARef"/>
      </w:pPr>
      <w:r>
        <w:t xml:space="preserve">Schmidt, A. C., Sempsrott, J. R., Hawkins, S. C., Arastu, A. S., Cushing, T. A., &amp; Auerbach, P. S. (2016). Wilderness Medical Society practice guidelines for the treatment and prevention of drowning. Wilderness &amp; Environmental Medicine, 27(2), 236–251.</w:t>
      </w:r>
    </w:p>
    <w:p>
      <w:pPr>
        <w:pStyle w:val="APARef"/>
      </w:pPr>
      <w:r>
        <w:t xml:space="preserve">Marik, P. E. (2001). Aspiration pneumonitis and aspiration pneumonia. New England Journal of Medicine, 344(9), 665–671.</w:t>
      </w:r>
    </w:p>
    <w:p>
      <w:pPr>
        <w:pStyle w:val="Heading2"/>
      </w:pPr>
      <w:r>
        <w:t xml:space="preserve">III. Gastroenterología y Hepatología</w:t>
      </w:r>
    </w:p>
    <w:p>
      <w:pPr>
        <w:pStyle w:val="Heading3"/>
      </w:pPr>
      <w:r>
        <w:t xml:space="preserve">Tubo digestivo alto y bajo</w:t>
      </w:r>
    </w:p>
    <w:p>
      <w:pPr>
        <w:pStyle w:val="APARef"/>
      </w:pPr>
      <w:r>
        <w:t xml:space="preserve">Katz, P. O., Dunbar, K. B., Schnoll-Sussman, F. H., Greer, K. B., Yadlapati, R., &amp; Spechler, S. J. (2022). ACG Clinical Guideline for the diagnosis and management of gastroesophageal reflux disease. American Journal of Gastroenterology, 117(1), 27–56. https://doi.org/10.14309/ajg.0000000000001538</w:t>
      </w:r>
    </w:p>
    <w:p>
      <w:pPr>
        <w:pStyle w:val="APARef"/>
      </w:pPr>
      <w:r>
        <w:t xml:space="preserve">Chey, W. D., Howden, C. W., Moss, S. F., et al. (2024). ACG Clinical Guideline: Treatment of Helicobacter pylori infection. American Journal of Gastroenterology, 119(9), 1730–1753. https://doi.org/10.14309/ajg.0000000000002968</w:t>
      </w:r>
    </w:p>
    <w:p>
      <w:pPr>
        <w:pStyle w:val="APARef"/>
      </w:pPr>
      <w:r>
        <w:t xml:space="preserve">Rubin, D. T., Ananthakrishnan, A. N., et al. (2025). ACG Clinical Guideline Update: Ulcerative colitis in adults. American Journal of Gastroenterology, 120(6), 1187–1224. https://doi.org/10.14309/ajg.0000000000003463</w:t>
      </w:r>
    </w:p>
    <w:p>
      <w:pPr>
        <w:pStyle w:val="APARef"/>
      </w:pPr>
      <w:r>
        <w:t xml:space="preserve">Lichtenstein, G. R., Loftus, E. V., Afzali, A., et al. (2025). ACG Clinical Guideline: Management of Crohn's disease in adults. American Journal of Gastroenterology, 120(6), 1225–1264. https://doi.org/10.14309/ajg.0000000000003465</w:t>
      </w:r>
    </w:p>
    <w:p>
      <w:pPr>
        <w:pStyle w:val="APARef"/>
      </w:pPr>
      <w:r>
        <w:t xml:space="preserve">Lacy, B. E., Pimentel, M., Brenner, D. M., Chey, W. D., Keefer, L. A., Long, M. D., &amp; Moshiree, B. (2021). ACG Clinical Guideline: Management of irritable bowel syndrome. American Journal of Gastroenterology, 116(1), 17–44. https://doi.org/10.14309/ajg.0000000000001036</w:t>
      </w:r>
    </w:p>
    <w:p>
      <w:pPr>
        <w:pStyle w:val="APARef"/>
      </w:pPr>
      <w:r>
        <w:t xml:space="preserve">Laine, L., Barkun, A. N., Saltzman, J. R., Martel, M., &amp; Leontiadis, G. I. (2021). ACG Clinical Guideline: Upper gastrointestinal and ulcer bleeding. American Journal of Gastroenterology, 116(5), 899–917. https://doi.org/10.14309/ajg.0000000000001245</w:t>
      </w:r>
    </w:p>
    <w:p>
      <w:pPr>
        <w:pStyle w:val="APARef"/>
      </w:pPr>
      <w:r>
        <w:t xml:space="preserve">Sengupta, N., Feuerstein, J. D., Jairath, V., Shergill, A. K., Strate, L. L., Wong, R. J., &amp; Wan, D. (2023). Management of patients with acute lower gastrointestinal bleeding. American Journal of Gastroenterology, 118(2), 208–231. https://doi.org/10.14309/ajg.0000000000002130</w:t>
      </w:r>
    </w:p>
    <w:p>
      <w:pPr>
        <w:pStyle w:val="APARef"/>
      </w:pPr>
      <w:r>
        <w:t xml:space="preserve">Peery, A. F., Strate, L. L., Chang, J. W., et al. (2026). ACG Clinical Guideline: Colonic diverticulitis. American Journal of Gastroenterology, 121(7), 1549–1561.</w:t>
      </w:r>
    </w:p>
    <w:p>
      <w:pPr>
        <w:pStyle w:val="APARef"/>
      </w:pPr>
      <w:r>
        <w:t xml:space="preserve">Koelemay, M. J., Geelkerken, R. H., Kärkkäinen, J., et al. (2025). European Society for Vascular Surgery (ESVS) 2025 clinical practice guidelines on the management of diseases of the mesenteric and renal arteries and veins. European Journal of Vascular and Endovascular Surgery, 70, 153–218.</w:t>
      </w:r>
    </w:p>
    <w:p>
      <w:pPr>
        <w:pStyle w:val="APARef"/>
      </w:pPr>
      <w:r>
        <w:t xml:space="preserve">National Comprehensive Cancer Network. (2026). NCCN clinical practice guidelines in oncology: Esophageal and esophagogastric junction cancers (Version 3.2026).</w:t>
      </w:r>
    </w:p>
    <w:p>
      <w:pPr>
        <w:pStyle w:val="APARef"/>
      </w:pPr>
      <w:r>
        <w:t xml:space="preserve">National Comprehensive Cancer Network. (2026). NCCN clinical practice guidelines in oncology: Gastric cancer (Version 3.2026).</w:t>
      </w:r>
    </w:p>
    <w:p>
      <w:pPr>
        <w:pStyle w:val="APARef"/>
      </w:pPr>
      <w:r>
        <w:t xml:space="preserve">National Comprehensive Cancer Network. (2026). NCCN clinical practice guidelines in oncology: Colon cancer (Version 2.2026) and rectal cancer (Version 2.2026).</w:t>
      </w:r>
    </w:p>
    <w:p>
      <w:pPr>
        <w:pStyle w:val="APARef"/>
      </w:pPr>
      <w:r>
        <w:t xml:space="preserve">Smalley, W., Falck-Ytter, C., Carrasco-Labra, A., Wani, S., Lytvyn, L., &amp; Falck-Ytter, Y. (2019). AGA clinical practice guidelines on the laboratory evaluation of functional diarrhea and diarrhea-predominant irritable bowel syndrome in adults (IBS-D). Gastroenterology, 157(3), 851–854. https://doi.org/10.1053/j.gastro.2019.07.004</w:t>
      </w:r>
    </w:p>
    <w:p>
      <w:pPr>
        <w:pStyle w:val="APARef"/>
      </w:pPr>
      <w:r>
        <w:t xml:space="preserve">American Gastroenterological Association-American College of Gastroenterology. (2023). Clinical practice guideline: Pharmacological management of chronic idiopathic constipation. American Journal of Gastroenterology, 118(6), 936–954. https://doi.org/10.14309/ajg.0000000000002227</w:t>
      </w:r>
    </w:p>
    <w:p>
      <w:pPr>
        <w:pStyle w:val="APARef"/>
      </w:pPr>
      <w:r>
        <w:t xml:space="preserve">Mari, A., Calabrese, F., Pasta, A., et al. (2025). Esophageal and oropharyngeal dysphagia: Clinical recommendations from the United European Gastroenterology and European Society for Neurogastroenterology and Motility. United European Gastroenterology Journal, 13(6), 855–901. https://doi.org/10.1002/ueg2.70062</w:t>
      </w:r>
    </w:p>
    <w:p>
      <w:pPr>
        <w:pStyle w:val="Heading3"/>
      </w:pPr>
      <w:r>
        <w:t xml:space="preserve">Páncreas y vía biliar</w:t>
      </w:r>
    </w:p>
    <w:p>
      <w:pPr>
        <w:pStyle w:val="APARef"/>
      </w:pPr>
      <w:r>
        <w:t xml:space="preserve">Crockett, S. D., Wani, S., Gardner, T. B., Falck-Ytter, Y., Barkun, A. N., &amp; American Gastroenterological Association Institute Clinical Guidelines Committee. (2018). American Gastroenterological Association Institute guideline on initial management of acute pancreatitis. Gastroenterology, 154(4), 1096–1101. https://doi.org/10.1053/j.gastro.2018.01.032</w:t>
      </w:r>
    </w:p>
    <w:p>
      <w:pPr>
        <w:pStyle w:val="APARef"/>
      </w:pPr>
      <w:r>
        <w:t xml:space="preserve">Löhr, J. M., Dominguez-Munoz, E., Rosendahl, J., et al. (2017). United European Gastroenterology evidence-based guidelines for the diagnosis and therapy of chronic pancreatitis (HaPanEU). United European Gastroenterology Journal, 5(2), 153–199. https://doi.org/10.1177/2050640616684695</w:t>
      </w:r>
    </w:p>
    <w:p>
      <w:pPr>
        <w:pStyle w:val="APARef"/>
      </w:pPr>
      <w:r>
        <w:t xml:space="preserve">Lindor, K. D., Bowlus, C. L., Boyer, J., Levy, C., &amp; Mayo, M. (2022). Primary biliary cholangitis: 2021 practice guidance update from the American Association for the Study of Liver Diseases. Hepatology, 75(4), 1012–1013. https://doi.org/10.1002/hep.32117</w:t>
      </w:r>
    </w:p>
    <w:p>
      <w:pPr>
        <w:pStyle w:val="APARef"/>
      </w:pPr>
      <w:r>
        <w:t xml:space="preserve">Bowlus, C. L., Arrivé, L., Bergquist, A., et al. (2023). AASLD practice guidance on primary sclerosing cholangitis and cholangiocarcinoma. Hepatology, 77(2), 659–702. https://doi.org/10.1002/hep.32771</w:t>
      </w:r>
    </w:p>
    <w:p>
      <w:pPr>
        <w:pStyle w:val="APARef"/>
      </w:pPr>
      <w:r>
        <w:t xml:space="preserve">Kiriyama, S., Kozaka, K., Takada, T., et al. (2018). Tokyo Guidelines 2018: Diagnostic criteria and severity grading of acute cholangitis (with videos). Journal of Hepato-Biliary-Pancreatic Sciences, 25(1), 17–30. https://doi.org/10.1002/jhbp.512</w:t>
      </w:r>
    </w:p>
    <w:p>
      <w:pPr>
        <w:pStyle w:val="APARef"/>
      </w:pPr>
      <w:r>
        <w:t xml:space="preserve">Yokoe, M., Hata, J., Takada, T., et al. (2018). Tokyo Guidelines 2018: Diagnostic criteria and severity grading of acute cholecystitis (with videos). Journal of Hepato-Biliary-Pancreatic Sciences, 25(1), 41–54. https://doi.org/10.1002/jhbp.515</w:t>
      </w:r>
    </w:p>
    <w:p>
      <w:pPr>
        <w:pStyle w:val="APARef"/>
      </w:pPr>
      <w:r>
        <w:t xml:space="preserve">National Comprehensive Cancer Network. (2026). NCCN clinical practice guidelines in oncology: Pancreatic adenocarcinoma (Version 2.2026).</w:t>
      </w:r>
    </w:p>
    <w:p>
      <w:pPr>
        <w:pStyle w:val="APARef"/>
      </w:pPr>
      <w:r>
        <w:t xml:space="preserve">National Comprehensive Cancer Network. (2025). NCCN clinical practice guidelines in oncology: Biliary tract cancers (Version 2.2025).</w:t>
      </w:r>
    </w:p>
    <w:p>
      <w:pPr>
        <w:pStyle w:val="Heading3"/>
      </w:pPr>
      <w:r>
        <w:t xml:space="preserve">Hepatología</w:t>
      </w:r>
    </w:p>
    <w:p>
      <w:pPr>
        <w:pStyle w:val="APARef"/>
      </w:pPr>
      <w:r>
        <w:t xml:space="preserve">Ghany, M. G., Pan, C. Q., Lok, A. S., et al. (2025). AASLD/IDSA practice guideline on treatment of chronic hepatitis B. Hepatology. Advance online publication. https://doi.org/10.1097/HEP.0000000000001549</w:t>
      </w:r>
    </w:p>
    <w:p>
      <w:pPr>
        <w:pStyle w:val="APARef"/>
      </w:pPr>
      <w:r>
        <w:t xml:space="preserve">AASLD-IDSA HCV Guidance Panel. (2023). Hepatitis C guidance: AASLD-IDSA recommendations for testing, managing, and treating adults infected with hepatitis C virus [Updated December 2023]. https://www.hcvguidelines.org</w:t>
      </w:r>
    </w:p>
    <w:p>
      <w:pPr>
        <w:pStyle w:val="APARef"/>
      </w:pPr>
      <w:r>
        <w:t xml:space="preserve">Crabb, D. W., Im, G. Y., Szabo, G., Mellinger, J. L., &amp; Lucey, M. R. (2020). Diagnosis and treatment of alcohol-associated liver diseases: 2019 practice guidance from the American Association for the Study of Liver Diseases. Hepatology, 71(1), 306–333. https://doi.org/10.1002/hep.30866</w:t>
      </w:r>
    </w:p>
    <w:p>
      <w:pPr>
        <w:pStyle w:val="APARef"/>
      </w:pPr>
      <w:r>
        <w:t xml:space="preserve">Rinella, M. E., Neuschwander-Tetri, B. A., Siddiqui, M. S., et al. (2023). AASLD Practice Guidance on the clinical assessment and management of nonalcoholic fatty liver disease. Hepatology, 77(5), 1797–1835.</w:t>
      </w:r>
    </w:p>
    <w:p>
      <w:pPr>
        <w:pStyle w:val="APARef"/>
      </w:pPr>
      <w:r>
        <w:t xml:space="preserve">Kaplan, D. E., Bosch, J., Ripoll, C., Thiele, M., Fortune, B. E., Simonetto, D. A., &amp; Garcia-Tsao, G. (2024). AASLD practice guidance on risk stratification and management of portal hypertension and varices in cirrhosis. Hepatology, 79(5), 1180–1211. https://doi.org/10.1097/HEP.0000000000000647</w:t>
      </w:r>
    </w:p>
    <w:p>
      <w:pPr>
        <w:pStyle w:val="APARef"/>
      </w:pPr>
      <w:r>
        <w:t xml:space="preserve">Biggins, S. W., Angeli, P., Garcia-Tsao, G., et al. (2021). Diagnosis, evaluation, and management of ascites, spontaneous bacterial peritonitis and hepatorenal syndrome: 2021 practice guidance by the AASLD. Hepatology, 74(2), 1014–1048.</w:t>
      </w:r>
    </w:p>
    <w:p>
      <w:pPr>
        <w:pStyle w:val="APARef"/>
      </w:pPr>
      <w:r>
        <w:t xml:space="preserve">European Association for the Study of the Liver. (2022). EASL Clinical Practice Guidelines on the management of hepatic encephalopathy. Journal of Hepatology, 77(3), 807–824.</w:t>
      </w:r>
    </w:p>
    <w:p>
      <w:pPr>
        <w:pStyle w:val="APARef"/>
      </w:pPr>
      <w:r>
        <w:t xml:space="preserve">European Association for the Study of the Liver. (2023). EASL Clinical Practice Guidelines on acute-on-chronic liver failure. Journal of Hepatology. Advance online publication. https://doi.org/10.1016/j.jhep.2023.04.021</w:t>
      </w:r>
    </w:p>
    <w:p>
      <w:pPr>
        <w:pStyle w:val="APARef"/>
      </w:pPr>
      <w:r>
        <w:t xml:space="preserve">Singal, A. G., Llovet, J. M., Yarchoan, M., et al. (2023). AASLD Practice Guidance on prevention, diagnosis, and treatment of hepatocellular carcinoma. Hepatology, 78(6), 1922–1965.</w:t>
      </w:r>
    </w:p>
    <w:p>
      <w:pPr>
        <w:pStyle w:val="APARef"/>
      </w:pPr>
      <w:r>
        <w:t xml:space="preserve">Zoller, H., Schaefer, B., Vanclooster, A., et al. (2022). EASL clinical practice guidelines on haemochromatosis. Journal of Hepatology, 77(2), 479–502.</w:t>
      </w:r>
    </w:p>
    <w:p>
      <w:pPr>
        <w:pStyle w:val="APARef"/>
      </w:pPr>
      <w:r>
        <w:t xml:space="preserve">Ferenci, P., Członkowska, A., Stremmel, W., et al. (2012). EASL Clinical Practice Guidelines: Wilson's disease. Journal of Hepatology, 56(3), 671–685.</w:t>
      </w:r>
    </w:p>
    <w:p>
      <w:pPr>
        <w:pStyle w:val="APARef"/>
      </w:pPr>
      <w:r>
        <w:t xml:space="preserve">Chalasani, N. P., Maddur, H., Russo, M. W., et al. (2021). ACG clinical guideline: Diagnosis and management of idiosyncratic drug-induced liver injury. American Journal of Gastroenterology, 116(5), 878–898. https://doi.org/10.14309/ajg.0000000000001259</w:t>
      </w:r>
    </w:p>
    <w:p>
      <w:pPr>
        <w:pStyle w:val="APARef"/>
      </w:pPr>
      <w:r>
        <w:t xml:space="preserve">Fargo, M. V., Grogan, S. P., &amp; Saguil, A. (2017). Evaluation of jaundice in adults. American Family Physician, 95(3), 164–168.</w:t>
      </w:r>
    </w:p>
    <w:p>
      <w:pPr>
        <w:pStyle w:val="Heading3"/>
      </w:pPr>
      <w:r>
        <w:t xml:space="preserve">Interpretación de pruebas de función hepática</w:t>
      </w:r>
    </w:p>
    <w:p>
      <w:pPr>
        <w:pStyle w:val="APARef"/>
      </w:pPr>
      <w:r>
        <w:t xml:space="preserve">Stewart, S., Distante, S., Duke, N., &amp; Shearman, J. (2025). Interpreting abnormal liver blood test results. BMJ, 391, e082648. https://doi.org/10.1136/bmj-2024-082648</w:t>
      </w:r>
    </w:p>
    <w:p>
      <w:pPr>
        <w:pStyle w:val="APARef"/>
      </w:pPr>
      <w:r>
        <w:t xml:space="preserve">Fiore, M., Cosenza, G., Coppolino, F., Pota, V., Sansone, P., Petrou, S., &amp; Pace, M. C. (2025). Hypertransaminasemia in non-cirrhotic critically-ill patients. World Journal of Hepatology, 17(11), 109645. https://doi.org/10.4254/wjh.v17.i11.109645</w:t>
      </w:r>
    </w:p>
    <w:p>
      <w:pPr>
        <w:pStyle w:val="Heading2"/>
      </w:pPr>
      <w:r>
        <w:t xml:space="preserve">IV. Nefrología y Trastornos Hidroelectrolíticos</w:t>
      </w:r>
    </w:p>
    <w:p>
      <w:pPr>
        <w:pStyle w:val="Heading3"/>
      </w:pPr>
      <w:r>
        <w:t xml:space="preserve">Función renal</w:t>
      </w:r>
    </w:p>
    <w:p>
      <w:pPr>
        <w:pStyle w:val="APARef"/>
      </w:pPr>
      <w:r>
        <w:t xml:space="preserve">Kidney Disease: Improving Global Outcomes (KDIGO) Acute Kidney Injury Work Group. (2012). KDIGO clinical practice guideline for acute kidney injury. Kidney International Supplements, 2(1), 1–138.</w:t>
      </w:r>
    </w:p>
    <w:p>
      <w:pPr>
        <w:pStyle w:val="APARef"/>
      </w:pPr>
      <w:r>
        <w:t xml:space="preserve">Kidney Disease: Improving Global Outcomes (KDIGO) AKI/AKD Work Group. (2026). KDIGO 2026 clinical practice guideline for acute kidney injury and acute kidney disease [Public review draft, marzo de 2026 — pendiente de publicación final].</w:t>
      </w:r>
    </w:p>
    <w:p>
      <w:pPr>
        <w:pStyle w:val="APARef"/>
      </w:pPr>
      <w:r>
        <w:t xml:space="preserve">Kidney Disease: Improving Global Outcomes (KDIGO) CKD Work Group. (2024). KDIGO 2024 clinical practice guideline for the evaluation and management of chronic kidney disease. Kidney International, 105(4S), S117–S314. https://doi.org/10.1016/j.kint.2023.10.018</w:t>
      </w:r>
    </w:p>
    <w:p>
      <w:pPr>
        <w:pStyle w:val="APARef"/>
      </w:pPr>
      <w:r>
        <w:t xml:space="preserve">Kidney Disease: Improving Global Outcomes (KDIGO) Glomerular Diseases Work Group. (2021). KDIGO 2021 clinical practice guideline for the management of glomerular diseases. Kidney International, 100(4S), S1–S276. https://doi.org/10.1016/j.kint.2021.05.021</w:t>
      </w:r>
    </w:p>
    <w:p>
      <w:pPr>
        <w:pStyle w:val="APARef"/>
      </w:pPr>
      <w:r>
        <w:t xml:space="preserve">Kidney Disease: Improving Global Outcomes (KDIGO) Diabetes Work Group. (2022). KDIGO 2022 clinical practice guideline for diabetes management in chronic kidney disease. Kidney International, 102(5S), S1–S127.</w:t>
      </w:r>
    </w:p>
    <w:p>
      <w:pPr>
        <w:pStyle w:val="APARef"/>
      </w:pPr>
      <w:r>
        <w:t xml:space="preserve">Kidney Disease: Improving Global Outcomes (KDIGO) Diabetes Work Group. (2026). KDIGO 2026 clinical practice guideline update for diabetes and chronic kidney disease: Chapters 1, 2 and 4 [Public review draft, marzo de 2026 — pendiente de publicación final].</w:t>
      </w:r>
    </w:p>
    <w:p>
      <w:pPr>
        <w:pStyle w:val="APARef"/>
      </w:pPr>
      <w:r>
        <w:t xml:space="preserve">Kidney Disease: Improving Global Outcomes (KDIGO) Blood Pressure Work Group. (2021). KDIGO 2021 clinical practice guideline for the management of blood pressure in chronic kidney disease. Kidney International, 99(3S), S1–S87.</w:t>
      </w:r>
    </w:p>
    <w:p>
      <w:pPr>
        <w:pStyle w:val="APARef"/>
      </w:pPr>
      <w:r>
        <w:t xml:space="preserve">Pearle, M. S., Antonelli, J. A., Sur, R. L., et al. (2026). Surgical management of kidney and ureteral stones: AUA guideline. Journal of Urology.</w:t>
      </w:r>
    </w:p>
    <w:p>
      <w:pPr>
        <w:pStyle w:val="APARef"/>
      </w:pPr>
      <w:r>
        <w:t xml:space="preserve">Devuyst, O., Torres, V. E., et al. (2025). KDIGO 2025 clinical practice guideline for the evaluation, management, and treatment of autosomal dominant polycystic kidney disease (ADPKD). Kidney International Supplements.</w:t>
      </w:r>
    </w:p>
    <w:p>
      <w:pPr>
        <w:pStyle w:val="APARef"/>
      </w:pPr>
      <w:r>
        <w:t xml:space="preserve">Sandhu, J. S., Bixler, B. R., Dahm, P., Goueli, R., Kirkby, E., Stoffel, J. T., &amp; Wilt, T. J. (2024). Management of lower urinary tract symptoms attributed to benign prostatic hyperplasia (BPH): AUA guideline amendment 2023. Journal of Urology, 211(1), 11–19. https://doi.org/10.1097/JU.0000000000003698</w:t>
      </w:r>
    </w:p>
    <w:p>
      <w:pPr>
        <w:pStyle w:val="APARef"/>
      </w:pPr>
      <w:r>
        <w:t xml:space="preserve">Chadban, S. J., Ahn, C., Axelrod, D. A., et al. (2020). KDIGO clinical practice guideline on the evaluation and management of candidates for kidney transplantation. Transplantation, 104(4S1), S1–S103.</w:t>
      </w:r>
    </w:p>
    <w:p>
      <w:pPr>
        <w:pStyle w:val="APARef"/>
      </w:pPr>
      <w:r>
        <w:t xml:space="preserve">Perazella, M. A., &amp; Rosner, M. H. (2022). Drug-induced acute kidney injury. Clinical Journal of the American Society of Nephrology, 17(8), 1220–1233. https://doi.org/10.2215/CJN.11290821</w:t>
      </w:r>
    </w:p>
    <w:p>
      <w:pPr>
        <w:pStyle w:val="APARef"/>
      </w:pPr>
      <w:r>
        <w:t xml:space="preserve">Barocas, D. A., Boorjian, S. A., Alvarez, R. D., et al. (2020). Microhematuria: AUA/SUFU guideline. Journal of Urology, 204(4), 778–786. https://doi.org/10.1097/JU.0000000000001297</w:t>
      </w:r>
    </w:p>
    <w:p>
      <w:pPr>
        <w:pStyle w:val="Heading3"/>
      </w:pPr>
      <w:r>
        <w:t xml:space="preserve">Equilibrio interno</w:t>
      </w:r>
    </w:p>
    <w:p>
      <w:pPr>
        <w:pStyle w:val="APARef"/>
      </w:pPr>
      <w:r>
        <w:t xml:space="preserve">Berend, K. (2018). Diagnostic use of base excess in acid-base disorders. New England Journal of Medicine, 378(15), 1419–1428. https://doi.org/10.1056/NEJMra1711860</w:t>
      </w:r>
    </w:p>
    <w:p>
      <w:pPr>
        <w:pStyle w:val="APARef"/>
      </w:pPr>
      <w:r>
        <w:t xml:space="preserve">Spasovski, G., Vanholder, R., Allolio, B., et al. (2014). Clinical practice guideline on diagnosis and treatment of hyponatraemia. Intensive Care Medicine, 40(3), 320–331.</w:t>
      </w:r>
    </w:p>
    <w:p>
      <w:pPr>
        <w:pStyle w:val="APARef"/>
      </w:pPr>
      <w:r>
        <w:t xml:space="preserve">Sterns, R. H. (2015). Disorders of plasma sodium: Causes, consequences, and correction. New England Journal of Medicine, 372(1), 55–65. https://doi.org/10.1056/NEJMra1404489</w:t>
      </w:r>
    </w:p>
    <w:p>
      <w:pPr>
        <w:pStyle w:val="APARef"/>
      </w:pPr>
      <w:r>
        <w:t xml:space="preserve">UK Kidney Association. (2023). Clinical practice guideline: Treatment of acute hyperkalaemia in adults.</w:t>
      </w:r>
    </w:p>
    <w:p>
      <w:pPr>
        <w:pStyle w:val="APARef"/>
      </w:pPr>
      <w:r>
        <w:t xml:space="preserve">Kidney Disease: Improving Global Outcomes (KDIGO) CKD-MBD Work Group. (2017). KDIGO 2017 clinical practice guideline update for the diagnosis, evaluation, prevention, and treatment of chronic kidney disease–mineral and bone disorder (CKD-MBD). Kidney International Supplements, 7(1), 1–59.</w:t>
      </w:r>
    </w:p>
    <w:p>
      <w:pPr>
        <w:pStyle w:val="APARef"/>
      </w:pPr>
      <w:r>
        <w:t xml:space="preserve">Touyz, R. M., de Baaij, J. H. F., &amp; Hoenderop, J. G. J. (2024). Magnesium disorders. New England Journal of Medicine, 390(21), 1998–2009. https://doi.org/10.1056/NEJMra1510603</w:t>
      </w:r>
    </w:p>
    <w:p>
      <w:pPr>
        <w:pStyle w:val="Heading3"/>
      </w:pPr>
      <w:r>
        <w:t xml:space="preserve">Terapias de reemplazo renal</w:t>
      </w:r>
    </w:p>
    <w:p>
      <w:pPr>
        <w:pStyle w:val="APARef"/>
      </w:pPr>
      <w:r>
        <w:t xml:space="preserve">National Kidney Foundation (KDOQI). (2015). KDOQI clinical practice guideline for hemodialysis adequacy: 2015 update. American Journal of Kidney Diseases, 66(5), 884–930. https://doi.org/10.1053/j.ajkd.2015.07.015</w:t>
      </w:r>
    </w:p>
    <w:p>
      <w:pPr>
        <w:pStyle w:val="APARef"/>
      </w:pPr>
      <w:r>
        <w:t xml:space="preserve">Brown, E. A., Blake, P. G., Boudville, N., et al. (2020). International Society for Peritoneal Dialysis practice recommendations: Prescribing high-quality goal-directed peritoneal dialysis. Peritoneal Dialysis International, 40(3), 244–253.</w:t>
      </w:r>
    </w:p>
    <w:p>
      <w:pPr>
        <w:pStyle w:val="APARef"/>
      </w:pPr>
      <w:r>
        <w:t xml:space="preserve">Ostermann, M., Joannidis, M., Pani, A., Floris, M., De Rosa, S., Kellum, J. A., &amp; Ronco, C. (2016). Patient selection and timing of continuous renal replacement therapy. Blood Purification, 42(3), 224–237. https://doi.org/10.1159/000448506</w:t>
      </w:r>
    </w:p>
    <w:p>
      <w:pPr>
        <w:pStyle w:val="Heading2"/>
      </w:pPr>
      <w:r>
        <w:t xml:space="preserve">V. Endocrinología y Metabolismo</w:t>
      </w:r>
    </w:p>
    <w:p>
      <w:pPr>
        <w:pStyle w:val="Heading3"/>
      </w:pPr>
      <w:r>
        <w:t xml:space="preserve">Diabetes mellitus</w:t>
      </w:r>
    </w:p>
    <w:p>
      <w:pPr>
        <w:pStyle w:val="APARef"/>
      </w:pPr>
      <w:r>
        <w:t xml:space="preserve">American Diabetes Association. (2026). Standards of Care in Diabetes—2026. Diabetes Care, 49(Suppl. 1).</w:t>
      </w:r>
    </w:p>
    <w:p>
      <w:pPr>
        <w:pStyle w:val="APARef"/>
      </w:pPr>
      <w:r>
        <w:t xml:space="preserve">Umpierrez, G. E., Davis, G. M., ElSayed, N. A., et al. (2024). Hyperglycemic crises in adults with diabetes: A consensus report. Diabetes Care, 47(8), 1257–1275. https://doi.org/10.2337/dci24-0032</w:t>
      </w:r>
    </w:p>
    <w:p>
      <w:pPr>
        <w:pStyle w:val="APARef"/>
      </w:pPr>
      <w:r>
        <w:t xml:space="preserve">Schaper, N. C., van Netten, J. J., Apelqvist, J., et al. (2023). Practical guidelines on the prevention and management of diabetes-related foot disease (IWGDF 2023 update). Diabetes/Metabolism Research and Reviews, 40(3), e3657. https://doi.org/10.1002/dmrr.3657</w:t>
      </w:r>
    </w:p>
    <w:p>
      <w:pPr>
        <w:pStyle w:val="Heading3"/>
      </w:pPr>
      <w:r>
        <w:t xml:space="preserve">Tiroides y paratiroides</w:t>
      </w:r>
    </w:p>
    <w:p>
      <w:pPr>
        <w:pStyle w:val="APARef"/>
      </w:pPr>
      <w:r>
        <w:t xml:space="preserve">Jonklaas, J., Bianco, A. C., Bauer, A. J., et al. (2014). Guidelines for the treatment of hypothyroidism. Thyroid, 24(12), 1670–1751.</w:t>
      </w:r>
    </w:p>
    <w:p>
      <w:pPr>
        <w:pStyle w:val="APARef"/>
      </w:pPr>
      <w:r>
        <w:t xml:space="preserve">Martinez Quintero, B., Yazbeck, C., &amp; Sweeney, L. B. (2021). Thyroiditis: Evaluation and treatment. American Family Physician, 104(6), 609–617.</w:t>
      </w:r>
    </w:p>
    <w:p>
      <w:pPr>
        <w:pStyle w:val="APARef"/>
      </w:pPr>
      <w:r>
        <w:t xml:space="preserve">Ross, D. S., Burch, H. B., Cooper, D. S., et al. (2016). 2016 American Thyroid Association guidelines for diagnosis and management of hyperthyroidism and other causes of thyrotoxicosis. Thyroid, 26(10), 1343–1421.</w:t>
      </w:r>
    </w:p>
    <w:p>
      <w:pPr>
        <w:pStyle w:val="APARef"/>
      </w:pPr>
      <w:r>
        <w:t xml:space="preserve">Zhang, Y., Chu, L., &amp; Han, H. (2025). Myxedema coma: Challenges and future directions, a systematic survey and review. Thyroid Research, 18(1), 48. https://doi.org/10.1186/s13044-025-00268-1</w:t>
      </w:r>
    </w:p>
    <w:p>
      <w:pPr>
        <w:pStyle w:val="APARef"/>
      </w:pPr>
      <w:r>
        <w:t xml:space="preserve">Haugen, B. R., Alexander, E. K., Bible, K. C., et al. (2016). 2015 American Thyroid Association management guidelines for adult patients with thyroid nodules and differentiated thyroid cancer. Thyroid, 26(1), 1–133.</w:t>
      </w:r>
    </w:p>
    <w:p>
      <w:pPr>
        <w:pStyle w:val="APARef"/>
      </w:pPr>
      <w:r>
        <w:t xml:space="preserve">Bilezikian, J. P., Khan, A. A., Silverberg, S. J., et al. (2022). Evaluation and management of primary hyperparathyroidism: Summary statement and guidelines from the Fifth International Workshop. Journal of Bone and Mineral Research, 37(11), 2293–2314.</w:t>
      </w:r>
    </w:p>
    <w:p>
      <w:pPr>
        <w:pStyle w:val="APARef"/>
      </w:pPr>
      <w:r>
        <w:t xml:space="preserve">Knobel, M. (2016). Etiopathology, clinical features, and treatment of diffuse and multinodular nontoxic goiters. Journal of Endocrinological Investigation, 39(4), 357–373. https://doi.org/10.1007/s40618-015-0391-7</w:t>
      </w:r>
    </w:p>
    <w:p>
      <w:pPr>
        <w:pStyle w:val="Heading3"/>
      </w:pPr>
      <w:r>
        <w:t xml:space="preserve">Eje suprarrenal e hipofisario</w:t>
      </w:r>
    </w:p>
    <w:p>
      <w:pPr>
        <w:pStyle w:val="APARef"/>
      </w:pPr>
      <w:r>
        <w:t xml:space="preserve">Bornstein, S. R., Allolio, B., Arlt, W., et al. (2016). Diagnosis and treatment of primary adrenal insufficiency: An Endocrine Society clinical practice guideline. Journal of Clinical Endocrinology &amp; Metabolism, 101(2), 364–389.</w:t>
      </w:r>
    </w:p>
    <w:p>
      <w:pPr>
        <w:pStyle w:val="APARef"/>
      </w:pPr>
      <w:r>
        <w:t xml:space="preserve">Fleseriu, M., Auchus, R., Bancos, I., et al. (2021). Consensus on diagnosis and management of Cushing's disease: A guideline update. Lancet Diabetes &amp; Endocrinology, 9(12), 847–875.</w:t>
      </w:r>
    </w:p>
    <w:p>
      <w:pPr>
        <w:pStyle w:val="APARef"/>
      </w:pPr>
      <w:r>
        <w:t xml:space="preserve">Fleseriu, M., Hashim, I. A., Karavitaki, N., et al. (2016). Hormonal replacement in hypopituitarism in adults: An Endocrine Society clinical practice guideline. Journal of Clinical Endocrinology &amp; Metabolism, 101(11), 3888–3921.</w:t>
      </w:r>
    </w:p>
    <w:p>
      <w:pPr>
        <w:pStyle w:val="APARef"/>
      </w:pPr>
      <w:r>
        <w:t xml:space="preserve">Katznelson, L., Laws, E. R., Melmed, S., et al. (2014). Acromegaly: An Endocrine Society clinical practice guideline. Journal of Clinical Endocrinology &amp; Metabolism, 99(11), 3933–3951.</w:t>
      </w:r>
    </w:p>
    <w:p>
      <w:pPr>
        <w:pStyle w:val="APARef"/>
      </w:pPr>
      <w:r>
        <w:t xml:space="preserve">Melmed, S., Casanueva, F. F., Hoffman, A. R., et al. (2011). Diagnosis and treatment of hyperprolactinemia: An Endocrine Society clinical practice guideline. Journal of Clinical Endocrinology &amp; Metabolism, 96(2), 273–288.</w:t>
      </w:r>
    </w:p>
    <w:p>
      <w:pPr>
        <w:pStyle w:val="APARef"/>
      </w:pPr>
      <w:r>
        <w:t xml:space="preserve">Christ-Crain, M. (2019). EJE Award 2019: New diagnostic approaches for patients with polyuria polydipsia syndrome. European Journal of Endocrinology, 181(1), R11–R21.</w:t>
      </w:r>
    </w:p>
    <w:p>
      <w:pPr>
        <w:pStyle w:val="APARef"/>
      </w:pPr>
      <w:r>
        <w:t xml:space="preserve">Funder, J. W., Carey, R. M., Mantero, F., et al. (2016). The management of primary aldosteronism: Case detection, diagnosis, and treatment: An Endocrine Society clinical practice guideline. Journal of Clinical Endocrinology &amp; Metabolism, 101(5), 1889–1916.</w:t>
      </w:r>
    </w:p>
    <w:p>
      <w:pPr>
        <w:pStyle w:val="APARef"/>
      </w:pPr>
      <w:r>
        <w:t xml:space="preserve">Fassnacht, M., Tsagarakis, S., Terzolo, M., et al. (2023). European Society of Endocrinology clinical practice guidelines on the management of adrenal incidentalomas, in collaboration with the European Network for the Study of Adrenal Tumors. European Journal of Endocrinology, 189(1), G1–G42.</w:t>
      </w:r>
    </w:p>
    <w:p>
      <w:pPr>
        <w:pStyle w:val="APARef"/>
      </w:pPr>
      <w:r>
        <w:t xml:space="preserve">Bhasin, S., Brito, J. P., Cunningham, G. R., et al. (2018). Testosterone therapy in men with hypogonadism: An Endocrine Society clinical practice guideline. Journal of Clinical Endocrinology &amp; Metabolism, 103(5), 1715–1744.</w:t>
      </w:r>
    </w:p>
    <w:p>
      <w:pPr>
        <w:pStyle w:val="APARef"/>
      </w:pPr>
      <w:r>
        <w:t xml:space="preserve">Brandi, M. L., Pieterman, C. R. C., English, K. A., et al. (2025). Multiple endocrine neoplasia type 1 (MEN1): Recommendations and guidelines for best practice. Lancet Diabetes &amp; Endocrinology, 13(8), 699–721.</w:t>
      </w:r>
    </w:p>
    <w:p>
      <w:pPr>
        <w:pStyle w:val="Heading3"/>
      </w:pPr>
      <w:r>
        <w:t xml:space="preserve">Metabolismo</w:t>
      </w:r>
    </w:p>
    <w:p>
      <w:pPr>
        <w:pStyle w:val="APARef"/>
      </w:pPr>
      <w:r>
        <w:t xml:space="preserve">Grundy, S. M., Stone, N. J., Bailey, A. L., et al. (2019). 2018 AHA/ACC/AACVPR/AAPA/ABC/ACPM/ADA/AGS/APhA/ASPC/NLA/PCNA guideline on the management of blood cholesterol. Circulation, 139(25), e1082–e1143.</w:t>
      </w:r>
    </w:p>
    <w:p>
      <w:pPr>
        <w:pStyle w:val="APARef"/>
      </w:pPr>
      <w:r>
        <w:t xml:space="preserve">American Association of Clinical Endocrinology. (2025). AACE consensus statement: Algorithm for the evaluation and treatment of adults with obesity/adiposity-based chronic disease – 2025 update. Endocrine Practice, 32(1). https://doi.org/10.1016/j.eprac.2025.07.017</w:t>
      </w:r>
    </w:p>
    <w:p>
      <w:pPr>
        <w:pStyle w:val="APARef"/>
      </w:pPr>
      <w:r>
        <w:t xml:space="preserve">Ndumele, C. E., Rodriguez, F., Dixon, D. L., et al. (2026). 2026 AHA/ACC/ADA/ASN guideline for the prevention, detection, evaluation, and management of cardiovascular-kidney-metabolic syndrome: A report of the American College of Cardiology/American Heart Association Joint Committee on Clinical Practice Guidelines. Circulation, 153. https://doi.org/10.1161/CIR.0000000000001453</w:t>
      </w:r>
    </w:p>
    <w:p>
      <w:pPr>
        <w:pStyle w:val="APARef"/>
      </w:pPr>
      <w:r>
        <w:t xml:space="preserve">Camacho, P. M., Petak, S. M., Binkley, N., et al. (2020). American Association of Clinical Endocrinologists/American College of Endocrinology clinical practice guidelines for the diagnosis and treatment of postmenopausal osteoporosis—2020 update. Endocrine Practice, 26(Suppl 1), 1–46.</w:t>
      </w:r>
    </w:p>
    <w:p>
      <w:pPr>
        <w:pStyle w:val="Heading2"/>
      </w:pPr>
      <w:r>
        <w:t xml:space="preserve">VI. Hematología y Oncología</w:t>
      </w:r>
    </w:p>
    <w:p>
      <w:pPr>
        <w:pStyle w:val="Heading3"/>
      </w:pPr>
      <w:r>
        <w:t xml:space="preserve">Anemias y trastornos de la serie roja</w:t>
      </w:r>
    </w:p>
    <w:p>
      <w:pPr>
        <w:pStyle w:val="APARef"/>
      </w:pPr>
      <w:r>
        <w:t xml:space="preserve">Snook, J., Bhala, N., Beales, I. L. P., et al. (2021). British Society of Gastroenterology guidelines for the management of iron deficiency anaemia in adults. Gut, 70(11), 2030–2051. https://doi.org/10.1136/gutjnl-2021-325210</w:t>
      </w:r>
    </w:p>
    <w:p>
      <w:pPr>
        <w:pStyle w:val="APARef"/>
      </w:pPr>
      <w:r>
        <w:t xml:space="preserve">Obeid, R., Andrès, E., Češka, R., et al. (2024). Diagnosis, treatment and long-term management of vitamin B12 deficiency in adults: A Delphi expert consensus. Journal of Clinical Medicine, 13(8), 2176. https://doi.org/10.3390/jcm13082176</w:t>
      </w:r>
    </w:p>
    <w:p>
      <w:pPr>
        <w:pStyle w:val="APARef"/>
      </w:pPr>
      <w:r>
        <w:t xml:space="preserve">Hill, Q. A., Stamps, R., Massey, E., Grainger, J. D., Provan, D., &amp; Hill, A. (2017). The diagnosis and management of primary autoimmune haemolytic anaemia. British Journal of Haematology, 176(3), 395–411. https://doi.org/10.1111/bjh.14478</w:t>
      </w:r>
    </w:p>
    <w:p>
      <w:pPr>
        <w:pStyle w:val="APARef"/>
      </w:pPr>
      <w:r>
        <w:t xml:space="preserve">Ganz, T. (2019). Anemia of inflammation. New England Journal of Medicine, 381(12), 1148–1157.</w:t>
      </w:r>
    </w:p>
    <w:p>
      <w:pPr>
        <w:pStyle w:val="APARef"/>
      </w:pPr>
      <w:r>
        <w:t xml:space="preserve">Bissell, D. M., Anderson, K. E., &amp; Bonkovsky, H. L. (2017). Porphyria. New England Journal of Medicine, 377(9), 862–872.</w:t>
      </w:r>
    </w:p>
    <w:p>
      <w:pPr>
        <w:pStyle w:val="APARef"/>
      </w:pPr>
      <w:r>
        <w:t xml:space="preserve">Kulasekararaj, A. G., Cavenagh, J., Dokal, I., et al. (2024). Guidelines for the diagnosis and management of adult aplastic anaemia: A British Society for Haematology guideline. British Journal of Haematology, 204(3), 784–804. https://doi.org/10.1111/bjh.19236</w:t>
      </w:r>
    </w:p>
    <w:p>
      <w:pPr>
        <w:pStyle w:val="APARef"/>
      </w:pPr>
      <w:r>
        <w:t xml:space="preserve">National Heart, Lung, and Blood Institute. (2014). Evidence-based management of sickle cell disease: Expert panel report, 2014. U.S. Department of Health and Human Services. https://www.nhlbi.nih.gov/health-topics/evidence-based-management-sickle-cell-disease</w:t>
      </w:r>
    </w:p>
    <w:p>
      <w:pPr>
        <w:pStyle w:val="APARef"/>
      </w:pPr>
      <w:r>
        <w:t xml:space="preserve">Mithoowani, S., Laureano, M., Crowther, M. A., &amp; Hillis, C. M. (2020). Investigation and management of erythrocytosis. CMAJ, 192(32), E913–E918. https://doi.org/10.1503/cmaj.191587</w:t>
      </w:r>
    </w:p>
    <w:p>
      <w:pPr>
        <w:pStyle w:val="Heading3"/>
      </w:pPr>
      <w:r>
        <w:t xml:space="preserve">Hemostasia y trombosis</w:t>
      </w:r>
    </w:p>
    <w:p>
      <w:pPr>
        <w:pStyle w:val="APARef"/>
      </w:pPr>
      <w:r>
        <w:t xml:space="preserve">Middeldorp, S., Nieuwlaat, R., Baumann Kreuziger, L., et al. (2023). American Society of Hematology 2023 guidelines for management of venous thromboembolism: Thrombophilia testing. Blood Advances, 7(22), 7101–7138. https://doi.org/10.1182/bloodadvances.2023010177</w:t>
      </w:r>
    </w:p>
    <w:p>
      <w:pPr>
        <w:pStyle w:val="APARef"/>
      </w:pPr>
      <w:r>
        <w:t xml:space="preserve">Neunert, C., Terrell, D. R., Arnold, D. M., et al. (2019). American Society of Hematology 2019 guidelines for immune thrombocytopenia. Blood Advances, 3(23), 3829–3866. https://doi.org/10.1182/bloodadvances.2019000966</w:t>
      </w:r>
    </w:p>
    <w:p>
      <w:pPr>
        <w:pStyle w:val="APARef"/>
      </w:pPr>
      <w:r>
        <w:t xml:space="preserve">Zheng, X. L., Al-Housni, Z., Cataland, S. R., et al. (2025). 2025 focused update of the 2020 ISTH guidelines for management of thrombotic thrombocytopenic purpura. Journal of Thrombosis and Haemostasis, 23(11). https://doi.org/10.1016/j.jtha.2025.06.002</w:t>
      </w:r>
    </w:p>
    <w:p>
      <w:pPr>
        <w:pStyle w:val="APARef"/>
      </w:pPr>
      <w:r>
        <w:t xml:space="preserve">Schafer, A. I. (2004). Thrombocytosis. New England Journal of Medicine, 350(12), 1211–1219. https://doi.org/10.1056/NEJMra035363</w:t>
      </w:r>
    </w:p>
    <w:p>
      <w:pPr>
        <w:pStyle w:val="APARef"/>
      </w:pPr>
      <w:r>
        <w:t xml:space="preserve">Carson, J. L., Stanworth, S. J., Guyatt, G., et al. (2023). Red blood cell transfusion: 2023 AABB international guidelines. JAMA, 330(19), 1892–1902.</w:t>
      </w:r>
    </w:p>
    <w:p>
      <w:pPr>
        <w:pStyle w:val="APARef"/>
      </w:pPr>
      <w:r>
        <w:t xml:space="preserve">Iba, T., Levy, J. H., Maier, C. L., et al. (2025). Updated definition and scoring of disseminated intravascular coagulation in 2025: Communication from the ISTH SSC Subcommittee on Disseminated Intravascular Coagulation. Journal of Thrombosis and Haemostasis, 23(7), 2356–2362. https://doi.org/10.1016/j.jtha.2025.03.038</w:t>
      </w:r>
    </w:p>
    <w:p>
      <w:pPr>
        <w:pStyle w:val="Heading3"/>
      </w:pPr>
      <w:r>
        <w:t xml:space="preserve">Neoplasias hematológicas</w:t>
      </w:r>
    </w:p>
    <w:p>
      <w:pPr>
        <w:pStyle w:val="APARef"/>
      </w:pPr>
      <w:r>
        <w:t xml:space="preserve">National Comprehensive Cancer Network. (2026). NCCN clinical practice guidelines in oncology: Myelodysplastic syndromes (Version 3.2026).</w:t>
      </w:r>
    </w:p>
    <w:p>
      <w:pPr>
        <w:pStyle w:val="APARef"/>
      </w:pPr>
      <w:r>
        <w:t xml:space="preserve">National Comprehensive Cancer Network. (2026). NCCN clinical practice guidelines in oncology: Myeloproliferative neoplasms (Version 2.2026).</w:t>
      </w:r>
    </w:p>
    <w:p>
      <w:pPr>
        <w:pStyle w:val="APARef"/>
      </w:pPr>
      <w:r>
        <w:t xml:space="preserve">National Comprehensive Cancer Network. (2026). NCCN clinical practice guidelines in oncology: Acute myeloid leukemia (Version 5.2026).</w:t>
      </w:r>
    </w:p>
    <w:p>
      <w:pPr>
        <w:pStyle w:val="APARef"/>
      </w:pPr>
      <w:r>
        <w:t xml:space="preserve">National Comprehensive Cancer Network. (2026). NCCN clinical practice guidelines in oncology: Chronic lymphocytic leukemia/small lymphocytic lymphoma (Version 2.2026).</w:t>
      </w:r>
    </w:p>
    <w:p>
      <w:pPr>
        <w:pStyle w:val="APARef"/>
      </w:pPr>
      <w:r>
        <w:t xml:space="preserve">National Comprehensive Cancer Network. (2026). NCCN clinical practice guidelines in oncology: B-cell lymphomas (Version 4.2026) and Hodgkin lymphoma.</w:t>
      </w:r>
    </w:p>
    <w:p>
      <w:pPr>
        <w:pStyle w:val="APARef"/>
      </w:pPr>
      <w:r>
        <w:t xml:space="preserve">Rajkumar, S. V., Dimopoulos, M. A., Palumbo, A., et al. (2014). International Myeloma Working Group updated criteria for the diagnosis of multiple myeloma. Lancet Oncology, 15(12), e538–e548.</w:t>
      </w:r>
    </w:p>
    <w:p>
      <w:pPr>
        <w:pStyle w:val="APARef"/>
      </w:pPr>
      <w:r>
        <w:t xml:space="preserve">Rajkumar, S. V. (2024). Multiple myeloma: 2024 update on diagnosis, risk-stratification, and management. American Journal of Hematology, 99(9), 1802–1824. https://doi.org/10.1002/ajh.27422</w:t>
      </w:r>
    </w:p>
    <w:p>
      <w:pPr>
        <w:pStyle w:val="Heading3"/>
      </w:pPr>
      <w:r>
        <w:t xml:space="preserve">Oncología general</w:t>
      </w:r>
    </w:p>
    <w:p>
      <w:pPr>
        <w:pStyle w:val="APARef"/>
      </w:pPr>
      <w:r>
        <w:t xml:space="preserve">Perissinotti, A. J., Bishop, M. R., Bubalo, J., et al. (2023). Expert consensus guidelines for the prophylaxis and management of tumor lysis syndrome in the United States: Results of a modified Delphi panel. Cancer Treatment Reviews, 120, 102603.</w:t>
      </w:r>
    </w:p>
    <w:p>
      <w:pPr>
        <w:pStyle w:val="APARef"/>
      </w:pPr>
      <w:r>
        <w:t xml:space="preserve">National Institute for Health and Care Excellence. (2023). Spinal metastases and metastatic spinal cord compression (NICE guideline NG234).</w:t>
      </w:r>
    </w:p>
    <w:p>
      <w:pPr>
        <w:pStyle w:val="APARef"/>
      </w:pPr>
      <w:r>
        <w:t xml:space="preserve">Freifeld, A. G., Bow, E. J., Sepkowitz, K. A., et al. (2011). Clinical practice guideline for the use of antimicrobial agents in neutropenic patients with cancer: 2010 update by the Infectious Diseases Society of America. Clinical Infectious Diseases, 52(4), e56–e93.</w:t>
      </w:r>
    </w:p>
    <w:p>
      <w:pPr>
        <w:pStyle w:val="APARef"/>
      </w:pPr>
      <w:r>
        <w:t xml:space="preserve">Sanders, J. J., Temin, S., Ghoshal, A., et al. (2024). Palliative care for patients with cancer: ASCO guideline update. Journal of Clinical Oncology, 42(19), 2336–2357.</w:t>
      </w:r>
    </w:p>
    <w:p>
      <w:pPr>
        <w:pStyle w:val="Heading2"/>
      </w:pPr>
      <w:r>
        <w:t xml:space="preserve">VII. Enfermedades Infecciosas</w:t>
      </w:r>
    </w:p>
    <w:p>
      <w:pPr>
        <w:pStyle w:val="Heading3"/>
      </w:pPr>
      <w:r>
        <w:t xml:space="preserve">Infecciones frecuentes por sistema</w:t>
      </w:r>
    </w:p>
    <w:p>
      <w:pPr>
        <w:pStyle w:val="APARef"/>
      </w:pPr>
      <w:r>
        <w:t xml:space="preserve">Gupta, K., Hooton, T. M., Naber, K. G., et al. (2011). International clinical practice guidelines for the treatment of acute uncomplicated cystitis and pyelonephritis in women: A 2010 update by the Infectious Diseases Society of America and the European Society for Microbiology and Infectious Diseases. Clinical Infectious Diseases, 52(5), e103–e120.</w:t>
      </w:r>
    </w:p>
    <w:p>
      <w:pPr>
        <w:pStyle w:val="APARef"/>
      </w:pPr>
      <w:r>
        <w:t xml:space="preserve">Stevens, D. L., Bisno, A. L., Chambers, H. F., et al. (2014). Practice guidelines for the diagnosis and management of skin and soft tissue infections: 2014 update by the Infectious Diseases Society of America. Clinical Infectious Diseases, 59(2), e10–e52.</w:t>
      </w:r>
    </w:p>
    <w:p>
      <w:pPr>
        <w:pStyle w:val="APARef"/>
      </w:pPr>
      <w:r>
        <w:t xml:space="preserve">Berbari, E. F., Kanj, S. S., Kowalski, T. J., et al. (2015). 2015 Infectious Diseases Society of America (IDSA) clinical practice guidelines for the diagnosis and treatment of native vertebral osteomyelitis in adults. Clinical Infectious Diseases, 61(6), e26–e46.</w:t>
      </w:r>
    </w:p>
    <w:p>
      <w:pPr>
        <w:pStyle w:val="APARef"/>
      </w:pPr>
      <w:r>
        <w:t xml:space="preserve">Delgado, V., Ajmone Marsan, N., de Waha, S., et al. (2023). 2023 ESC guidelines for the management of endocarditis. European Heart Journal, 44(39), 3948–4042.</w:t>
      </w:r>
    </w:p>
    <w:p>
      <w:pPr>
        <w:pStyle w:val="APARef"/>
      </w:pPr>
      <w:r>
        <w:t xml:space="preserve">Workowski, K. A., Bachmann, L. H., Chan, P. A., et al. (2021). Sexually transmitted infections treatment guidelines, 2021. MMWR Recommendations and Reports, 70(4), 1–187.</w:t>
      </w:r>
    </w:p>
    <w:p>
      <w:pPr>
        <w:pStyle w:val="APARef"/>
      </w:pPr>
      <w:r>
        <w:t xml:space="preserve">Cohen, J. I. (2013). Herpes zoster. New England Journal of Medicine, 369(3), 255–263. https://doi.org/10.1056/NEJMcp1302674</w:t>
      </w:r>
    </w:p>
    <w:p>
      <w:pPr>
        <w:pStyle w:val="APARef"/>
      </w:pPr>
      <w:r>
        <w:t xml:space="preserve">Luzuriaga, K., &amp; Sullivan, J. L. (2010). Infectious mononucleosis. New England Journal of Medicine, 362(21), 1993–2000. https://doi.org/10.1056/NEJMcp1001116</w:t>
      </w:r>
    </w:p>
    <w:p>
      <w:pPr>
        <w:pStyle w:val="APARef"/>
      </w:pPr>
      <w:r>
        <w:t xml:space="preserve">Leung, A. K. C., Lam, J. M., Leong, K. F., et al. (2020). Tinea corporis: An updated review. Drugs in Context, 9, 2020-5-6.</w:t>
      </w:r>
    </w:p>
    <w:p>
      <w:pPr>
        <w:pStyle w:val="Heading3"/>
      </w:pPr>
      <w:r>
        <w:t xml:space="preserve">Huésped inmunocomprometido</w:t>
      </w:r>
    </w:p>
    <w:p>
      <w:pPr>
        <w:pStyle w:val="APARef"/>
      </w:pPr>
      <w:r>
        <w:t xml:space="preserve">Panel on Antiretroviral Guidelines for Adults and Adolescents. (2026). Guidelines for the use of antiretroviral agents in adults and adolescents with HIV. Department of Health and Human Services.</w:t>
      </w:r>
    </w:p>
    <w:p>
      <w:pPr>
        <w:pStyle w:val="APARef"/>
      </w:pPr>
      <w:r>
        <w:t xml:space="preserve">Panel on Opportunistic Infections in Adults and Adolescents with HIV. (2024). Guidelines for the prevention and treatment of opportunistic infections in adults and adolescents with HIV. National Institutes of Health, HIV Medicine Association, Infectious Diseases Society of America.</w:t>
      </w:r>
    </w:p>
    <w:p>
      <w:pPr>
        <w:pStyle w:val="APARef"/>
      </w:pPr>
      <w:r>
        <w:t xml:space="preserve">Tomblyn, M., Chiller, T., Einsele, H., et al. (2009). Guidelines for preventing infectious complications among hematopoietic cell transplantation recipients: A global perspective. Biology of Blood and Marrow Transplantation, 15(10), 1143–1238.</w:t>
      </w:r>
    </w:p>
    <w:p>
      <w:pPr>
        <w:pStyle w:val="Heading3"/>
      </w:pPr>
      <w:r>
        <w:t xml:space="preserve">Principios generales</w:t>
      </w:r>
    </w:p>
    <w:p>
      <w:pPr>
        <w:pStyle w:val="APARef"/>
      </w:pPr>
      <w:r>
        <w:t xml:space="preserve">Tamma, P. D., Heil, E. L., Justo, J. A., Mathers, A. J., Satlin, M. J., &amp; Bonomo, R. A. (2024). Infectious Diseases Society of America 2024 guidance on the treatment of antimicrobial-resistant gram-negative infections. Clinical Infectious Diseases. Advance online publication. https://doi.org/10.1093/cid/ciae403</w:t>
      </w:r>
    </w:p>
    <w:p>
      <w:pPr>
        <w:pStyle w:val="APARef"/>
      </w:pPr>
      <w:r>
        <w:t xml:space="preserve">World Health Organization. (2026). Global action plan on antimicrobial resistance 2026–2036.</w:t>
      </w:r>
    </w:p>
    <w:p>
      <w:pPr>
        <w:pStyle w:val="APARef"/>
      </w:pPr>
      <w:r>
        <w:t xml:space="preserve">Centers for Disease Control and Prevention, Advisory Committee on Immunization Practices. (2025). Recommended adult immunization schedule for ages 19 years or older, United States, 2025 [Revised July 2, 2025; amended April 2026].</w:t>
      </w:r>
    </w:p>
    <w:p>
      <w:pPr>
        <w:pStyle w:val="Heading3"/>
      </w:pPr>
      <w:r>
        <w:t xml:space="preserve">Infecciones tropicales, zoonosis y parasitosis</w:t>
      </w:r>
    </w:p>
    <w:p>
      <w:pPr>
        <w:pStyle w:val="APARef"/>
      </w:pPr>
      <w:r>
        <w:t xml:space="preserve">World Health Organization. (2025). WHO guidelines for the clinical management of arboviral diseases: Dengue, chikungunya, Zika and yellow fever.</w:t>
      </w:r>
    </w:p>
    <w:p>
      <w:pPr>
        <w:pStyle w:val="APARef"/>
      </w:pPr>
      <w:r>
        <w:t xml:space="preserve">World Health Organization. (2024). WHO guidelines for malaria.</w:t>
      </w:r>
    </w:p>
    <w:p>
      <w:pPr>
        <w:pStyle w:val="APARef"/>
      </w:pPr>
      <w:r>
        <w:t xml:space="preserve">Pan American Health Organization. (2022). Guideline for the treatment of leishmaniasis in the Americas (2nd ed.).</w:t>
      </w:r>
    </w:p>
    <w:p>
      <w:pPr>
        <w:pStyle w:val="APARef"/>
      </w:pPr>
      <w:r>
        <w:t xml:space="preserve">Meiring, J. E., Khanam, F., Basnyat, B., et al. (2023). Typhoid fever. Nature Reviews Disease Primers, 9, 71. https://doi.org/10.1038/s41572-023-00480-z</w:t>
      </w:r>
    </w:p>
    <w:p>
      <w:pPr>
        <w:pStyle w:val="APARef"/>
      </w:pPr>
      <w:r>
        <w:t xml:space="preserve">World Health Organization. (2017). Guideline: Preventive chemotherapy to control soil-transmitted helminth infections in at-risk population groups.</w:t>
      </w:r>
    </w:p>
    <w:p>
      <w:pPr>
        <w:pStyle w:val="APARef"/>
      </w:pPr>
      <w:r>
        <w:t xml:space="preserve">Arnold, S. R., Spec, A., Baddley, J. W., et al. (2025). 2025 clinical practice guideline update by the Infectious Diseases Society of America on histoplasmosis: Treatment of asymptomatic Histoplasma pulmonary nodules (histoplasmomas) and mild or moderate acute pulmonary histoplasmosis in adults, children, and pregnant people. Clinical Infectious Diseases, 81(Suppl 3), i27–i32.</w:t>
      </w:r>
    </w:p>
    <w:p>
      <w:pPr>
        <w:pStyle w:val="APARef"/>
      </w:pPr>
      <w:r>
        <w:t xml:space="preserve">Galgiani, J. N., Ampel, N. M., Blair, J. E., et al. (2016). 2016 Infectious Diseases Society of America (IDSA) clinical practice guideline for the treatment of coccidioidomycosis. Clinical Infectious Diseases, 63(6), e112–e146.</w:t>
      </w:r>
    </w:p>
    <w:p>
      <w:pPr>
        <w:pStyle w:val="APARef"/>
      </w:pPr>
      <w:r>
        <w:t xml:space="preserve">Qureshi, K. A., Parvez, A., Fahmy, N. A., et al. (2024). Brucellosis: Epidemiology, pathogenesis, diagnosis and treatment—a comprehensive review. Annals of Medicine, 55(2), 2295398. https://doi.org/10.1080/07853890.2023.2295398</w:t>
      </w:r>
    </w:p>
    <w:p>
      <w:pPr>
        <w:pStyle w:val="APARef"/>
      </w:pPr>
      <w:r>
        <w:t xml:space="preserve">Lee, N., Tanaka, T., Koizumi, N., et al. (2026). Leptospirosis: Clinical review and updates on therapeutics. The Lancet Infectious Diseases. Advance online publication.</w:t>
      </w:r>
    </w:p>
    <w:p>
      <w:pPr>
        <w:pStyle w:val="APARef"/>
      </w:pPr>
      <w:r>
        <w:t xml:space="preserve">Sudarshan, R., Sayo, A. R., Renner, D. R., et al. (2025). Tetanus: Recognition and management. The Lancet Infectious Diseases, 25(11), e645–e657.</w:t>
      </w:r>
    </w:p>
    <w:p>
      <w:pPr>
        <w:pStyle w:val="APARef"/>
      </w:pPr>
      <w:r>
        <w:t xml:space="preserve">Haque, R., Huston, C. D., Hughes, M., Houpt, E., &amp; Petri, W. A., Jr. (2003). Amebiasis. New England Journal of Medicine, 348(16), 1565–1573. https://doi.org/10.1056/NEJMra022710</w:t>
      </w:r>
    </w:p>
    <w:p>
      <w:pPr>
        <w:pStyle w:val="APARef"/>
      </w:pPr>
      <w:r>
        <w:t xml:space="preserve">White, A. C., Jr., Coyle, C. M., Rajshekhar, V., et al. (2018). Diagnosis and treatment of neurocysticercosis: 2017 clinical practice guidelines by the Infectious Diseases Society of America (IDSA) and the American Society of Tropical Medicine and Hygiene (ASTMH). Clinical Infectious Diseases, 66(8), e49–e75. https://doi.org/10.1093/cid/cix1084</w:t>
      </w:r>
    </w:p>
    <w:p>
      <w:pPr>
        <w:pStyle w:val="APARef"/>
      </w:pPr>
      <w:r>
        <w:t xml:space="preserve">Mitic, I., Vasilev, S., &amp; Gruden-Movsesijan, A. (2026). Trichinellosis: A zoonosis that still requires vigilance. PLOS Neglected Tropical Diseases, 20(1), e0013944. https://doi.org/10.1371/journal.pntd.0013944</w:t>
      </w:r>
    </w:p>
    <w:p>
      <w:pPr>
        <w:pStyle w:val="APARef"/>
      </w:pPr>
      <w:r>
        <w:t xml:space="preserve">Williams, P. C. M., &amp; Berkley, J. A. (2018). Guidelines for the treatment of dysentery (shigellosis): A systematic review of the evidence. Paediatrics and International Child Health, 38(S1), S50–S65. https://doi.org/10.1080/20469047.2017.1409454</w:t>
      </w:r>
    </w:p>
    <w:p>
      <w:pPr>
        <w:pStyle w:val="APARef"/>
      </w:pPr>
      <w:r>
        <w:t xml:space="preserve">Daher, D., Shaghlil, A., Sobh, E., et al. (2021). Comprehensive overview of Toxoplasma gondii-induced and associated diseases. Pathogens, 10(11), 1351. https://doi.org/10.3390/pathogens10111351</w:t>
      </w:r>
    </w:p>
    <w:p>
      <w:pPr>
        <w:pStyle w:val="APARef"/>
      </w:pPr>
      <w:r>
        <w:t xml:space="preserve">World Health Organization. (2018). Guidelines for the diagnosis, treatment and prevention of leprosy. WHO Regional Office for South-East Asia.</w:t>
      </w:r>
    </w:p>
    <w:p>
      <w:pPr>
        <w:pStyle w:val="APARef"/>
      </w:pPr>
      <w:r>
        <w:t xml:space="preserve">Pappas, P. G., Kauffman, C. A., Andes, D. R., et al. (2016). Clinical practice guideline for the management of candidiasis: 2016 update by the Infectious Diseases Society of America. Clinical Infectious Diseases, 62(4), e1–e50. https://doi.org/10.1093/cid/civ933</w:t>
      </w:r>
    </w:p>
    <w:p>
      <w:pPr>
        <w:pStyle w:val="APARef"/>
      </w:pPr>
      <w:r>
        <w:t xml:space="preserve">Griffiths, P., &amp; Reeves, M. (2021). Pathogenesis of human cytomegalovirus in the immunocompromised host. Nature Reviews Microbiology, 19(12), 759–773. https://doi.org/10.1038/s41579-021-00582-z</w:t>
      </w:r>
    </w:p>
    <w:p>
      <w:pPr>
        <w:pStyle w:val="Heading2"/>
      </w:pPr>
      <w:r>
        <w:t xml:space="preserve">VIII. Reumatología e Inmunología Clínica</w:t>
      </w:r>
    </w:p>
    <w:p>
      <w:pPr>
        <w:pStyle w:val="Heading3"/>
      </w:pPr>
      <w:r>
        <w:t xml:space="preserve">Artropatías inflamatorias</w:t>
      </w:r>
    </w:p>
    <w:p>
      <w:pPr>
        <w:pStyle w:val="APARef"/>
      </w:pPr>
      <w:r>
        <w:t xml:space="preserve">Fraenkel, L., Bathon, J. M., England, B. R., et al. (2021). 2021 American College of Rheumatology guideline for the treatment of rheumatoid arthritis. Arthritis Care &amp; Research, 73(7), 924–939. https://doi.org/10.1002/acr.24596</w:t>
      </w:r>
    </w:p>
    <w:p>
      <w:pPr>
        <w:pStyle w:val="APARef"/>
      </w:pPr>
      <w:r>
        <w:t xml:space="preserve">Smolen, J. S., Landewé, R. B. M., Bergstra, S. A., et al. (2023). EULAR recommendations for the management of rheumatoid arthritis with synthetic and biological disease-modifying antirheumatic drugs: 2022 update. Annals of the Rheumatic Diseases, 82(1), 3–18.</w:t>
      </w:r>
    </w:p>
    <w:p>
      <w:pPr>
        <w:pStyle w:val="APARef"/>
      </w:pPr>
      <w:r>
        <w:t xml:space="preserve">Ramiro, S., Nikiphorou, E., Sepriano, A., et al. (2023). ASAS-EULAR recommendations for the management of axial spondyloarthritis: 2022 update. Annals of the Rheumatic Diseases, 82(1), 19–34. https://doi.org/10.1136/ard-2022-223296</w:t>
      </w:r>
    </w:p>
    <w:p>
      <w:pPr>
        <w:pStyle w:val="APARef"/>
      </w:pPr>
      <w:r>
        <w:t xml:space="preserve">FitzGerald, J. D., Dalbeth, N., Mikuls, T., et al. (2020). 2020 American College of Rheumatology guideline for the management of gout. Arthritis Care &amp; Research, 72(6), 744–760.</w:t>
      </w:r>
    </w:p>
    <w:p>
      <w:pPr>
        <w:pStyle w:val="APARef"/>
      </w:pPr>
      <w:r>
        <w:t xml:space="preserve">Bannuru, R. R., Osani, M. C., Vaysbrot, E. E., et al. (2019). OARSI guidelines for the non-surgical management of knee, hip, and polyarticular osteoarthritis. Osteoarthritis and Cartilage, 27(11), 1578–1589.</w:t>
      </w:r>
    </w:p>
    <w:p>
      <w:pPr>
        <w:pStyle w:val="APARef"/>
      </w:pPr>
      <w:r>
        <w:t xml:space="preserve">European Bone and Joint Infection Society (EBJIS). (2023). Guideline for management of septic arthritis in native joints (SANJO). Journal of Bone and Joint Infection, 8(1), 29–37.</w:t>
      </w:r>
    </w:p>
    <w:p>
      <w:pPr>
        <w:pStyle w:val="Heading3"/>
      </w:pPr>
      <w:r>
        <w:t xml:space="preserve">Enfermedades autoinmunes sistémicas</w:t>
      </w:r>
    </w:p>
    <w:p>
      <w:pPr>
        <w:pStyle w:val="APARef"/>
      </w:pPr>
      <w:r>
        <w:t xml:space="preserve">Fanouriakis, A., Kostopoulou, M., Andersen, J., et al. (2024). EULAR recommendations for the management of systemic lupus erythematosus: 2023 update. Annals of the Rheumatic Diseases, 83(1), 15–29.</w:t>
      </w:r>
    </w:p>
    <w:p>
      <w:pPr>
        <w:pStyle w:val="APARef"/>
      </w:pPr>
      <w:r>
        <w:t xml:space="preserve">Del Galdo, F., Hoffmann-Vold, A. M., et al. (2025). EULAR recommendations for the treatment of systemic sclerosis: 2023 update. Annals of the Rheumatic Diseases, 84(1), 29–40.</w:t>
      </w:r>
    </w:p>
    <w:p>
      <w:pPr>
        <w:pStyle w:val="APARef"/>
      </w:pPr>
      <w:r>
        <w:t xml:space="preserve">Chung, S. A., Langford, C. A., Maz, M., et al. (2021). 2021 American College of Rheumatology/Vasculitis Foundation guideline for the management of antineutrophil cytoplasmic antibody-associated vasculitis. Arthritis Care &amp; Research, 73(8), 1088–1105.</w:t>
      </w:r>
    </w:p>
    <w:p>
      <w:pPr>
        <w:pStyle w:val="APARef"/>
      </w:pPr>
      <w:r>
        <w:t xml:space="preserve">Maz, M., Chung, S. A., Abril, A., et al. (2021). 2021 American College of Rheumatology/Vasculitis Foundation guideline for the management of giant cell arteritis and Takayasu arteritis. Arthritis Care &amp; Research, 73(8), 1349–1365.</w:t>
      </w:r>
    </w:p>
    <w:p>
      <w:pPr>
        <w:pStyle w:val="APARef"/>
      </w:pPr>
      <w:r>
        <w:t xml:space="preserve">Tektonidou, M. G., Andreoli, L., Limper, M., et al. (2019). EULAR recommendations for the management of antiphospholipid syndrome in adults. Annals of the Rheumatic Diseases, 78(10), 1296–1304.</w:t>
      </w:r>
    </w:p>
    <w:p>
      <w:pPr>
        <w:pStyle w:val="APARef"/>
      </w:pPr>
      <w:r>
        <w:t xml:space="preserve">Ramos-Casals, M., Brito-Zerón, P., Bombardieri, S., et al. (2020). EULAR recommendations for the management of Sjögren's syndrome with topical and systemic therapies. Annals of the Rheumatic Diseases, 79(1), 3–18.</w:t>
      </w:r>
    </w:p>
    <w:p>
      <w:pPr>
        <w:pStyle w:val="APARef"/>
      </w:pPr>
      <w:r>
        <w:t xml:space="preserve">Lundberg, I. E., Tjärnlund, A., Bottai, M., et al. (2017). 2017 European League Against Rheumatism/American College of Rheumatology classification criteria for adult and juvenile idiopathic inflammatory myopathies and their major subgroups. Arthritis &amp; Rheumatology, 69(12), 2271–2282. https://doi.org/10.1002/art.40320</w:t>
      </w:r>
    </w:p>
    <w:p>
      <w:pPr>
        <w:pStyle w:val="APARef"/>
      </w:pPr>
      <w:r>
        <w:t xml:space="preserve">Wigley, F. M., &amp; Flavahan, N. A. (2016). Raynaud's phenomenon. New England Journal of Medicine, 375(6), 556–565. https://doi.org/10.1056/NEJMra1507638</w:t>
      </w:r>
    </w:p>
    <w:p>
      <w:pPr>
        <w:pStyle w:val="Heading3"/>
      </w:pPr>
      <w:r>
        <w:t xml:space="preserve">Reumatismos de partes blandas y síndromes regionales</w:t>
      </w:r>
    </w:p>
    <w:p>
      <w:pPr>
        <w:pStyle w:val="APARef"/>
      </w:pPr>
      <w:r>
        <w:t xml:space="preserve">Qaseem, A., Wilt, T. J., McLean, R. M., &amp; Forciea, M. A. (2017). Noninvasive treatments for acute, subacute, and chronic low back pain: A clinical practice guideline from the American College of Physicians. Annals of Internal Medicine, 166(7), 514–530. https://doi.org/10.7326/M16-2367</w:t>
      </w:r>
    </w:p>
    <w:p>
      <w:pPr>
        <w:pStyle w:val="APARef"/>
      </w:pPr>
      <w:r>
        <w:t xml:space="preserve">Katz, J. N., Zimmerman, Z. E., Mass, H., &amp; Makhni, M. C. (2022). Diagnosis and management of lumbar spinal stenosis: A review. JAMA, 327(17), 1688–1699. https://doi.org/10.1001/jama.2022.5921</w:t>
      </w:r>
    </w:p>
    <w:p>
      <w:pPr>
        <w:pStyle w:val="APARef"/>
      </w:pPr>
      <w:r>
        <w:t xml:space="preserve">Macfarlane, G. J., Kronisch, C., Dean, L. E., et al. (2017). EULAR revised recommendations for the management of fibromyalgia. Annals of the Rheumatic Diseases, 76(2), 318–328. https://doi.org/10.1136/annrheumdis-2016-209724</w:t>
      </w:r>
    </w:p>
    <w:p>
      <w:pPr>
        <w:pStyle w:val="Heading3"/>
      </w:pPr>
      <w:r>
        <w:t xml:space="preserve">Enfoque diagnóstico</w:t>
      </w:r>
    </w:p>
    <w:p>
      <w:pPr>
        <w:pStyle w:val="APARef"/>
      </w:pPr>
      <w:r>
        <w:t xml:space="preserve">Haidar, G., &amp; Singh, N. (2022). Fever of unknown origin. New England Journal of Medicine, 386(5), 463–477. https://doi.org/10.1056/NEJMra2111003</w:t>
      </w:r>
    </w:p>
    <w:p>
      <w:pPr>
        <w:pStyle w:val="Heading2"/>
      </w:pPr>
      <w:r>
        <w:t xml:space="preserve">IX. Neurología</w:t>
      </w:r>
    </w:p>
    <w:p>
      <w:pPr>
        <w:pStyle w:val="Heading3"/>
      </w:pPr>
      <w:r>
        <w:t xml:space="preserve">Enfermedad cerebrovascular</w:t>
      </w:r>
    </w:p>
    <w:p>
      <w:pPr>
        <w:pStyle w:val="APARef"/>
      </w:pPr>
      <w:r>
        <w:t xml:space="preserve">Powers, W. J., Rabinstein, A. A., Ackerson, T., et al. (2019). Guidelines for the early management of patients with acute ischemic stroke: 2019 update to the 2018 guidelines. Stroke, 50(12), e344–e418.</w:t>
      </w:r>
    </w:p>
    <w:p>
      <w:pPr>
        <w:pStyle w:val="APARef"/>
      </w:pPr>
      <w:r>
        <w:t xml:space="preserve">Greenberg, S. M., Ziai, W. C., Cordonnier, C., et al. (2022). 2022 guideline for the management of patients with spontaneous intracerebral hemorrhage. Stroke, 53(7), e282–e361.</w:t>
      </w:r>
    </w:p>
    <w:p>
      <w:pPr>
        <w:pStyle w:val="APARef"/>
      </w:pPr>
      <w:r>
        <w:t xml:space="preserve">Hoh, B. L., Ko, N. U., Amin-Hanjani, S., et al. (2023). 2023 guideline for the management of patients with aneurysmal subarachnoid hemorrhage. Stroke, 54(7), e314–e370.</w:t>
      </w:r>
    </w:p>
    <w:p>
      <w:pPr>
        <w:pStyle w:val="APARef"/>
      </w:pPr>
      <w:r>
        <w:t xml:space="preserve">National Comprehensive Cancer Network. (2026). NCCN clinical practice guidelines in oncology: Central nervous system cancers (Version 2.2026).</w:t>
      </w:r>
    </w:p>
    <w:p>
      <w:pPr>
        <w:pStyle w:val="APARef"/>
      </w:pPr>
      <w:r>
        <w:t xml:space="preserve">Cook, A. M., Morgan Jones, G., Hawryluk, G. W. J., et al. (2020). Guidelines for the acute treatment of cerebral edema in neurocritical care patients. Neurocritical Care, 32(3), 647–666.</w:t>
      </w:r>
    </w:p>
    <w:p>
      <w:pPr>
        <w:pStyle w:val="APARef"/>
      </w:pPr>
      <w:r>
        <w:t xml:space="preserve">Carney, N., Totten, A. M., O'Reilly, C., et al. (2017). Guidelines for the management of severe traumatic brain injury, 4th edition. Neurosurgery, 80(1), 6–15.</w:t>
      </w:r>
    </w:p>
    <w:p>
      <w:pPr>
        <w:pStyle w:val="APARef"/>
      </w:pPr>
      <w:r>
        <w:t xml:space="preserve">Tarnutzer, A. A., Kerkeni, H., Diener, S., et al. (2025). Diagnosis and treatment of vertigo and dizziness: Interdisciplinary guidance paper for clinical practice. HNO, 73(Suppl 3), S357–S369. https://doi.org/10.1007/s00106-025-01599-z</w:t>
      </w:r>
    </w:p>
    <w:p>
      <w:pPr>
        <w:pStyle w:val="Heading3"/>
      </w:pPr>
      <w:r>
        <w:t xml:space="preserve">Trastornos paroxísticos y del movimiento</w:t>
      </w:r>
    </w:p>
    <w:p>
      <w:pPr>
        <w:pStyle w:val="APARef"/>
      </w:pPr>
      <w:r>
        <w:t xml:space="preserve">Glauser, T., Shinnar, S., Gloss, D., et al. (2016). Evidence-based guideline: Treatment of convulsive status epilepticus in children and adults. Epilepsy Currents, 16(1), 48–61.</w:t>
      </w:r>
    </w:p>
    <w:p>
      <w:pPr>
        <w:pStyle w:val="APARef"/>
      </w:pPr>
      <w:r>
        <w:t xml:space="preserve">Ailani, J., Burch, R. C., &amp; Robbins, M. S. (2021). The American Headache Society consensus statement: Update on integrating new migraine treatments into clinical practice. Headache, 61(7), 1021–1039.</w:t>
      </w:r>
    </w:p>
    <w:p>
      <w:pPr>
        <w:pStyle w:val="APARef"/>
      </w:pPr>
      <w:r>
        <w:t xml:space="preserve">Pringsheim, T., Day, G. S., Smith, D. B., et al. (2021). Dopaminergic therapy for motor symptoms in early Parkinson disease practice guideline summary. Neurology, 97(20), 942–957.</w:t>
      </w:r>
    </w:p>
    <w:p>
      <w:pPr>
        <w:pStyle w:val="APARef"/>
      </w:pPr>
      <w:r>
        <w:t xml:space="preserve">Rae-Grant, A., Day, G. S., Marrie, R. A., et al. (2018). Practice guideline recommendations summary: Disease-modifying therapies for adults with multiple sclerosis. Neurology, 90(17), 777–788.</w:t>
      </w:r>
    </w:p>
    <w:p>
      <w:pPr>
        <w:pStyle w:val="Heading3"/>
      </w:pPr>
      <w:r>
        <w:t xml:space="preserve">Alteración de conciencia y enfermedad neuromuscular</w:t>
      </w:r>
    </w:p>
    <w:p>
      <w:pPr>
        <w:pStyle w:val="APARef"/>
      </w:pPr>
      <w:r>
        <w:t xml:space="preserve">Devlin, J. W., Skrobik, Y., Gélinas, C., et al. (2018). Clinical practice guidelines for the prevention and management of pain, agitation/sedation, withdrawal, and delirium in adult critically ill patients (PADIS). Critical Care Medicine, 46(9), e825–e873.</w:t>
      </w:r>
    </w:p>
    <w:p>
      <w:pPr>
        <w:pStyle w:val="APARef"/>
      </w:pPr>
      <w:r>
        <w:t xml:space="preserve">Wijdicks, E. F. M. (2022). Identifying encephalopathies from acute metabolic derangements. Journal of Internal Medicine, 292(6), 846–857. https://doi.org/10.1111/joim.13538</w:t>
      </w:r>
    </w:p>
    <w:p>
      <w:pPr>
        <w:pStyle w:val="APARef"/>
      </w:pPr>
      <w:r>
        <w:t xml:space="preserve">England, J. D., Gronseth, G. S., Franklin, G., et al. (2009). Practice parameter: Evaluation of distal symmetric polyneuropathy: Role of laboratory and genetic testing. Neurology, 72(2), 185–192.</w:t>
      </w:r>
    </w:p>
    <w:p>
      <w:pPr>
        <w:pStyle w:val="APARef"/>
      </w:pPr>
      <w:r>
        <w:t xml:space="preserve">van Doorn, P. A., Van den Bergh, P. Y. K., Hadden, R. D. M., et al. (2023). European Academy of Neurology/Peripheral Nerve Society guideline on diagnosis and treatment of Guillain-Barré syndrome. European Journal of Neurology, 30(12), 3646–3674.</w:t>
      </w:r>
    </w:p>
    <w:p>
      <w:pPr>
        <w:pStyle w:val="APARef"/>
      </w:pPr>
      <w:r>
        <w:t xml:space="preserve">Narayanaswami, P., Sanders, D. B., Wolfe, G., et al. (2021). International consensus guidance for management of myasthenia gravis: 2020 update. Neurology, 96(3), 114–122.</w:t>
      </w:r>
    </w:p>
    <w:p>
      <w:pPr>
        <w:pStyle w:val="APARef"/>
      </w:pPr>
      <w:r>
        <w:t xml:space="preserve">Van Damme, P., Andersen, P. M., Chio, A., et al. (2024). European Academy of Neurology (EAN) guideline on the management of amyotrophic lateral sclerosis. European Journal of Neurology, 31(6), e16264.</w:t>
      </w:r>
    </w:p>
    <w:p>
      <w:pPr>
        <w:pStyle w:val="APARef"/>
      </w:pPr>
      <w:r>
        <w:t xml:space="preserve">Tunkel, A. R., Hartman, B. J., Kaplan, S. L., et al. (2004). Practice guidelines for the management of bacterial meningitis. Clinical Infectious Diseases, 39(9), 1267–1284.</w:t>
      </w:r>
    </w:p>
    <w:p>
      <w:pPr>
        <w:pStyle w:val="APARef"/>
      </w:pPr>
      <w:r>
        <w:t xml:space="preserve">Tunkel, A. R., Glaser, C. A., Bloch, K. C., et al. (2008). The management of encephalitis: Clinical practice guidelines by the Infectious Diseases Society of America. Clinical Infectious Diseases, 47(3), 303–327.</w:t>
      </w:r>
    </w:p>
    <w:p>
      <w:pPr>
        <w:pStyle w:val="Heading2"/>
      </w:pPr>
      <w:r>
        <w:t xml:space="preserve">X. Geriatría</w:t>
      </w:r>
    </w:p>
    <w:p>
      <w:pPr>
        <w:pStyle w:val="Heading3"/>
      </w:pPr>
      <w:r>
        <w:t xml:space="preserve">Valoración y síndromes geriátricos</w:t>
      </w:r>
    </w:p>
    <w:p>
      <w:pPr>
        <w:pStyle w:val="APARef"/>
      </w:pPr>
      <w:r>
        <w:t xml:space="preserve">Kumlehn, B., Brefka, S., Kocar, T., Verri, F. M., Wirth, R., &amp; Denkinger, M. (2025). Clinical practice guideline: Comprehensive geriatric assessment in the hospital. Deutsches Ärzteblatt International, 122, 156–162.</w:t>
      </w:r>
    </w:p>
    <w:p>
      <w:pPr>
        <w:pStyle w:val="APARef"/>
      </w:pPr>
      <w:r>
        <w:t xml:space="preserve">López-Otín, C., Blasco, M. A., Partridge, L., Serrano, M., &amp; Kroemer, G. (2023). Hallmarks of aging: An expanding universe. Cell, 186(2), 243–278.</w:t>
      </w:r>
    </w:p>
    <w:p>
      <w:pPr>
        <w:pStyle w:val="APARef"/>
      </w:pPr>
      <w:r>
        <w:t xml:space="preserve">Montero-Odasso, M., van der Velde, N., Martin, F. C., et al. (2022). World guidelines for falls prevention and management for older adults: A global initiative. Age and Ageing, 51(9), afac205.</w:t>
      </w:r>
    </w:p>
    <w:p>
      <w:pPr>
        <w:pStyle w:val="APARef"/>
      </w:pPr>
      <w:r>
        <w:t xml:space="preserve">Cruz-Jentoft, A. J., Bahat, G., Bauer, J., et al. (2019). Sarcopenia: Revised European consensus on definition and diagnosis. Age and Ageing, 48(1), 16–31.</w:t>
      </w:r>
    </w:p>
    <w:p>
      <w:pPr>
        <w:pStyle w:val="APARef"/>
      </w:pPr>
      <w:r>
        <w:t xml:space="preserve">American Geriatrics Society 2023 Beers Criteria Update Expert Panel. (2023). American Geriatrics Society 2023 updated AGS Beers Criteria for potentially inappropriate medication use in older adults. Journal of the American Geriatrics Society, 71(7), 2052–2081.</w:t>
      </w:r>
    </w:p>
    <w:p>
      <w:pPr>
        <w:pStyle w:val="APARef"/>
      </w:pPr>
      <w:r>
        <w:t xml:space="preserve">Spangler, R., Van Pham, T., Khoujah, D., &amp; Martinez, J. P. (2014). Abdominal emergencies in the geriatric patient. International Journal of Emergency Medicine, 7, 43.</w:t>
      </w:r>
    </w:p>
    <w:p>
      <w:pPr>
        <w:pStyle w:val="Heading3"/>
      </w:pPr>
      <w:r>
        <w:t xml:space="preserve">Cognición</w:t>
      </w:r>
    </w:p>
    <w:p>
      <w:pPr>
        <w:pStyle w:val="APARef"/>
      </w:pPr>
      <w:r>
        <w:t xml:space="preserve">Marcantonio, E. R. (2017). Delirium in hospitalized older adults. New England Journal of Medicine, 377(15), 1456–1466.</w:t>
      </w:r>
    </w:p>
    <w:p>
      <w:pPr>
        <w:pStyle w:val="APARef"/>
      </w:pPr>
      <w:r>
        <w:t xml:space="preserve">National Institute for Health and Care Excellence. (2018). Dementia: Assessment, management and support for people living with dementia and their carers (NICE guideline NG97).</w:t>
      </w:r>
    </w:p>
    <w:p>
      <w:pPr>
        <w:pStyle w:val="APARef"/>
      </w:pPr>
      <w:r>
        <w:t xml:space="preserve">Jack, C. R., Jr., Andrews, J. S., Beach, T. G., et al. (2024). Revised criteria for diagnosis and staging of Alzheimer's disease: Alzheimer's Association Workgroup. Alzheimer's &amp; Dementia, 20(8), 5143–5169.</w:t>
      </w:r>
    </w:p>
    <w:p>
      <w:pPr>
        <w:pStyle w:val="APARef"/>
      </w:pPr>
      <w:r>
        <w:t xml:space="preserve">Taylor, W. D. (2014). Clinical practice: Depression in the elderly. New England Journal of Medicine, 371(13), 1228–1236.</w:t>
      </w:r>
    </w:p>
    <w:p>
      <w:pPr>
        <w:pStyle w:val="Heading2"/>
      </w:pPr>
      <w:r>
        <w:t xml:space="preserve">XI. Medicina Interna Ambulatoria y Preventiva</w:t>
      </w:r>
    </w:p>
    <w:p>
      <w:pPr>
        <w:pStyle w:val="Heading3"/>
      </w:pPr>
      <w:r>
        <w:t xml:space="preserve">Prevención y cribado</w:t>
      </w:r>
    </w:p>
    <w:p>
      <w:pPr>
        <w:pStyle w:val="APARef"/>
      </w:pPr>
      <w:r>
        <w:t xml:space="preserve">US Preventive Services Task Force. (2022). Statin use for the primary prevention of cardiovascular disease in adults: US Preventive Services Task Force recommendation statement. JAMA, 328(8), 746–753.</w:t>
      </w:r>
    </w:p>
    <w:p>
      <w:pPr>
        <w:pStyle w:val="APARef"/>
      </w:pPr>
      <w:r>
        <w:t xml:space="preserve">US Preventive Services Task Force. (2024). Screening for breast cancer: US Preventive Services Task Force recommendation statement. JAMA, 331(22), 1918–1930.</w:t>
      </w:r>
    </w:p>
    <w:p>
      <w:pPr>
        <w:pStyle w:val="APARef"/>
      </w:pPr>
      <w:r>
        <w:t xml:space="preserve">Centers for Disease Control and Prevention, Advisory Committee on Immunization Practices. (2025). Recommended adult immunization schedule for ages 19 years or older, United States, 2025 [Revised July 2, 2025; amended April 2026].</w:t>
      </w:r>
    </w:p>
    <w:p>
      <w:pPr>
        <w:pStyle w:val="Heading3"/>
      </w:pPr>
      <w:r>
        <w:t xml:space="preserve">Salud de la mujer y embarazo</w:t>
      </w:r>
    </w:p>
    <w:p>
      <w:pPr>
        <w:pStyle w:val="APARef"/>
      </w:pPr>
      <w:r>
        <w:t xml:space="preserve">The North American Menopause Society. (2022). The 2022 hormone therapy position statement of The North American Menopause Society. Menopause, 29(7), 767–794.</w:t>
      </w:r>
    </w:p>
    <w:p>
      <w:pPr>
        <w:pStyle w:val="APARef"/>
      </w:pPr>
      <w:r>
        <w:t xml:space="preserve">American College of Obstetricians and Gynecologists. (2020). Gestational hypertension and preeclampsia: ACOG Practice Bulletin No. 222. Obstetrics &amp; Gynecology, 135(6), e237–e260.</w:t>
      </w:r>
    </w:p>
    <w:p>
      <w:pPr>
        <w:pStyle w:val="APARef"/>
      </w:pPr>
      <w:r>
        <w:t xml:space="preserve">Regitz-Zagrosek, V., Roos-Hesselink, J. W., Bauersachs, J., et al. (2018). 2018 ESC guidelines for the management of cardiovascular diseases during pregnancy. European Heart Journal, 39(34), 3165–3241.</w:t>
      </w:r>
    </w:p>
    <w:p>
      <w:pPr>
        <w:pStyle w:val="APARef"/>
      </w:pPr>
      <w:r>
        <w:t xml:space="preserve">Martinez Quintero, B., Yazbeck, C., &amp; Sweeney, L. B. (2021). Thyroiditis: Evaluation and treatment. American Family Physician, 104(6), 609–617.</w:t>
      </w:r>
    </w:p>
    <w:p>
      <w:pPr>
        <w:pStyle w:val="APARef"/>
      </w:pPr>
      <w:r>
        <w:t xml:space="preserve">Ali, A., &amp; Lamont, R. F. (2019). Recent advances in the diagnosis and management of sepsis in pregnancy. F1000Research, 8, 1546.</w:t>
      </w:r>
    </w:p>
    <w:p>
      <w:pPr>
        <w:pStyle w:val="APARef"/>
      </w:pPr>
      <w:r>
        <w:t xml:space="preserve">Andreoli, L., Bertsias, G. K., Agmon-Levin, N., et al. (2017). EULAR recommendations for women's health and the management of family planning, assisted reproduction, pregnancy and menopause in patients with systemic lupus erythematosus and/or antiphospholipid syndrome. Annals of the Rheumatic Diseases, 76(3), 476–485.</w:t>
      </w:r>
    </w:p>
    <w:p>
      <w:pPr>
        <w:pStyle w:val="APARef"/>
      </w:pPr>
      <w:r>
        <w:t xml:space="preserve">MacDonald, S. C., Bateman, B. T., McElrath, T. F., &amp; Hernández-Díaz, S. (2015). Mortality and morbidity during delivery hospitalization among pregnant women with epilepsy in the United States. JAMA Neurology, 72(9), 981–988.</w:t>
      </w:r>
    </w:p>
    <w:p>
      <w:pPr>
        <w:pStyle w:val="Heading3"/>
      </w:pPr>
      <w:r>
        <w:t xml:space="preserve">Trastornos psiquiátricos frecuentes</w:t>
      </w:r>
    </w:p>
    <w:p>
      <w:pPr>
        <w:pStyle w:val="APARef"/>
      </w:pPr>
      <w:r>
        <w:t xml:space="preserve">US Preventive Services Task Force. (2023). Screening for depression and suicide risk in adults: US Preventive Services Task Force recommendation statement. JAMA, 329(23), 2057–2067.</w:t>
      </w:r>
    </w:p>
    <w:p>
      <w:pPr>
        <w:pStyle w:val="APARef"/>
      </w:pPr>
      <w:r>
        <w:t xml:space="preserve">Henningsen, P., Zipfel, S., Sattel, H., &amp; Creed, F. (2018). Management of functional somatic syndromes and bodily distress. Psychotherapy and Psychosomatics, 87(1), 12–31.</w:t>
      </w:r>
    </w:p>
    <w:p>
      <w:pPr>
        <w:pStyle w:val="APARef"/>
      </w:pPr>
      <w:r>
        <w:t xml:space="preserve">Crone, C., Fochtmann, L. J., Attia, E., et al. (2023). The American Psychiatric Association practice guideline for the treatment of patients with eating disorders. American Journal of Psychiatry, 180(2), 167–171.</w:t>
      </w:r>
    </w:p>
    <w:p>
      <w:pPr>
        <w:pStyle w:val="APARef"/>
      </w:pPr>
      <w:r>
        <w:t xml:space="preserve">Edinger, J. D., Arnedt, J. T., Bertisch, S. M., et al. (2021). Behavioral and psychological treatments for chronic insomnia disorder in adults: An American Academy of Sleep Medicine clinical practice guideline. Journal of Clinical Sleep Medicine, 17(2), 255–262.</w:t>
      </w:r>
    </w:p>
    <w:p>
      <w:pPr>
        <w:pStyle w:val="APARef"/>
      </w:pPr>
      <w:r>
        <w:t xml:space="preserve">Wong, J., Saver, B., Scanlan, J. M., et al. (2020). The ASAM Clinical Practice Guideline on Alcohol Withdrawal Management. Journal of Addiction Medicine, 14(3S Suppl 1), 1–72.</w:t>
      </w:r>
    </w:p>
    <w:p>
      <w:pPr>
        <w:pStyle w:val="APARef"/>
      </w:pPr>
      <w:r>
        <w:t xml:space="preserve">McCutcheon, R. A., Reis Marques, T., &amp; Howes, O. D. (2020). Schizophrenia—An overview. JAMA Psychiatry, 77(2), 201–210.</w:t>
      </w:r>
    </w:p>
    <w:p>
      <w:pPr>
        <w:pStyle w:val="APARef"/>
      </w:pPr>
      <w:r>
        <w:t xml:space="preserve">McCabe, M. P., Sharlip, I. D., Lewis, R., et al. (2016). Incidence and prevalence of sexual dysfunction in women and men: A consensus statement from the Fourth International Consultation on Sexual Medicine 2015. Journal of Sexual Medicine, 13(2), 144–152.</w:t>
      </w:r>
    </w:p>
    <w:p>
      <w:pPr>
        <w:pStyle w:val="Heading3"/>
      </w:pPr>
      <w:r>
        <w:t xml:space="preserve">Otros problemas frecuentes</w:t>
      </w:r>
    </w:p>
    <w:p>
      <w:pPr>
        <w:pStyle w:val="APARef"/>
      </w:pPr>
      <w:r>
        <w:t xml:space="preserve">Menter, A., Strober, B. E., Kaplan, D. H., et al. (2019). Joint AAD-NPF guidelines of care for the management and treatment of psoriasis with biologics. Journal of the American Academy of Dermatology, 80(4), 1029–1072.</w:t>
      </w:r>
    </w:p>
    <w:p>
      <w:pPr>
        <w:pStyle w:val="APARef"/>
      </w:pPr>
      <w:r>
        <w:t xml:space="preserve">Cederholm, T., Jensen, G. L., Correia, M. I. T. D., et al. (2019). GLIM criteria for the diagnosis of malnutrition: A consensus report from the global clinical nutrition community. Clinical Nutrition, 38(1), 1–9.</w:t>
      </w:r>
    </w:p>
    <w:p>
      <w:pPr>
        <w:pStyle w:val="Heading3"/>
      </w:pPr>
      <w:r>
        <w:t xml:space="preserve">Dermatología</w:t>
      </w:r>
    </w:p>
    <w:p>
      <w:pPr>
        <w:pStyle w:val="APARef"/>
      </w:pPr>
      <w:r>
        <w:t xml:space="preserve">Menter, A., Strober, B. E., Kaplan, D. H., et al. (2019). Joint AAD-NPF guidelines of care for the management and treatment of psoriasis with biologics. Journal of the American Academy of Dermatology, 80(4), 1029–1072.</w:t>
      </w:r>
    </w:p>
    <w:p>
      <w:pPr>
        <w:pStyle w:val="APARef"/>
      </w:pPr>
      <w:r>
        <w:t xml:space="preserve">Schwartz, R. A., &amp; Nervi, S. J. (2007). Erythema nodosum: A sign of systemic disease. American Family Physician, 75(5), 695–700.</w:t>
      </w:r>
    </w:p>
    <w:p>
      <w:pPr>
        <w:pStyle w:val="APARef"/>
      </w:pPr>
      <w:r>
        <w:t xml:space="preserve">Sokumbi, O., &amp; Wetter, D. A. (2012). Clinical features, diagnosis, and treatment of erythema multiforme: A review for the practicing dermatologist. International Journal of Dermatology, 51(8), 889–902.</w:t>
      </w:r>
    </w:p>
    <w:p>
      <w:pPr>
        <w:pStyle w:val="APARef"/>
      </w:pPr>
      <w:r>
        <w:t xml:space="preserve">Tso, S., Satchwell, F., Moiz, H., et al. (2021). Erythroderma (exfoliative dermatitis). Part 1: Underlying causes, clinical presentation and pathogenesis. Clinical and Experimental Dermatology, 46(6), 1001–1010.</w:t>
      </w:r>
    </w:p>
    <w:p>
      <w:pPr>
        <w:pStyle w:val="APARef"/>
      </w:pPr>
      <w:r>
        <w:t xml:space="preserve">Hoetzenecker, W., Nägeli, M., Mehra, E. T., et al. (2016). Adverse cutaneous drug eruptions: Current understanding. Seminars in Immunopathology, 38(1), 75–86.</w:t>
      </w:r>
    </w:p>
    <w:p>
      <w:pPr>
        <w:pStyle w:val="APARef"/>
      </w:pPr>
      <w:r>
        <w:t xml:space="preserve">Nassau, S., &amp; Fonacier, L. (2020). Allergic contact dermatitis. Medical Clinics of North America, 104(1), 61–76.</w:t>
      </w:r>
    </w:p>
    <w:p>
      <w:pPr>
        <w:pStyle w:val="APARef"/>
      </w:pPr>
      <w:r>
        <w:t xml:space="preserve">Cesarman, E., Damania, B., Krown, S. E., Martin, J., Bower, M., &amp; Whitby, D. (2019). Kaposi sarcoma. Nature Reviews Disease Primers, 5, 9.</w:t>
      </w:r>
    </w:p>
    <w:p>
      <w:pPr>
        <w:pStyle w:val="Heading3"/>
      </w:pPr>
      <w:r>
        <w:t xml:space="preserve">Oftalmología</w:t>
      </w:r>
    </w:p>
    <w:p>
      <w:pPr>
        <w:pStyle w:val="APARef"/>
      </w:pPr>
      <w:r>
        <w:t xml:space="preserve">Sargolzaeimoghaddam, M., Sargolzaeimoghaddam, M., Kothari, Z., Sebhat, A. M., &amp; Soleimani, M. (2025). Review of ophthalmic emergencies in primary care: A comprehensive approach to red eye. Annals of Eye Science, 10, 20.</w:t>
      </w:r>
    </w:p>
    <w:p>
      <w:pPr>
        <w:pStyle w:val="APARef"/>
      </w:pPr>
      <w:r>
        <w:t xml:space="preserve">Kalogeropoulos, D., Sakkas, H., Mohammed, B., et al. (2022). Ocular toxoplasmosis: A review of the current diagnostic and therapeutic approaches. International Ophthalmology, 42(1), 295–321.</w:t>
      </w:r>
    </w:p>
    <w:p>
      <w:pPr>
        <w:pStyle w:val="Heading3"/>
      </w:pPr>
      <w:r>
        <w:t xml:space="preserve">Otorrinolaringología</w:t>
      </w:r>
    </w:p>
    <w:p>
      <w:pPr>
        <w:pStyle w:val="APARef"/>
      </w:pPr>
      <w:r>
        <w:t xml:space="preserve">Rosenfeld, R. M., Piccirillo, J. F., Chandrasekhar, S. S., et al. (2015). Clinical practice guideline (update): Adult sinusitis. Otolaryngology–Head and Neck Surgery, 152(2 Suppl), S1–S39.</w:t>
      </w:r>
    </w:p>
    <w:p>
      <w:pPr>
        <w:pStyle w:val="APARef"/>
      </w:pPr>
      <w:r>
        <w:t xml:space="preserve">Baloh, R. W. (2003). Vestibular neuritis. New England Journal of Medicine, 348(11), 1027–1032.</w:t>
      </w:r>
    </w:p>
    <w:p>
      <w:pPr>
        <w:pStyle w:val="APARef"/>
      </w:pPr>
      <w:r>
        <w:t xml:space="preserve">National Comprehensive Cancer Network. (2026). NCCN clinical practice guidelines in oncology: Head and neck cancers (Version 2.2026).</w:t>
      </w:r>
    </w:p>
    <w:p>
      <w:pPr>
        <w:pStyle w:val="APARef"/>
      </w:pPr>
      <w:r>
        <w:t xml:space="preserve">Dykewicz, M. S., Wallace, D. V., Amrol, D. J., et al. (2020). Rhinitis 2020: A practice parameter update. Journal of Allergy and Clinical Immunology, 146(4), 721–767.</w:t>
      </w:r>
    </w:p>
    <w:p>
      <w:pPr>
        <w:pStyle w:val="Heading2"/>
      </w:pPr>
      <w:r>
        <w:t xml:space="preserve">XII. Cuidados Paliativos, Bioética y Comunicación</w:t>
      </w:r>
    </w:p>
    <w:p>
      <w:pPr>
        <w:pStyle w:val="Heading3"/>
      </w:pPr>
      <w:r>
        <w:t xml:space="preserve">Control de síntomas</w:t>
      </w:r>
    </w:p>
    <w:p>
      <w:pPr>
        <w:pStyle w:val="APARef"/>
      </w:pPr>
      <w:r>
        <w:t xml:space="preserve">Ferrell, B. R., Twaddle, M. L., Melnick, A., &amp; Meier, D. E. (2018). National Consensus Project clinical practice guidelines for quality palliative care, 4th edition. Journal of Palliative Medicine, 21(12), 1684–1689.</w:t>
      </w:r>
    </w:p>
    <w:p>
      <w:pPr>
        <w:pStyle w:val="APARef"/>
      </w:pPr>
      <w:r>
        <w:t xml:space="preserve">Surges, S. M., Brunsch, H., Jaspers, B., et al. (2024). Revised European Association for Palliative Care (EAPC) recommended framework on palliative sedation: An international Delphi study. Palliative Medicine, 38(2), 213–228.</w:t>
      </w:r>
    </w:p>
    <w:p>
      <w:pPr>
        <w:pStyle w:val="Heading3"/>
      </w:pPr>
      <w:r>
        <w:t xml:space="preserve">Toma de decisiones</w:t>
      </w:r>
    </w:p>
    <w:p>
      <w:pPr>
        <w:pStyle w:val="APARef"/>
      </w:pPr>
      <w:r>
        <w:t xml:space="preserve">Sudore, R. L., Lum, H. D., You, J. J., et al. (2017). Defining advance care planning for adults: A consensus definition from a multidisciplinary Delphi panel. Journal of Pain and Symptom Management, 53(5), 821–832.</w:t>
      </w:r>
    </w:p>
    <w:p>
      <w:pPr>
        <w:pStyle w:val="APARef"/>
      </w:pPr>
      <w:r>
        <w:t xml:space="preserve">Gillon, R. (1994). Medical ethics: Four principles plus attention to scope. BMJ, 309(6948), 184–188.</w:t>
      </w:r>
    </w:p>
    <w:p>
      <w:pPr>
        <w:pStyle w:val="APARef"/>
      </w:pPr>
      <w:r>
        <w:t xml:space="preserve">Varkey, B. (2021). Principles of clinical ethics and their application to practice. Medicine, Principles and Practice, 30(1), 17–28.</w:t>
      </w:r>
    </w:p>
    <w:p>
      <w:pPr>
        <w:pStyle w:val="APARef"/>
      </w:pPr>
      <w:r>
        <w:t xml:space="preserve">Baile, W. F., Buckman, R., Lenzi, R., Glober, G., Beale, E. A., &amp; Kudelka, A. P. (2000). SPIKES—A six-step protocol for delivering bad news: Application to the patient with cancer. The Oncologist, 5(4), 302–311.</w:t>
      </w:r>
    </w:p>
    <w:p>
      <w:pPr>
        <w:pStyle w:val="APARef"/>
      </w:pPr>
      <w:r>
        <w:t xml:space="preserve">Bosslet, G. T., Pope, T. M., Rubenfeld, G. D., et al. (2015). An official ATS/AACN/ACCP/ESICM/SCCM policy statement: Responding to requests for potentially inappropriate treatments in intensive care units. American Journal of Respiratory and Critical Care Medicine, 191(11), 1318–1330.</w:t>
      </w:r>
    </w:p>
    <w:p>
      <w:pPr>
        <w:pStyle w:val="APARef"/>
      </w:pPr>
      <w:r>
        <w:t xml:space="preserve">Shah, P., Thornton, I., Kopitnik, N. L., &amp; Hipskind, J. E. (2026). Informed consent. In StatPearls [Internet]. StatPearls Publishing. (Updated November 24, 2024).</w:t>
      </w:r>
    </w:p>
    <w:p>
      <w:pPr>
        <w:pStyle w:val="Heading3"/>
      </w:pPr>
      <w:r>
        <w:t xml:space="preserve">Tanatología y relación médico-paciente</w:t>
      </w:r>
    </w:p>
    <w:p>
      <w:pPr>
        <w:pStyle w:val="APARef"/>
      </w:pPr>
      <w:r>
        <w:t xml:space="preserve">Shear, M. K. (2015). Complicated grief. New England Journal of Medicine, 372(2), 153–160.</w:t>
      </w:r>
    </w:p>
    <w:p>
      <w:pPr>
        <w:pStyle w:val="APARef"/>
      </w:pPr>
      <w:r>
        <w:t xml:space="preserve">Zisook, S., &amp; Shear, K. (2009). Grief and bereavement: What psychiatrists need to know. World Psychiatry, 8(2), 67–74.</w:t>
      </w:r>
    </w:p>
    <w:p>
      <w:pPr>
        <w:pStyle w:val="APARef"/>
      </w:pPr>
      <w:r>
        <w:t xml:space="preserve">Levinson, W., Lesser, C. S., &amp; Epstein, R. M. (2010). Developing physician communication skills for patient-centered care. Health Affairs, 29(7), 1310–1318.</w:t>
      </w:r>
    </w:p>
    <w:p>
      <w:pPr>
        <w:pStyle w:val="APARef"/>
      </w:pPr>
      <w:r>
        <w:t xml:space="preserve">King, A., &amp; Hoppe, R. B. (2013). "Best practice" for patient-centered communication: A narrative review. Journal of Graduate Medical Education, 5(3), 385–393.</w:t>
      </w:r>
    </w:p>
    <w:p>
      <w:pPr>
        <w:pStyle w:val="Heading2"/>
      </w:pPr>
      <w:r>
        <w:t xml:space="preserve">XIII. Farmacología Clínica y Toxicología</w:t>
      </w:r>
    </w:p>
    <w:p>
      <w:pPr>
        <w:pStyle w:val="Heading3"/>
      </w:pPr>
      <w:r>
        <w:t xml:space="preserve">Prescripción segura</w:t>
      </w:r>
    </w:p>
    <w:p>
      <w:pPr>
        <w:pStyle w:val="APARef"/>
      </w:pPr>
      <w:r>
        <w:t xml:space="preserve">Coleman, J. J., &amp; Pontefract, S. K. (2016). Adverse drug reactions. Clinical Medicine, 16(5), 481–485.</w:t>
      </w:r>
    </w:p>
    <w:p>
      <w:pPr>
        <w:pStyle w:val="Heading3"/>
      </w:pPr>
      <w:r>
        <w:t xml:space="preserve">Toxicología</w:t>
      </w:r>
    </w:p>
    <w:p>
      <w:pPr>
        <w:pStyle w:val="APARef"/>
      </w:pPr>
      <w:r>
        <w:t xml:space="preserve">Boyer, E. W. (2012). Management of opioid analgesic overdose. New England Journal of Medicine, 367(2), 146–155.</w:t>
      </w:r>
    </w:p>
    <w:p>
      <w:pPr>
        <w:pStyle w:val="APARef"/>
      </w:pPr>
      <w:r>
        <w:t xml:space="preserve">Eddleston, M., &amp; Chowdhury, F. R. (2015). Pharmacological treatment of organophosphorus insecticide poisoning: The old and the (possible) new. British Journal of Clinical Pharmacology, 81(3), 462–470.</w:t>
      </w:r>
    </w:p>
    <w:p>
      <w:pPr>
        <w:pStyle w:val="APARef"/>
      </w:pPr>
      <w:r>
        <w:t xml:space="preserve">Chiew, A. L., Reith, D., Pomerleau, A., et al. (2020). Updated guidelines for the management of paracetamol poisoning in Australia and New Zealand. Medical Journal of Australia, 212(4), 175–183.</w:t>
      </w:r>
    </w:p>
    <w:p>
      <w:pPr>
        <w:pStyle w:val="APARef"/>
      </w:pPr>
      <w:r>
        <w:t xml:space="preserve">Palmer, B. F., &amp; Clegg, D. J. (2020). Salicylate toxicity. New England Journal of Medicine, 382(26), 2544–2555.</w:t>
      </w:r>
    </w:p>
    <w:p>
      <w:pPr>
        <w:pStyle w:val="APARef"/>
      </w:pPr>
      <w:r>
        <w:t xml:space="preserve">Kraut, J. A., &amp; Mullins, M. E. (2018). Toxic alcohols. New England Journal of Medicine, 378(3), 270–280.</w:t>
      </w:r>
    </w:p>
    <w:p>
      <w:pPr>
        <w:pStyle w:val="APARef"/>
      </w:pPr>
      <w:r>
        <w:t xml:space="preserve">Boyer, E. W., &amp; Shannon, M. (2005). The serotonin syndrome. New England Journal of Medicine, 352(11), 1112–1120.</w:t>
      </w:r>
    </w:p>
    <w:p>
      <w:pPr>
        <w:pStyle w:val="APARef"/>
      </w:pPr>
      <w:r>
        <w:t xml:space="preserve">Berman, B. D. (2011). Neuroleptic malignant syndrome: A review for neurohospitalists. The Neurohospitalist, 1(1), 41–47.</w:t>
      </w:r>
    </w:p>
    <w:p>
      <w:pPr>
        <w:pStyle w:val="Heading2"/>
      </w:pPr>
      <w:r>
        <w:t xml:space="preserve">XIV. Habilidades Transversales y Procedimientos</w:t>
      </w:r>
    </w:p>
    <w:p>
      <w:pPr>
        <w:pStyle w:val="Heading3"/>
      </w:pPr>
      <w:r>
        <w:t xml:space="preserve">Procedimientos</w:t>
      </w:r>
    </w:p>
    <w:p>
      <w:pPr>
        <w:pStyle w:val="APARef"/>
      </w:pPr>
      <w:r>
        <w:t xml:space="preserve">Thomsen, T. W., Shen, S., Shaffer, R. W., &amp; Setnik, G. S. (2006). Videos in clinical medicine: Arthrocentesis of the knee. New England Journal of Medicine, 354(19), e19.</w:t>
      </w:r>
    </w:p>
    <w:p>
      <w:pPr>
        <w:pStyle w:val="Heading3"/>
      </w:pPr>
      <w:r>
        <w:t xml:space="preserve">Interpretación diagnóstica</w:t>
      </w:r>
    </w:p>
    <w:p>
      <w:pPr>
        <w:pStyle w:val="APARef"/>
      </w:pPr>
      <w:r>
        <w:t xml:space="preserve">Meek, S., &amp; Morris, F. (2002). ABC of clinical electrocardiography: Introduction. I-Leads, rate, rhythm, and cardiac axis. BMJ, 324(7334), 415–418.</w:t>
      </w:r>
    </w:p>
    <w:p>
      <w:pPr>
        <w:pStyle w:val="APARef"/>
      </w:pPr>
      <w:r>
        <w:t xml:space="preserve">Castro, D., Patil, S. M., Zubair, M., &amp; Keenaghan, M. (2023). Arterial blood gas analysis: Fundamentals, interpretation, and clinical utility. In StatPearls [Internet]. StatPearls Publishing.</w:t>
      </w:r>
    </w:p>
    <w:p>
      <w:pPr>
        <w:pStyle w:val="APARef"/>
      </w:pPr>
      <w:r>
        <w:t xml:space="preserve">Raoof, S., Feigin, D., Sung, A., Raoof, S., Irugulpati, L., &amp; Rosenow, E. C., III. (2012). Interpretation of plain chest roentgenogram. Chest, 141(2), 545–558.</w:t>
      </w:r>
    </w:p>
    <w:p>
      <w:pPr>
        <w:pStyle w:val="APARef"/>
      </w:pPr>
      <w:r>
        <w:t xml:space="preserve">Gans, S. L., Stoker, J., &amp; Boermeester, M. A. (2012). Plain abdominal radiography in acute abdominal pain: Past, present, and future. International Journal of General Medicine, 5, 525–533.</w:t>
      </w:r>
    </w:p>
    <w:p>
      <w:pPr>
        <w:pStyle w:val="APARef"/>
      </w:pPr>
      <w:r>
        <w:t xml:space="preserve">Sivathasan, S., Nagrodzki, J., &amp; McGowan, D. (2021). Twelve tips for interpreting abdominal CT scans. Medical Teacher, 43(8), 956–959.</w:t>
      </w:r>
    </w:p>
    <w:p>
      <w:pPr>
        <w:pStyle w:val="APARef"/>
      </w:pPr>
      <w:r>
        <w:t xml:space="preserve">Díaz-Gómez, J. L., Mayo, P. H., &amp; Koenig, S. J. (2021). Point-of-care ultrasonography. New England Journal of Medicine, 385(17), 1593–1602.</w:t>
      </w:r>
    </w:p>
    <w:p>
      <w:pPr>
        <w:pStyle w:val="Heading3"/>
      </w:pPr>
      <w:r>
        <w:t xml:space="preserve">Práctica profesional</w:t>
      </w:r>
    </w:p>
    <w:p>
      <w:pPr>
        <w:pStyle w:val="APARef"/>
      </w:pPr>
      <w:r>
        <w:t xml:space="preserve">National Academies of Sciences, Engineering, and Medicine. (2015). Improving diagnosis in health care. National Academies Press.</w:t>
      </w:r>
    </w:p>
    <w:p>
      <w:pPr>
        <w:pStyle w:val="APARef"/>
      </w:pPr>
      <w:r>
        <w:t xml:space="preserve">Starmer, A. J., Spector, N. D., Srivastava, R., et al. (2014). Changes in medical errors after implementation of a handoff program. New England Journal of Medicine, 371(19), 1803–1812.</w:t>
      </w:r>
    </w:p>
    <w:p>
      <w:pPr>
        <w:pStyle w:val="APARef"/>
      </w:pPr>
      <w:r>
        <w:t xml:space="preserve">Kuhn, T., Basch, P., Barr, M., &amp; Yackel, T. (2015). Clinical documentation in the 21st century: Executive summary of a policy position paper from the American College of Physicians. Annals of Internal Medicine, 162(4), 301–303.</w:t>
      </w:r>
    </w:p>
    <w:p>
      <w:pPr>
        <w:pStyle w:val="PendingNote"/>
      </w:pPr>
      <w:r>
        <w:t xml:space="preserve">Bibliografía completa para los catorce bloques del temario; se seguirá revisando y actualizando conforme surjan nuevas guías o consensos.</w:t>
      </w:r>
    </w:p>
    <w:p>
      <w:pPr>
        <w:pStyle w:val="Heading1"/>
      </w:pPr>
      <w:r>
        <w:t xml:space="preserve">Fuentes consultadas</w:t>
      </w:r>
    </w:p>
    <w:p>
      <w:pPr>
        <w:pStyle w:val="ListParagraph"/>
        <w:numPr>
          <w:ilvl w:val="0"/>
          <w:numId w:val="1"/>
        </w:numPr>
      </w:pPr>
      <w:r>
        <w:t xml:space="preserve">Sociedad Española de Medicina Interna (FESEMI). Programa Formativo de la especialidad de Medicina Interna.</w:t>
      </w:r>
    </w:p>
    <w:p>
      <w:pPr>
        <w:pStyle w:val="ListParagraph"/>
        <w:numPr>
          <w:ilvl w:val="0"/>
          <w:numId w:val="1"/>
        </w:numPr>
      </w:pPr>
      <w:r>
        <w:t xml:space="preserve">Facultad de Medicina, UNAM. Plan Único de Especializaciones Médicas (PUEM), Medicina Interna.</w:t>
      </w:r>
    </w:p>
    <w:p>
      <w:pPr>
        <w:pStyle w:val="ListParagraph"/>
        <w:numPr>
          <w:ilvl w:val="0"/>
          <w:numId w:val="1"/>
        </w:numPr>
      </w:pPr>
      <w:r>
        <w:t xml:space="preserve">Accreditation Council for Graduate Medical Education (ACGME). Internal Medicine Milestones 2.0.</w:t>
      </w:r>
    </w:p>
    <w:p>
      <w:pPr>
        <w:pStyle w:val="ListParagraph"/>
        <w:numPr>
          <w:ilvl w:val="0"/>
          <w:numId w:val="1"/>
        </w:numPr>
      </w:pPr>
      <w:r>
        <w:t xml:space="preserve">American College of Physicians. Medical Knowledge Self-Assessment Program (MKSAP), áreas de contenido por subespecialidad.</w:t>
      </w:r>
    </w:p>
    <w:p>
      <w:pPr>
        <w:pStyle w:val="ListParagraph"/>
        <w:numPr>
          <w:ilvl w:val="0"/>
          <w:numId w:val="1"/>
        </w:numPr>
      </w:pPr>
      <w:r>
        <w:t xml:space="preserve">Consejo Mexicano de Medicina Interna, A.C. (CMMI). Temario del examen de certificación. https://cmmi.org.mx/certificacion/informacion/certificacion_temarioexamen.php</w:t>
      </w:r>
    </w:p>
    <w:p>
      <w:pPr>
        <w:pStyle w:val="SourceNote"/>
        <w:spacing w:before="200"/>
      </w:pPr>
      <w:r>
        <w:t xml:space="preserve">Documento de orientación académica; no sustituye el programa oficial de cada sede hospitalaria ni las guías de práctica clínica vigentes.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40" w:hanging="270"/>
      </w:pPr>
      <w:rPr>
        <w:rFonts w:ascii="Arial" w:hAnsi="Arial" w:hint="default"/>
      </w:rPr>
    </w:lvl>
    <w:lvl w:ilvl="1">
      <w:start w:val="1"/>
      <w:numFmt w:val="bullet"/>
      <w:lvlText w:val="–"/>
      <w:lvlJc w:val="left"/>
      <w:pPr>
        <w:ind w:left="1080" w:hanging="270"/>
      </w:pPr>
      <w:rPr>
        <w:rFonts w:ascii="Arial" w:hAnsi="Aria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1"/>
        <w:szCs w:val="21"/>
        <w:lang w:val="es-MX"/>
      </w:rPr>
    </w:rPrDefault>
  </w:docDefaults>
  <w:style w:type="paragraph" w:default="1" w:styleId="Normal">
    <w:name w:val="Normal"/>
    <w:qFormat/>
    <w:pPr>
      <w:spacing w:after="160" w:line="288" w:lineRule="auto"/>
    </w:pPr>
  </w:style>
  <w:style w:type="paragraph" w:styleId="Title">
    <w:name w:val="Title"/>
    <w:basedOn w:val="Normal"/>
    <w:qFormat/>
    <w:pPr>
      <w:spacing w:after="80"/>
    </w:pPr>
    <w:rPr>
      <w:rFonts w:ascii="Arial" w:hAnsi="Arial"/>
      <w:b/>
      <w:color w:val="1F3B4D"/>
      <w:sz w:val="56"/>
    </w:rPr>
  </w:style>
  <w:style w:type="paragraph" w:styleId="Subtitle">
    <w:name w:val="Subtitle"/>
    <w:basedOn w:val="Normal"/>
    <w:qFormat/>
    <w:pPr>
      <w:spacing w:after="400"/>
    </w:pPr>
    <w:rPr>
      <w:rFonts w:ascii="Arial" w:hAnsi="Arial"/>
      <w:color w:val="5C7A9A"/>
      <w:sz w:val="28"/>
    </w:rPr>
  </w:style>
  <w:style w:type="paragraph" w:styleId="Heading1">
    <w:name w:val="heading 1"/>
    <w:basedOn w:val="Normal"/>
    <w:next w:val="Normal"/>
    <w:qFormat/>
    <w:pPr>
      <w:keepNext/>
      <w:spacing w:before="440" w:after="160"/>
      <w:pBdr>
        <w:bottom w:val="single" w:sz="6" w:space="4" w:color="3D5A73"/>
      </w:pBdr>
    </w:pPr>
    <w:rPr>
      <w:rFonts w:ascii="Arial" w:hAnsi="Arial"/>
      <w:b/>
      <w:color w:val="1F3B4D"/>
      <w:sz w:val="32"/>
    </w:rPr>
  </w:style>
  <w:style w:type="paragraph" w:styleId="Heading2">
    <w:name w:val="heading 2"/>
    <w:basedOn w:val="Normal"/>
    <w:next w:val="Normal"/>
    <w:qFormat/>
    <w:pPr>
      <w:keepNext/>
      <w:spacing w:before="260" w:after="100"/>
    </w:pPr>
    <w:rPr>
      <w:rFonts w:ascii="Arial" w:hAnsi="Arial"/>
      <w:b/>
      <w:color w:val="3D5A73"/>
      <w:sz w:val="24"/>
    </w:rPr>
  </w:style>
  <w:style w:type="paragraph" w:styleId="Heading3">
    <w:name w:val="heading 3"/>
    <w:basedOn w:val="Normal"/>
    <w:next w:val="Normal"/>
    <w:qFormat/>
    <w:pPr>
      <w:keepNext/>
      <w:spacing w:before="160" w:after="60"/>
    </w:pPr>
    <w:rPr>
      <w:rFonts w:ascii="Arial" w:hAnsi="Arial"/>
      <w:b/>
      <w:i/>
      <w:color w:val="5C4A73"/>
      <w:sz w:val="21"/>
    </w:rPr>
  </w:style>
  <w:style w:type="paragraph" w:styleId="Intro">
    <w:name w:val="Intro"/>
    <w:basedOn w:val="Normal"/>
    <w:qFormat/>
    <w:pPr>
      <w:spacing w:after="180"/>
    </w:pPr>
    <w:rPr>
      <w:i/>
      <w:color w:val="5C5646"/>
    </w:rPr>
  </w:style>
  <w:style w:type="paragraph" w:styleId="ListParagraph">
    <w:name w:val="List Paragraph"/>
    <w:basedOn w:val="Normal"/>
    <w:qFormat/>
    <w:pPr>
      <w:spacing w:after="60"/>
    </w:pPr>
  </w:style>
  <w:style w:type="paragraph" w:styleId="TOCEntry">
    <w:name w:val="TOC Entry"/>
    <w:basedOn w:val="Normal"/>
    <w:qFormat/>
    <w:pPr>
      <w:spacing w:after="70"/>
    </w:pPr>
    <w:rPr>
      <w:rFonts w:ascii="Arial" w:hAnsi="Arial"/>
      <w:color w:val="3D5A73"/>
    </w:rPr>
  </w:style>
  <w:style w:type="paragraph" w:styleId="SourceNote">
    <w:name w:val="Source Note"/>
    <w:basedOn w:val="Normal"/>
    <w:qFormat/>
    <w:pPr>
      <w:spacing w:after="60"/>
    </w:pPr>
    <w:rPr>
      <w:color w:val="8D8570"/>
      <w:sz w:val="18"/>
    </w:rPr>
  </w:style>
  <w:style w:type="paragraph" w:styleId="APARef">
    <w:name w:val="APA Reference"/>
    <w:basedOn w:val="Normal"/>
    <w:qFormat/>
    <w:pPr>
      <w:spacing w:after="200" w:line="288" w:lineRule="auto"/>
      <w:ind w:left="720" w:hanging="720"/>
    </w:pPr>
    <w:rPr>
      <w:sz w:val="20"/>
    </w:rPr>
  </w:style>
  <w:style w:type="paragraph" w:styleId="PendingNote">
    <w:name w:val="Pending Note"/>
    <w:basedOn w:val="Normal"/>
    <w:qFormat/>
    <w:pPr>
      <w:spacing w:after="140"/>
    </w:pPr>
    <w:rPr>
      <w:i/>
      <w:color w:val="8D857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ResidenteMed</Application>
</Properties>
</file>

<file path=docProps/core.xml><?xml version="1.0" encoding="utf-8"?>
<cp:coreProperties xmlns:cp="http://schemas.openxmlformats.org/package/2006/metadata/core-properties" xmlns:dc="http://purl.org/dc/elements/1.1/" xmlns:dcterms="http://purl.org/dc/terms/" xmlns:xsi="http://www.w3.org/2001/XMLSchema-instance">
  <dc:title>Temario Holistico de Medicina Interna</dc:title>
  <dc:creator>ResidenteMed</dc:creator>
  <cp:lastModifiedBy>ResidenteMed</cp:lastModifiedBy>
  <dcterms:created xsi:type="dcterms:W3CDTF">2026-07-19T12:00:00Z</dcterms:created>
  <dcterms:modified xsi:type="dcterms:W3CDTF">2026-07-19T12:00:00Z</dcterms:modified>
</cp:coreProperties>
</file>