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4E16A35" w14:textId="77777777" w:rsidR="00725851" w:rsidRDefault="00000000">
      <w:pPr>
        <w:jc w:val="center"/>
      </w:pPr>
      <w:r>
        <w:rPr>
          <w:rFonts w:ascii="Helvetica" w:hAnsi="Helvetica" w:cs="Helvetica"/>
          <w:b/>
          <w:sz w:val="34"/>
        </w:rPr>
        <w:t>Foreign Giving Strategy for the University of Virginia</w:t>
      </w:r>
    </w:p>
    <w:p w14:paraId="26B41E0A" w14:textId="77777777" w:rsidR="00725851" w:rsidRDefault="00000000">
      <w:pPr>
        <w:jc w:val="center"/>
      </w:pPr>
      <w:r>
        <w:rPr>
          <w:rFonts w:ascii="Helvetica" w:hAnsi="Helvetica" w:cs="Helvetica"/>
          <w:sz w:val="20"/>
        </w:rPr>
        <w:t xml:space="preserve">Data-driven summary of the </w:t>
      </w:r>
      <w:proofErr w:type="spellStart"/>
      <w:r>
        <w:rPr>
          <w:rFonts w:ascii="Helvetica" w:hAnsi="Helvetica" w:cs="Helvetica"/>
          <w:sz w:val="20"/>
        </w:rPr>
        <w:t>ForeignGifts_edu</w:t>
      </w:r>
      <w:proofErr w:type="spellEnd"/>
      <w:r>
        <w:rPr>
          <w:rFonts w:ascii="Helvetica" w:hAnsi="Helvetica" w:cs="Helvetica"/>
          <w:sz w:val="20"/>
        </w:rPr>
        <w:t xml:space="preserve"> dataset</w:t>
      </w:r>
    </w:p>
    <w:p w14:paraId="66F1349B" w14:textId="77777777" w:rsidR="00725851" w:rsidRDefault="00000000">
      <w:pPr>
        <w:jc w:val="center"/>
        <w:rPr>
          <w:rFonts w:ascii="Helvetica" w:hAnsi="Helvetica" w:cs="Helvetica"/>
          <w:sz w:val="18"/>
        </w:rPr>
      </w:pPr>
      <w:r>
        <w:rPr>
          <w:rFonts w:ascii="Helvetica" w:hAnsi="Helvetica" w:cs="Helvetica"/>
          <w:sz w:val="18"/>
        </w:rPr>
        <w:t>Walter Roou</w:t>
      </w:r>
    </w:p>
    <w:p w14:paraId="2C12AC6B" w14:textId="2D776E71" w:rsidR="00127840" w:rsidRDefault="00127840">
      <w:pPr>
        <w:jc w:val="center"/>
      </w:pPr>
      <w:r>
        <w:rPr>
          <w:rFonts w:ascii="Helvetica" w:hAnsi="Helvetica" w:cs="Helvetica"/>
          <w:sz w:val="18"/>
        </w:rPr>
        <w:t>DS 5030</w:t>
      </w:r>
    </w:p>
    <w:p w14:paraId="4E7C0961" w14:textId="77777777" w:rsidR="00725851" w:rsidRDefault="00725851">
      <w:pPr>
        <w:spacing w:after="240"/>
      </w:pPr>
    </w:p>
    <w:p w14:paraId="0780BDBC" w14:textId="77777777" w:rsidR="00725851" w:rsidRDefault="00000000">
      <w:pPr>
        <w:spacing w:before="180" w:after="100"/>
      </w:pPr>
      <w:r>
        <w:rPr>
          <w:rFonts w:ascii="Helvetica" w:hAnsi="Helvetica" w:cs="Helvetica"/>
          <w:b/>
          <w:sz w:val="26"/>
        </w:rPr>
        <w:t>1. Executive Summary</w:t>
      </w:r>
    </w:p>
    <w:p w14:paraId="70FB938F" w14:textId="1D7251E4" w:rsidR="00725851" w:rsidRDefault="00000000">
      <w:r>
        <w:rPr>
          <w:rFonts w:ascii="Helvetica" w:hAnsi="Helvetica" w:cs="Helvetica"/>
          <w:sz w:val="22"/>
        </w:rPr>
        <w:t xml:space="preserve">UVA should pursue a strategy built around high-value markets that are already supporting </w:t>
      </w:r>
      <w:r w:rsidR="00634C1D">
        <w:rPr>
          <w:rFonts w:ascii="Helvetica" w:hAnsi="Helvetica" w:cs="Helvetica"/>
          <w:sz w:val="22"/>
        </w:rPr>
        <w:t>similar</w:t>
      </w:r>
      <w:r>
        <w:rPr>
          <w:rFonts w:ascii="Helvetica" w:hAnsi="Helvetica" w:cs="Helvetica"/>
          <w:sz w:val="22"/>
        </w:rPr>
        <w:t xml:space="preserve"> public Virginia universities. UVA recorded 98 gifts totaling $22.2 million, placing it above the dataset-wide institutional median but below the $65.4 million median for its three public Virginia peers. The </w:t>
      </w:r>
      <w:r w:rsidR="00634C1D">
        <w:rPr>
          <w:rFonts w:ascii="Helvetica" w:hAnsi="Helvetica" w:cs="Helvetica"/>
          <w:sz w:val="22"/>
        </w:rPr>
        <w:t>clear</w:t>
      </w:r>
      <w:r>
        <w:rPr>
          <w:rFonts w:ascii="Helvetica" w:hAnsi="Helvetica" w:cs="Helvetica"/>
          <w:sz w:val="22"/>
        </w:rPr>
        <w:t xml:space="preserve"> opportunities are Qatar, Saudi Arabia, the United Arab Emirates, Germany, and Spain: these countries supplied peers with $146.1 million but do not appear in UVA's records. UVA should begin with repeat institutional prospects such as Qatar Foundation, the Royal Embassy of Saudi Arabia, and the Embassy of the United Arab Emirates</w:t>
      </w:r>
      <w:r w:rsidR="00634C1D">
        <w:rPr>
          <w:rFonts w:ascii="Helvetica" w:hAnsi="Helvetica" w:cs="Helvetica"/>
          <w:sz w:val="22"/>
        </w:rPr>
        <w:t>.</w:t>
      </w:r>
      <w:r>
        <w:rPr>
          <w:rFonts w:ascii="Helvetica" w:hAnsi="Helvetica" w:cs="Helvetica"/>
          <w:sz w:val="22"/>
        </w:rPr>
        <w:t xml:space="preserve"> A 1 percent capture of the identified peer-country opportunity would equal approximately $1.5 million, providing a realistic first-stage benchmark</w:t>
      </w:r>
      <w:r w:rsidR="00634C1D">
        <w:rPr>
          <w:rFonts w:ascii="Helvetica" w:hAnsi="Helvetica" w:cs="Helvetica"/>
          <w:sz w:val="22"/>
        </w:rPr>
        <w:t>.</w:t>
      </w:r>
    </w:p>
    <w:p w14:paraId="7E58D2FA" w14:textId="77777777" w:rsidR="00725851" w:rsidRDefault="00000000">
      <w:pPr>
        <w:spacing w:before="180" w:after="100"/>
      </w:pPr>
      <w:r>
        <w:rPr>
          <w:rFonts w:ascii="Helvetica" w:hAnsi="Helvetica" w:cs="Helvetica"/>
          <w:b/>
          <w:sz w:val="26"/>
        </w:rPr>
        <w:t>2. Findings from the Initial and UVA Analyses</w:t>
      </w:r>
    </w:p>
    <w:p w14:paraId="30A2AE97" w14:textId="17352D8B" w:rsidR="00725851" w:rsidRDefault="00000000">
      <w:r>
        <w:rPr>
          <w:rFonts w:ascii="Helvetica" w:hAnsi="Helvetica" w:cs="Helvetica"/>
          <w:sz w:val="22"/>
        </w:rPr>
        <w:t>The overall dataset contains 28,221 reported gifts to 318 U.S. academic institutions. Contracts are the dominant gift class, with 17,274 gifts totaling $10.81 billion</w:t>
      </w:r>
      <w:r w:rsidR="00634C1D">
        <w:rPr>
          <w:rFonts w:ascii="Helvetica" w:hAnsi="Helvetica" w:cs="Helvetica"/>
          <w:sz w:val="22"/>
        </w:rPr>
        <w:t>. Monetary</w:t>
      </w:r>
      <w:r>
        <w:rPr>
          <w:rFonts w:ascii="Helvetica" w:hAnsi="Helvetica" w:cs="Helvetica"/>
          <w:sz w:val="22"/>
        </w:rPr>
        <w:t xml:space="preserve"> gifts account for 10,936 gifts totaling $5.78 billion. Real-estate gifts are rare, with only 11 records, but have the highest mean recorded value. The country totals are highly concentrated: Qatar gives the most overall ($2.71 billion), England initiates the most gifts (3,655), and Bermuda has the highest average gift (about $7.69 million), although that average is sensitive to a small number of observations. Carnegie Mellon University receives the most total funding ($1.48 billion), UCLA receives the most gifts (3,916), and the largest country-to-institution flow is Qatar to Cornell University ($1.02 billion). The mean total received per institution ($52.2 million) is much higher than the median ($6.49 million), showing that a small number of very large awards pull the distribution upward.</w:t>
      </w:r>
    </w:p>
    <w:p w14:paraId="6C10B4BD" w14:textId="2555A446" w:rsidR="00725851" w:rsidRDefault="00000000">
      <w:r>
        <w:rPr>
          <w:rFonts w:ascii="Helvetica" w:hAnsi="Helvetica" w:cs="Helvetica"/>
          <w:sz w:val="22"/>
        </w:rPr>
        <w:t>UVA received $22.19 million across 98 gifts, with an average gift of $226,421 and a median gift of $80,536. Contracts contributed $14.81 million across 64 gifts, while monetary gifts contributed $7.38 million across 34 gifts</w:t>
      </w:r>
      <w:r w:rsidR="00E31FAC">
        <w:rPr>
          <w:rFonts w:ascii="Helvetica" w:hAnsi="Helvetica" w:cs="Helvetica"/>
          <w:sz w:val="22"/>
        </w:rPr>
        <w:t xml:space="preserve">, so </w:t>
      </w:r>
      <w:r>
        <w:rPr>
          <w:rFonts w:ascii="Helvetica" w:hAnsi="Helvetica" w:cs="Helvetica"/>
          <w:sz w:val="22"/>
        </w:rPr>
        <w:t>UVA's total is driven more by contract activity than by ordinary monetary gifts. Bangladesh and Sweden are UVA's largest source countries, and the top three countries provide roughly half of UVA's total, indicating meaningful concentration. Compared with the other public Virginia institutions in the file, UVA trails George Mason University ($65.44 million) and Virginia Commonwealth University ($89.16 million</w:t>
      </w:r>
      <w:proofErr w:type="gramStart"/>
      <w:r>
        <w:rPr>
          <w:rFonts w:ascii="Helvetica" w:hAnsi="Helvetica" w:cs="Helvetica"/>
          <w:sz w:val="22"/>
        </w:rPr>
        <w:t>), but</w:t>
      </w:r>
      <w:proofErr w:type="gramEnd"/>
      <w:r>
        <w:rPr>
          <w:rFonts w:ascii="Helvetica" w:hAnsi="Helvetica" w:cs="Helvetica"/>
          <w:sz w:val="22"/>
        </w:rPr>
        <w:t xml:space="preserve"> exceeds Virginia Tech ($11.79 million). UVA's 98 transactions also exceed the peer-group median of 38, </w:t>
      </w:r>
      <w:r w:rsidR="00634C1D">
        <w:rPr>
          <w:rFonts w:ascii="Helvetica" w:hAnsi="Helvetica" w:cs="Helvetica"/>
          <w:sz w:val="22"/>
        </w:rPr>
        <w:t xml:space="preserve">so UVA needs </w:t>
      </w:r>
      <w:r>
        <w:rPr>
          <w:rFonts w:ascii="Helvetica" w:hAnsi="Helvetica" w:cs="Helvetica"/>
          <w:sz w:val="22"/>
        </w:rPr>
        <w:t xml:space="preserve">to </w:t>
      </w:r>
      <w:r w:rsidR="00634C1D">
        <w:rPr>
          <w:rFonts w:ascii="Helvetica" w:hAnsi="Helvetica" w:cs="Helvetica"/>
          <w:sz w:val="22"/>
        </w:rPr>
        <w:t>have better targeting.</w:t>
      </w:r>
    </w:p>
    <w:p w14:paraId="57F2A75A" w14:textId="77777777" w:rsidR="00725851" w:rsidRDefault="00000000">
      <w:pPr>
        <w:spacing w:before="180" w:after="100"/>
      </w:pPr>
      <w:r>
        <w:rPr>
          <w:rFonts w:ascii="Helvetica" w:hAnsi="Helvetica" w:cs="Helvetica"/>
          <w:b/>
          <w:sz w:val="26"/>
        </w:rPr>
        <w:t>3. Strategy for Finding New Sources</w:t>
      </w:r>
    </w:p>
    <w:p w14:paraId="130B08BB" w14:textId="22F125E7" w:rsidR="00725851" w:rsidRDefault="00000000">
      <w:r>
        <w:rPr>
          <w:rFonts w:ascii="Helvetica" w:hAnsi="Helvetica" w:cs="Helvetica"/>
          <w:sz w:val="22"/>
        </w:rPr>
        <w:lastRenderedPageBreak/>
        <w:t xml:space="preserve">UVA should use a two-stage prospecting model. First, establish country portfolios for Qatar, Saudi Arabia, the United Arab Emirates, Germany, and Spain. Together, these markets supplied $146.14 million to the three peer institutions while having no recorded UVA gifts in this dataset. Qatar and Saudi Arabia deserve </w:t>
      </w:r>
      <w:r w:rsidR="00E31FAC">
        <w:rPr>
          <w:rFonts w:ascii="Helvetica" w:hAnsi="Helvetica" w:cs="Helvetica"/>
          <w:sz w:val="22"/>
        </w:rPr>
        <w:t>most of the</w:t>
      </w:r>
      <w:r>
        <w:rPr>
          <w:rFonts w:ascii="Helvetica" w:hAnsi="Helvetica" w:cs="Helvetica"/>
          <w:sz w:val="22"/>
        </w:rPr>
        <w:t xml:space="preserve"> attention because they account for nearly </w:t>
      </w:r>
      <w:proofErr w:type="gramStart"/>
      <w:r>
        <w:rPr>
          <w:rFonts w:ascii="Helvetica" w:hAnsi="Helvetica" w:cs="Helvetica"/>
          <w:sz w:val="22"/>
        </w:rPr>
        <w:t>all of</w:t>
      </w:r>
      <w:proofErr w:type="gramEnd"/>
      <w:r>
        <w:rPr>
          <w:rFonts w:ascii="Helvetica" w:hAnsi="Helvetica" w:cs="Helvetica"/>
          <w:sz w:val="22"/>
        </w:rPr>
        <w:t xml:space="preserve"> the identified opportunity, with $79.68 million and $54.20 million in peer giving. Germany and Spain are smaller but useful targets. </w:t>
      </w:r>
    </w:p>
    <w:p w14:paraId="295AAA07" w14:textId="595FC68B" w:rsidR="00725851" w:rsidRDefault="00000000">
      <w:r>
        <w:rPr>
          <w:rFonts w:ascii="Helvetica" w:hAnsi="Helvetica" w:cs="Helvetica"/>
          <w:sz w:val="22"/>
        </w:rPr>
        <w:t xml:space="preserve">Second, rank named organizations by repeat activity and dollar capacity rather than by one unusually large transaction. The first prospect list should include Qatar Foundation ($78.29 million across three peer gifts), the Royal Embassy of Saudi Arabia ($54.18 million across 12 gifts), the Embassy of the United Arab Emirates ($4.41 million across six gifts), Qatar National Research Fund ($573,533 across six gifts), and the Embassy of the State of Kuwait ($1.39 million across four gifts). UVA should develop a small number of proposals and set a first-stage goal of </w:t>
      </w:r>
      <w:r w:rsidR="00E31FAC">
        <w:rPr>
          <w:rFonts w:ascii="Helvetica" w:hAnsi="Helvetica" w:cs="Helvetica"/>
          <w:sz w:val="22"/>
        </w:rPr>
        <w:t>about</w:t>
      </w:r>
      <w:r>
        <w:rPr>
          <w:rFonts w:ascii="Helvetica" w:hAnsi="Helvetica" w:cs="Helvetica"/>
          <w:sz w:val="22"/>
        </w:rPr>
        <w:t xml:space="preserve"> $1.5 million, equal to 1 percent of the peer-country opportunity. A 5 percent capture would be about $7.3 million and </w:t>
      </w:r>
      <w:r w:rsidR="00E31FAC">
        <w:rPr>
          <w:rFonts w:ascii="Helvetica" w:hAnsi="Helvetica" w:cs="Helvetica"/>
          <w:sz w:val="22"/>
        </w:rPr>
        <w:t>is</w:t>
      </w:r>
      <w:r>
        <w:rPr>
          <w:rFonts w:ascii="Helvetica" w:hAnsi="Helvetica" w:cs="Helvetica"/>
          <w:sz w:val="22"/>
        </w:rPr>
        <w:t xml:space="preserve"> a long</w:t>
      </w:r>
      <w:r w:rsidR="00E31FAC">
        <w:rPr>
          <w:rFonts w:ascii="Helvetica" w:hAnsi="Helvetica" w:cs="Helvetica"/>
          <w:sz w:val="22"/>
        </w:rPr>
        <w:t>-</w:t>
      </w:r>
      <w:r>
        <w:rPr>
          <w:rFonts w:ascii="Helvetica" w:hAnsi="Helvetica" w:cs="Helvetica"/>
          <w:sz w:val="22"/>
        </w:rPr>
        <w:t xml:space="preserve">term </w:t>
      </w:r>
      <w:r w:rsidR="00E31FAC">
        <w:rPr>
          <w:rFonts w:ascii="Helvetica" w:hAnsi="Helvetica" w:cs="Helvetica"/>
          <w:sz w:val="22"/>
        </w:rPr>
        <w:t>goal.</w:t>
      </w:r>
    </w:p>
    <w:p w14:paraId="16399BF2" w14:textId="77777777" w:rsidR="00725851" w:rsidRDefault="00000000">
      <w:pPr>
        <w:spacing w:before="180" w:after="100"/>
      </w:pPr>
      <w:r>
        <w:rPr>
          <w:rFonts w:ascii="Helvetica" w:hAnsi="Helvetica" w:cs="Helvetica"/>
          <w:b/>
          <w:sz w:val="26"/>
        </w:rPr>
        <w:t>4. Conclusion</w:t>
      </w:r>
    </w:p>
    <w:p w14:paraId="3B205EBE" w14:textId="5885D3EB" w:rsidR="00725851" w:rsidRDefault="00000000">
      <w:r>
        <w:rPr>
          <w:rFonts w:ascii="Helvetica" w:hAnsi="Helvetica" w:cs="Helvetica"/>
          <w:sz w:val="22"/>
        </w:rPr>
        <w:t xml:space="preserve">UVA has a </w:t>
      </w:r>
      <w:r w:rsidR="00E31FAC">
        <w:rPr>
          <w:rFonts w:ascii="Helvetica" w:hAnsi="Helvetica" w:cs="Helvetica"/>
          <w:sz w:val="22"/>
        </w:rPr>
        <w:t>solid</w:t>
      </w:r>
      <w:r>
        <w:rPr>
          <w:rFonts w:ascii="Helvetica" w:hAnsi="Helvetica" w:cs="Helvetica"/>
          <w:sz w:val="22"/>
        </w:rPr>
        <w:t xml:space="preserve"> foundation for increasing foreign giving. Its total of $22.2 million ranks 101st among 318 institutions and exceeds 68.2 percent of institutions in the dataset, so UVA is not starting from </w:t>
      </w:r>
      <w:r w:rsidR="00E31FAC">
        <w:rPr>
          <w:rFonts w:ascii="Helvetica" w:hAnsi="Helvetica" w:cs="Helvetica"/>
          <w:sz w:val="22"/>
        </w:rPr>
        <w:t>nothing</w:t>
      </w:r>
      <w:r>
        <w:rPr>
          <w:rFonts w:ascii="Helvetica" w:hAnsi="Helvetica" w:cs="Helvetica"/>
          <w:sz w:val="22"/>
        </w:rPr>
        <w:t xml:space="preserve">. At the same time, the gap with comparable public Virginia universities is </w:t>
      </w:r>
      <w:r w:rsidR="00E31FAC">
        <w:rPr>
          <w:rFonts w:ascii="Helvetica" w:hAnsi="Helvetica" w:cs="Helvetica"/>
          <w:sz w:val="22"/>
        </w:rPr>
        <w:t>significant</w:t>
      </w:r>
      <w:r>
        <w:rPr>
          <w:rFonts w:ascii="Helvetica" w:hAnsi="Helvetica" w:cs="Helvetica"/>
          <w:sz w:val="22"/>
        </w:rPr>
        <w:t xml:space="preserve">, and the concentration of peer giving in a few countries creates a clear opportunity. Success will depend on converting UVA's high transaction activity into larger, coordinated relationships with repeat institutional funders. The proposed country and prospect screen gives the Office of Development a measurable starting </w:t>
      </w:r>
      <w:r w:rsidR="00E31FAC">
        <w:rPr>
          <w:rFonts w:ascii="Helvetica" w:hAnsi="Helvetica" w:cs="Helvetica"/>
          <w:sz w:val="22"/>
        </w:rPr>
        <w:t>point and strategy.</w:t>
      </w:r>
    </w:p>
    <w:p w14:paraId="63DF71F8" w14:textId="6FCC2C1B" w:rsidR="00725851" w:rsidRDefault="00000000">
      <w:pPr>
        <w:spacing w:before="180" w:after="100"/>
      </w:pPr>
      <w:r>
        <w:rPr>
          <w:rFonts w:ascii="Helvetica" w:hAnsi="Helvetica" w:cs="Helvetica"/>
          <w:i/>
          <w:sz w:val="20"/>
        </w:rPr>
        <w:t>Source: ForeignGifts_edu.csv</w:t>
      </w:r>
    </w:p>
    <w:sectPr w:rsidR="00725851">
      <w:pgSz w:w="12240" w:h="15840"/>
      <w:pgMar w:top="1200" w:right="1440" w:bottom="120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25851"/>
    <w:rsid w:val="00127840"/>
    <w:rsid w:val="00634C1D"/>
    <w:rsid w:val="00725851"/>
    <w:rsid w:val="00E31FAC"/>
    <w:rsid w:val="00E535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A35579F"/>
  <w15:docId w15:val="{9042F25C-89D5-AA46-B60E-EC69B982A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CocoaOOXMLWriter/2685.7</generator>
</meta>
</file>

<file path=customXml/itemProps1.xml><?xml version="1.0" encoding="utf-8"?>
<ds:datastoreItem xmlns:ds="http://schemas.openxmlformats.org/officeDocument/2006/customXml" ds:itemID="{6FB7A0AA-6824-4E4E-B2F9-F076C7E4B2FF}">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Pages>
  <Words>701</Words>
  <Characters>3996</Characters>
  <Application>Microsoft Office Word</Application>
  <DocSecurity>0</DocSecurity>
  <Lines>33</Lines>
  <Paragraphs>9</Paragraphs>
  <ScaleCrop>false</ScaleCrop>
  <Company/>
  <LinksUpToDate>false</LinksUpToDate>
  <CharactersWithSpaces>4688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Roou, Walter John (waz5pn)</cp:lastModifiedBy>
  <cp:revision>4</cp:revision>
  <dcterms:created xsi:type="dcterms:W3CDTF">2026-09-04T20:49:00Z</dcterms:created>
  <dcterms:modified xsi:type="dcterms:W3CDTF">2026-09-04T21:03:00Z</dcterms:modified>
</cp:coreProperties>
</file>