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BFCC21" w14:textId="77777777" w:rsidR="00C64D12" w:rsidRPr="00C64D12" w:rsidRDefault="00C64D12" w:rsidP="00C64D12">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C64D12">
        <w:rPr>
          <w:rFonts w:ascii="Times New Roman" w:eastAsia="Times New Roman" w:hAnsi="Times New Roman" w:cs="Times New Roman"/>
          <w:b/>
          <w:bCs/>
          <w:sz w:val="27"/>
          <w:szCs w:val="27"/>
          <w:lang w:eastAsia="es-CO"/>
        </w:rPr>
        <w:t>Guion de Sustentación: Defensa del Anteproyecto</w:t>
      </w:r>
    </w:p>
    <w:p w14:paraId="575D0E54" w14:textId="77777777" w:rsidR="004C1BC6" w:rsidRDefault="00C64D12" w:rsidP="00C64D12">
      <w:pPr>
        <w:spacing w:before="100" w:beforeAutospacing="1" w:after="100" w:afterAutospacing="1" w:line="240" w:lineRule="auto"/>
        <w:rPr>
          <w:rFonts w:ascii="Times New Roman" w:eastAsia="Times New Roman" w:hAnsi="Times New Roman" w:cs="Times New Roman"/>
          <w:sz w:val="24"/>
          <w:szCs w:val="24"/>
          <w:lang w:eastAsia="es-CO"/>
        </w:rPr>
      </w:pPr>
      <w:r w:rsidRPr="00C64D12">
        <w:rPr>
          <w:rFonts w:ascii="Times New Roman" w:eastAsia="Times New Roman" w:hAnsi="Times New Roman" w:cs="Times New Roman"/>
          <w:b/>
          <w:bCs/>
          <w:sz w:val="24"/>
          <w:szCs w:val="24"/>
          <w:lang w:eastAsia="es-CO"/>
        </w:rPr>
        <w:t>(0:00 - 0:45) I. El Contexto y el Riesgo (El Mundo Ordinario y la Llamada)</w:t>
      </w:r>
      <w:r w:rsidRPr="00C64D12">
        <w:rPr>
          <w:rFonts w:ascii="Times New Roman" w:eastAsia="Times New Roman" w:hAnsi="Times New Roman" w:cs="Times New Roman"/>
          <w:sz w:val="24"/>
          <w:szCs w:val="24"/>
          <w:lang w:eastAsia="es-CO"/>
        </w:rPr>
        <w:t xml:space="preserve"> </w:t>
      </w:r>
      <w:r w:rsidRPr="00C64D12">
        <w:rPr>
          <w:rFonts w:ascii="Times New Roman" w:eastAsia="Times New Roman" w:hAnsi="Times New Roman" w:cs="Times New Roman"/>
          <w:i/>
          <w:iCs/>
          <w:sz w:val="24"/>
          <w:szCs w:val="24"/>
          <w:lang w:eastAsia="es-CO"/>
        </w:rPr>
        <w:t>Visual:</w:t>
      </w:r>
      <w:r w:rsidRPr="00C64D12">
        <w:rPr>
          <w:rFonts w:ascii="Times New Roman" w:eastAsia="Times New Roman" w:hAnsi="Times New Roman" w:cs="Times New Roman"/>
          <w:sz w:val="24"/>
          <w:szCs w:val="24"/>
          <w:lang w:eastAsia="es-CO"/>
        </w:rPr>
        <w:t xml:space="preserve"> [Contacto visual directo a la cámara. Postura segura]. "</w:t>
      </w:r>
      <w:r w:rsidR="004C1BC6">
        <w:rPr>
          <w:rFonts w:ascii="Times New Roman" w:eastAsia="Times New Roman" w:hAnsi="Times New Roman" w:cs="Times New Roman"/>
          <w:sz w:val="24"/>
          <w:szCs w:val="24"/>
          <w:lang w:eastAsia="es-CO"/>
        </w:rPr>
        <w:t>Hola a todos.</w:t>
      </w:r>
      <w:r w:rsidRPr="00C64D12">
        <w:rPr>
          <w:rFonts w:ascii="Times New Roman" w:eastAsia="Times New Roman" w:hAnsi="Times New Roman" w:cs="Times New Roman"/>
          <w:sz w:val="24"/>
          <w:szCs w:val="24"/>
          <w:lang w:eastAsia="es-CO"/>
        </w:rPr>
        <w:t xml:space="preserve"> Soy Andrey Pachón Adames, y presento mi anteproyecto de maestría: </w:t>
      </w:r>
      <w:r w:rsidRPr="00C64D12">
        <w:rPr>
          <w:rFonts w:ascii="Times New Roman" w:eastAsia="Times New Roman" w:hAnsi="Times New Roman" w:cs="Times New Roman"/>
          <w:i/>
          <w:iCs/>
          <w:sz w:val="24"/>
          <w:szCs w:val="24"/>
          <w:lang w:eastAsia="es-CO"/>
        </w:rPr>
        <w:t>Sistema híbrido LLM-agente para detección y verificación de desinformación financiera en Colombia</w:t>
      </w:r>
      <w:r w:rsidRPr="00C64D12">
        <w:rPr>
          <w:rFonts w:ascii="Times New Roman" w:eastAsia="Times New Roman" w:hAnsi="Times New Roman" w:cs="Times New Roman"/>
          <w:sz w:val="24"/>
          <w:szCs w:val="24"/>
          <w:lang w:eastAsia="es-CO"/>
        </w:rPr>
        <w:t xml:space="preserve">. </w:t>
      </w:r>
    </w:p>
    <w:p w14:paraId="5F5731E8" w14:textId="070F7BF9" w:rsidR="00C64D12" w:rsidRPr="00C64D12" w:rsidRDefault="00C64D12" w:rsidP="00C64D12">
      <w:pPr>
        <w:spacing w:before="100" w:beforeAutospacing="1" w:after="100" w:afterAutospacing="1" w:line="240" w:lineRule="auto"/>
        <w:rPr>
          <w:rFonts w:ascii="Times New Roman" w:eastAsia="Times New Roman" w:hAnsi="Times New Roman" w:cs="Times New Roman"/>
          <w:sz w:val="24"/>
          <w:szCs w:val="24"/>
          <w:lang w:eastAsia="es-CO"/>
        </w:rPr>
      </w:pPr>
      <w:r w:rsidRPr="00C64D12">
        <w:rPr>
          <w:rFonts w:ascii="Times New Roman" w:eastAsia="Times New Roman" w:hAnsi="Times New Roman" w:cs="Times New Roman"/>
          <w:sz w:val="24"/>
          <w:szCs w:val="24"/>
          <w:lang w:eastAsia="es-CO"/>
        </w:rPr>
        <w:t xml:space="preserve">El ecosistema bancario opera sobre la confianza, pero esa confianza está bajo asedio. Según el Foro Económico Mundial (2024), la desinformación es el riesgo global número uno. En nuestro país, el 53% de los ciudadanos enfrenta noticias falsas diariamente. En el sector financiero, un simple rumor sobre la liquidez de una entidad o </w:t>
      </w:r>
      <w:r w:rsidR="004C1BC6">
        <w:rPr>
          <w:rFonts w:ascii="Times New Roman" w:eastAsia="Times New Roman" w:hAnsi="Times New Roman" w:cs="Times New Roman"/>
          <w:sz w:val="24"/>
          <w:szCs w:val="24"/>
          <w:lang w:eastAsia="es-CO"/>
        </w:rPr>
        <w:t xml:space="preserve">la especulación de </w:t>
      </w:r>
      <w:r w:rsidRPr="00C64D12">
        <w:rPr>
          <w:rFonts w:ascii="Times New Roman" w:eastAsia="Times New Roman" w:hAnsi="Times New Roman" w:cs="Times New Roman"/>
          <w:sz w:val="24"/>
          <w:szCs w:val="24"/>
          <w:lang w:eastAsia="es-CO"/>
        </w:rPr>
        <w:t>tasas de interés</w:t>
      </w:r>
      <w:r w:rsidR="004C1BC6">
        <w:rPr>
          <w:rFonts w:ascii="Times New Roman" w:eastAsia="Times New Roman" w:hAnsi="Times New Roman" w:cs="Times New Roman"/>
          <w:sz w:val="24"/>
          <w:szCs w:val="24"/>
          <w:lang w:eastAsia="es-CO"/>
        </w:rPr>
        <w:t xml:space="preserve"> o el Bitcoin, </w:t>
      </w:r>
      <w:r w:rsidRPr="00C64D12">
        <w:rPr>
          <w:rFonts w:ascii="Times New Roman" w:eastAsia="Times New Roman" w:hAnsi="Times New Roman" w:cs="Times New Roman"/>
          <w:sz w:val="24"/>
          <w:szCs w:val="24"/>
          <w:lang w:eastAsia="es-CO"/>
        </w:rPr>
        <w:t xml:space="preserve">detona pánico y </w:t>
      </w:r>
      <w:r w:rsidR="004C1BC6">
        <w:rPr>
          <w:rFonts w:ascii="Times New Roman" w:eastAsia="Times New Roman" w:hAnsi="Times New Roman" w:cs="Times New Roman"/>
          <w:sz w:val="24"/>
          <w:szCs w:val="24"/>
          <w:lang w:eastAsia="es-CO"/>
        </w:rPr>
        <w:t xml:space="preserve">hasta en los peores de los casos, </w:t>
      </w:r>
      <w:r w:rsidRPr="00C64D12">
        <w:rPr>
          <w:rFonts w:ascii="Times New Roman" w:eastAsia="Times New Roman" w:hAnsi="Times New Roman" w:cs="Times New Roman"/>
          <w:sz w:val="24"/>
          <w:szCs w:val="24"/>
          <w:lang w:eastAsia="es-CO"/>
        </w:rPr>
        <w:t>pérdidas patrimoniales reales</w:t>
      </w:r>
      <w:r w:rsidR="004C1BC6">
        <w:rPr>
          <w:rFonts w:ascii="Times New Roman" w:eastAsia="Times New Roman" w:hAnsi="Times New Roman" w:cs="Times New Roman"/>
          <w:sz w:val="24"/>
          <w:szCs w:val="24"/>
          <w:lang w:eastAsia="es-CO"/>
        </w:rPr>
        <w:t xml:space="preserve"> y alta exposición al riesgo reputacional</w:t>
      </w:r>
      <w:r w:rsidRPr="00C64D12">
        <w:rPr>
          <w:rFonts w:ascii="Times New Roman" w:eastAsia="Times New Roman" w:hAnsi="Times New Roman" w:cs="Times New Roman"/>
          <w:sz w:val="24"/>
          <w:szCs w:val="24"/>
          <w:lang w:eastAsia="es-CO"/>
        </w:rPr>
        <w:t>. Necesitamos defender el ecosistema, pero no existen herramientas automatizadas adaptadas a nuestra regulación."</w:t>
      </w:r>
    </w:p>
    <w:p w14:paraId="2F228CFE" w14:textId="77777777" w:rsidR="00C64D12" w:rsidRPr="00C64D12" w:rsidRDefault="00C64D12" w:rsidP="00C64D12">
      <w:pPr>
        <w:spacing w:before="100" w:beforeAutospacing="1" w:after="100" w:afterAutospacing="1" w:line="240" w:lineRule="auto"/>
        <w:rPr>
          <w:rFonts w:ascii="Times New Roman" w:eastAsia="Times New Roman" w:hAnsi="Times New Roman" w:cs="Times New Roman"/>
          <w:sz w:val="24"/>
          <w:szCs w:val="24"/>
          <w:lang w:eastAsia="es-CO"/>
        </w:rPr>
      </w:pPr>
      <w:r w:rsidRPr="00C64D12">
        <w:rPr>
          <w:rFonts w:ascii="Times New Roman" w:eastAsia="Times New Roman" w:hAnsi="Times New Roman" w:cs="Times New Roman"/>
          <w:b/>
          <w:bCs/>
          <w:sz w:val="24"/>
          <w:szCs w:val="24"/>
          <w:lang w:eastAsia="es-CO"/>
        </w:rPr>
        <w:t>(0:45 - 1:30) II. La Barrera Técnica (El Guardián del Umbral)</w:t>
      </w:r>
      <w:r w:rsidRPr="00C64D12">
        <w:rPr>
          <w:rFonts w:ascii="Times New Roman" w:eastAsia="Times New Roman" w:hAnsi="Times New Roman" w:cs="Times New Roman"/>
          <w:sz w:val="24"/>
          <w:szCs w:val="24"/>
          <w:lang w:eastAsia="es-CO"/>
        </w:rPr>
        <w:t xml:space="preserve"> </w:t>
      </w:r>
      <w:r w:rsidRPr="00C64D12">
        <w:rPr>
          <w:rFonts w:ascii="Times New Roman" w:eastAsia="Times New Roman" w:hAnsi="Times New Roman" w:cs="Times New Roman"/>
          <w:i/>
          <w:iCs/>
          <w:sz w:val="24"/>
          <w:szCs w:val="24"/>
          <w:lang w:eastAsia="es-CO"/>
        </w:rPr>
        <w:t>Visual:</w:t>
      </w:r>
      <w:r w:rsidRPr="00C64D12">
        <w:rPr>
          <w:rFonts w:ascii="Times New Roman" w:eastAsia="Times New Roman" w:hAnsi="Times New Roman" w:cs="Times New Roman"/>
          <w:sz w:val="24"/>
          <w:szCs w:val="24"/>
          <w:lang w:eastAsia="es-CO"/>
        </w:rPr>
        <w:t xml:space="preserve"> [Señalar o hacer referencia a la </w:t>
      </w:r>
      <w:r w:rsidRPr="00C64D12">
        <w:rPr>
          <w:rFonts w:ascii="Times New Roman" w:eastAsia="Times New Roman" w:hAnsi="Times New Roman" w:cs="Times New Roman"/>
          <w:b/>
          <w:bCs/>
          <w:sz w:val="24"/>
          <w:szCs w:val="24"/>
          <w:lang w:eastAsia="es-CO"/>
        </w:rPr>
        <w:t>Figura 2</w:t>
      </w:r>
      <w:r w:rsidRPr="00C64D12">
        <w:rPr>
          <w:rFonts w:ascii="Times New Roman" w:eastAsia="Times New Roman" w:hAnsi="Times New Roman" w:cs="Times New Roman"/>
          <w:sz w:val="24"/>
          <w:szCs w:val="24"/>
          <w:lang w:eastAsia="es-CO"/>
        </w:rPr>
        <w:t xml:space="preserve"> (Gráfico del techo del 71%)]. "La primera intuición tecnológica sería usar Modelos de Lenguaje (</w:t>
      </w:r>
      <w:proofErr w:type="spellStart"/>
      <w:r w:rsidRPr="00C64D12">
        <w:rPr>
          <w:rFonts w:ascii="Times New Roman" w:eastAsia="Times New Roman" w:hAnsi="Times New Roman" w:cs="Times New Roman"/>
          <w:sz w:val="24"/>
          <w:szCs w:val="24"/>
          <w:lang w:eastAsia="es-CO"/>
        </w:rPr>
        <w:t>LLMs</w:t>
      </w:r>
      <w:proofErr w:type="spellEnd"/>
      <w:r w:rsidRPr="00C64D12">
        <w:rPr>
          <w:rFonts w:ascii="Times New Roman" w:eastAsia="Times New Roman" w:hAnsi="Times New Roman" w:cs="Times New Roman"/>
          <w:sz w:val="24"/>
          <w:szCs w:val="24"/>
          <w:lang w:eastAsia="es-CO"/>
        </w:rPr>
        <w:t xml:space="preserve">) para filtrar este ruido. Sin embargo, como ilustra la Figura 2 de mi póster, nos enfrentamos a un techo técnico crítico. La literatura reciente demuestra que los </w:t>
      </w:r>
      <w:proofErr w:type="spellStart"/>
      <w:r w:rsidRPr="00C64D12">
        <w:rPr>
          <w:rFonts w:ascii="Times New Roman" w:eastAsia="Times New Roman" w:hAnsi="Times New Roman" w:cs="Times New Roman"/>
          <w:sz w:val="24"/>
          <w:szCs w:val="24"/>
          <w:lang w:eastAsia="es-CO"/>
        </w:rPr>
        <w:t>LLMs</w:t>
      </w:r>
      <w:proofErr w:type="spellEnd"/>
      <w:r w:rsidRPr="00C64D12">
        <w:rPr>
          <w:rFonts w:ascii="Times New Roman" w:eastAsia="Times New Roman" w:hAnsi="Times New Roman" w:cs="Times New Roman"/>
          <w:sz w:val="24"/>
          <w:szCs w:val="24"/>
          <w:lang w:eastAsia="es-CO"/>
        </w:rPr>
        <w:t xml:space="preserve"> estándar, al operar de forma aislada y depender únicamente de su conocimiento paramétrico, alcanzan un límite de precisión de apenas el 64% al 71% en tareas de verificación compleja. En un entorno transaccional crítico, un margen de error del 30% y el riesgo constante de alucinaciones es inasumible. El modelo aislado no sirve porque está desconectado de la realidad institucional actual."</w:t>
      </w:r>
    </w:p>
    <w:p w14:paraId="5B87B27B" w14:textId="77777777" w:rsidR="00C64D12" w:rsidRPr="00C64D12" w:rsidRDefault="00C64D12" w:rsidP="00C64D12">
      <w:pPr>
        <w:spacing w:before="100" w:beforeAutospacing="1" w:after="100" w:afterAutospacing="1" w:line="240" w:lineRule="auto"/>
        <w:rPr>
          <w:rFonts w:ascii="Times New Roman" w:eastAsia="Times New Roman" w:hAnsi="Times New Roman" w:cs="Times New Roman"/>
          <w:sz w:val="24"/>
          <w:szCs w:val="24"/>
          <w:lang w:eastAsia="es-CO"/>
        </w:rPr>
      </w:pPr>
      <w:r w:rsidRPr="00C64D12">
        <w:rPr>
          <w:rFonts w:ascii="Times New Roman" w:eastAsia="Times New Roman" w:hAnsi="Times New Roman" w:cs="Times New Roman"/>
          <w:b/>
          <w:bCs/>
          <w:sz w:val="24"/>
          <w:szCs w:val="24"/>
          <w:lang w:eastAsia="es-CO"/>
        </w:rPr>
        <w:t>(1:30 - 2:30) III. La Arquitectura Propuesta (La Herramienta / El Aliado)</w:t>
      </w:r>
      <w:r w:rsidRPr="00C64D12">
        <w:rPr>
          <w:rFonts w:ascii="Times New Roman" w:eastAsia="Times New Roman" w:hAnsi="Times New Roman" w:cs="Times New Roman"/>
          <w:sz w:val="24"/>
          <w:szCs w:val="24"/>
          <w:lang w:eastAsia="es-CO"/>
        </w:rPr>
        <w:t xml:space="preserve"> </w:t>
      </w:r>
      <w:r w:rsidRPr="00C64D12">
        <w:rPr>
          <w:rFonts w:ascii="Times New Roman" w:eastAsia="Times New Roman" w:hAnsi="Times New Roman" w:cs="Times New Roman"/>
          <w:i/>
          <w:iCs/>
          <w:sz w:val="24"/>
          <w:szCs w:val="24"/>
          <w:lang w:eastAsia="es-CO"/>
        </w:rPr>
        <w:t>Visual:</w:t>
      </w:r>
      <w:r w:rsidRPr="00C64D12">
        <w:rPr>
          <w:rFonts w:ascii="Times New Roman" w:eastAsia="Times New Roman" w:hAnsi="Times New Roman" w:cs="Times New Roman"/>
          <w:sz w:val="24"/>
          <w:szCs w:val="24"/>
          <w:lang w:eastAsia="es-CO"/>
        </w:rPr>
        <w:t xml:space="preserve"> [Señalar la </w:t>
      </w:r>
      <w:r w:rsidRPr="00C64D12">
        <w:rPr>
          <w:rFonts w:ascii="Times New Roman" w:eastAsia="Times New Roman" w:hAnsi="Times New Roman" w:cs="Times New Roman"/>
          <w:b/>
          <w:bCs/>
          <w:sz w:val="24"/>
          <w:szCs w:val="24"/>
          <w:lang w:eastAsia="es-CO"/>
        </w:rPr>
        <w:t>Figura 1</w:t>
      </w:r>
      <w:r w:rsidRPr="00C64D12">
        <w:rPr>
          <w:rFonts w:ascii="Times New Roman" w:eastAsia="Times New Roman" w:hAnsi="Times New Roman" w:cs="Times New Roman"/>
          <w:sz w:val="24"/>
          <w:szCs w:val="24"/>
          <w:lang w:eastAsia="es-CO"/>
        </w:rPr>
        <w:t xml:space="preserve"> (Diagrama de la Arquitectura Minimalista)]. "Para romper ese límite, mi investigación no busca que la Inteligencia Artificial reemplace al analista, sino que siga una filosofía de </w:t>
      </w:r>
      <w:r w:rsidRPr="00C64D12">
        <w:rPr>
          <w:rFonts w:ascii="Times New Roman" w:eastAsia="Times New Roman" w:hAnsi="Times New Roman" w:cs="Times New Roman"/>
          <w:i/>
          <w:iCs/>
          <w:sz w:val="24"/>
          <w:szCs w:val="24"/>
          <w:lang w:eastAsia="es-CO"/>
        </w:rPr>
        <w:t>Human-in-the-</w:t>
      </w:r>
      <w:proofErr w:type="spellStart"/>
      <w:r w:rsidRPr="00C64D12">
        <w:rPr>
          <w:rFonts w:ascii="Times New Roman" w:eastAsia="Times New Roman" w:hAnsi="Times New Roman" w:cs="Times New Roman"/>
          <w:i/>
          <w:iCs/>
          <w:sz w:val="24"/>
          <w:szCs w:val="24"/>
          <w:lang w:eastAsia="es-CO"/>
        </w:rPr>
        <w:t>loop</w:t>
      </w:r>
      <w:proofErr w:type="spellEnd"/>
      <w:r w:rsidRPr="00C64D12">
        <w:rPr>
          <w:rFonts w:ascii="Times New Roman" w:eastAsia="Times New Roman" w:hAnsi="Times New Roman" w:cs="Times New Roman"/>
          <w:sz w:val="24"/>
          <w:szCs w:val="24"/>
          <w:lang w:eastAsia="es-CO"/>
        </w:rPr>
        <w:t>, actuando como un amplificador del criterio humano. Propongo una arquitectura de orquestación híbrida, visible en la Figura 1. El LLM actúa solo como un motor de razonamiento inicial. Si detecta una noticia dudosa y su certeza es baja, el sistema no alucina una respuesta; en su lugar, activa condicionalmente un Agente Verificador. Este agente autónomo tiene la capacidad de conectarse a internet y consultar vía API a las fuentes oficiales: la Superfinanciera, el Banco de la República y el DANE. Cruza la información en tiempo real y emite un veredicto con trazabilidad institucional."</w:t>
      </w:r>
    </w:p>
    <w:p w14:paraId="7FD6FA16" w14:textId="6658F797" w:rsidR="00C64D12" w:rsidRPr="00C64D12" w:rsidRDefault="00C64D12" w:rsidP="00C64D12">
      <w:pPr>
        <w:spacing w:before="100" w:beforeAutospacing="1" w:after="100" w:afterAutospacing="1" w:line="240" w:lineRule="auto"/>
        <w:rPr>
          <w:rFonts w:ascii="Times New Roman" w:eastAsia="Times New Roman" w:hAnsi="Times New Roman" w:cs="Times New Roman"/>
          <w:sz w:val="24"/>
          <w:szCs w:val="24"/>
          <w:lang w:eastAsia="es-CO"/>
        </w:rPr>
      </w:pPr>
      <w:r w:rsidRPr="00C64D12">
        <w:rPr>
          <w:rFonts w:ascii="Times New Roman" w:eastAsia="Times New Roman" w:hAnsi="Times New Roman" w:cs="Times New Roman"/>
          <w:b/>
          <w:bCs/>
          <w:sz w:val="24"/>
          <w:szCs w:val="24"/>
          <w:lang w:eastAsia="es-CO"/>
        </w:rPr>
        <w:t>(2:30 - 3:20) IV. Diseño Metodológico (El Camino de las Pruebas)</w:t>
      </w:r>
      <w:r w:rsidRPr="00C64D12">
        <w:rPr>
          <w:rFonts w:ascii="Times New Roman" w:eastAsia="Times New Roman" w:hAnsi="Times New Roman" w:cs="Times New Roman"/>
          <w:sz w:val="24"/>
          <w:szCs w:val="24"/>
          <w:lang w:eastAsia="es-CO"/>
        </w:rPr>
        <w:t xml:space="preserve"> </w:t>
      </w:r>
      <w:r w:rsidRPr="00C64D12">
        <w:rPr>
          <w:rFonts w:ascii="Times New Roman" w:eastAsia="Times New Roman" w:hAnsi="Times New Roman" w:cs="Times New Roman"/>
          <w:i/>
          <w:iCs/>
          <w:sz w:val="24"/>
          <w:szCs w:val="24"/>
          <w:lang w:eastAsia="es-CO"/>
        </w:rPr>
        <w:t>Visual:</w:t>
      </w:r>
      <w:r w:rsidRPr="00C64D12">
        <w:rPr>
          <w:rFonts w:ascii="Times New Roman" w:eastAsia="Times New Roman" w:hAnsi="Times New Roman" w:cs="Times New Roman"/>
          <w:sz w:val="24"/>
          <w:szCs w:val="24"/>
          <w:lang w:eastAsia="es-CO"/>
        </w:rPr>
        <w:t xml:space="preserve"> [Referencia general al bloque de Metodología]. "Esta investigación aplicada se ejecutará en cuatro fases </w:t>
      </w:r>
      <w:proofErr w:type="gramStart"/>
      <w:r w:rsidRPr="00C64D12">
        <w:rPr>
          <w:rFonts w:ascii="Times New Roman" w:eastAsia="Times New Roman" w:hAnsi="Times New Roman" w:cs="Times New Roman"/>
          <w:sz w:val="24"/>
          <w:szCs w:val="24"/>
          <w:lang w:eastAsia="es-CO"/>
        </w:rPr>
        <w:t>metodológicas :</w:t>
      </w:r>
      <w:proofErr w:type="gramEnd"/>
    </w:p>
    <w:p w14:paraId="75452349" w14:textId="7E1F4CB2" w:rsidR="00C64D12" w:rsidRPr="00C64D12" w:rsidRDefault="00C64D12" w:rsidP="00C64D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C64D12">
        <w:rPr>
          <w:rFonts w:ascii="Times New Roman" w:eastAsia="Times New Roman" w:hAnsi="Times New Roman" w:cs="Times New Roman"/>
          <w:sz w:val="24"/>
          <w:szCs w:val="24"/>
          <w:lang w:eastAsia="es-CO"/>
        </w:rPr>
        <w:t>Construcción de</w:t>
      </w:r>
      <w:r w:rsidR="00634907">
        <w:rPr>
          <w:rFonts w:ascii="Times New Roman" w:eastAsia="Times New Roman" w:hAnsi="Times New Roman" w:cs="Times New Roman"/>
          <w:sz w:val="24"/>
          <w:szCs w:val="24"/>
          <w:lang w:eastAsia="es-CO"/>
        </w:rPr>
        <w:t>l</w:t>
      </w:r>
      <w:r w:rsidR="004C1BC6">
        <w:rPr>
          <w:rFonts w:ascii="Times New Roman" w:eastAsia="Times New Roman" w:hAnsi="Times New Roman" w:cs="Times New Roman"/>
          <w:sz w:val="24"/>
          <w:szCs w:val="24"/>
          <w:lang w:eastAsia="es-CO"/>
        </w:rPr>
        <w:t xml:space="preserve"> </w:t>
      </w:r>
      <w:proofErr w:type="spellStart"/>
      <w:r w:rsidRPr="00C64D12">
        <w:rPr>
          <w:rFonts w:ascii="Times New Roman" w:eastAsia="Times New Roman" w:hAnsi="Times New Roman" w:cs="Times New Roman"/>
          <w:i/>
          <w:iCs/>
          <w:sz w:val="24"/>
          <w:szCs w:val="24"/>
          <w:lang w:eastAsia="es-CO"/>
        </w:rPr>
        <w:t>dataset</w:t>
      </w:r>
      <w:proofErr w:type="spellEnd"/>
      <w:r w:rsidRPr="00C64D12">
        <w:rPr>
          <w:rFonts w:ascii="Times New Roman" w:eastAsia="Times New Roman" w:hAnsi="Times New Roman" w:cs="Times New Roman"/>
          <w:sz w:val="24"/>
          <w:szCs w:val="24"/>
          <w:lang w:eastAsia="es-CO"/>
        </w:rPr>
        <w:t xml:space="preserve"> especializado de 800 a 1.000 noticias financieras colombianas, validadas con entidades como </w:t>
      </w:r>
      <w:proofErr w:type="spellStart"/>
      <w:r w:rsidRPr="00C64D12">
        <w:rPr>
          <w:rFonts w:ascii="Times New Roman" w:eastAsia="Times New Roman" w:hAnsi="Times New Roman" w:cs="Times New Roman"/>
          <w:sz w:val="24"/>
          <w:szCs w:val="24"/>
          <w:lang w:eastAsia="es-CO"/>
        </w:rPr>
        <w:t>ColombiaCheck</w:t>
      </w:r>
      <w:proofErr w:type="spellEnd"/>
      <w:r w:rsidR="004C1BC6">
        <w:rPr>
          <w:rFonts w:ascii="Times New Roman" w:eastAsia="Times New Roman" w:hAnsi="Times New Roman" w:cs="Times New Roman"/>
          <w:sz w:val="24"/>
          <w:szCs w:val="24"/>
          <w:lang w:eastAsia="es-CO"/>
        </w:rPr>
        <w:t xml:space="preserve"> y otros sitios confiables.</w:t>
      </w:r>
    </w:p>
    <w:p w14:paraId="7867AD1D" w14:textId="77777777" w:rsidR="00C64D12" w:rsidRPr="00C64D12" w:rsidRDefault="00C64D12" w:rsidP="00C64D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C64D12">
        <w:rPr>
          <w:rFonts w:ascii="Times New Roman" w:eastAsia="Times New Roman" w:hAnsi="Times New Roman" w:cs="Times New Roman"/>
          <w:sz w:val="24"/>
          <w:szCs w:val="24"/>
          <w:lang w:eastAsia="es-CO"/>
        </w:rPr>
        <w:t xml:space="preserve">Evaluación de modelos base en escenarios </w:t>
      </w:r>
      <w:r w:rsidRPr="00C64D12">
        <w:rPr>
          <w:rFonts w:ascii="Times New Roman" w:eastAsia="Times New Roman" w:hAnsi="Times New Roman" w:cs="Times New Roman"/>
          <w:i/>
          <w:iCs/>
          <w:sz w:val="24"/>
          <w:szCs w:val="24"/>
          <w:lang w:eastAsia="es-CO"/>
        </w:rPr>
        <w:t>Zero-</w:t>
      </w:r>
      <w:proofErr w:type="spellStart"/>
      <w:r w:rsidRPr="00C64D12">
        <w:rPr>
          <w:rFonts w:ascii="Times New Roman" w:eastAsia="Times New Roman" w:hAnsi="Times New Roman" w:cs="Times New Roman"/>
          <w:i/>
          <w:iCs/>
          <w:sz w:val="24"/>
          <w:szCs w:val="24"/>
          <w:lang w:eastAsia="es-CO"/>
        </w:rPr>
        <w:t>shot</w:t>
      </w:r>
      <w:proofErr w:type="spellEnd"/>
      <w:r w:rsidRPr="00C64D12">
        <w:rPr>
          <w:rFonts w:ascii="Times New Roman" w:eastAsia="Times New Roman" w:hAnsi="Times New Roman" w:cs="Times New Roman"/>
          <w:sz w:val="24"/>
          <w:szCs w:val="24"/>
          <w:lang w:eastAsia="es-CO"/>
        </w:rPr>
        <w:t xml:space="preserve"> para establecer una línea base estricta.</w:t>
      </w:r>
    </w:p>
    <w:p w14:paraId="3C692CA5" w14:textId="77777777" w:rsidR="00C64D12" w:rsidRPr="00C64D12" w:rsidRDefault="00C64D12" w:rsidP="00C64D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C64D12">
        <w:rPr>
          <w:rFonts w:ascii="Times New Roman" w:eastAsia="Times New Roman" w:hAnsi="Times New Roman" w:cs="Times New Roman"/>
          <w:sz w:val="24"/>
          <w:szCs w:val="24"/>
          <w:lang w:eastAsia="es-CO"/>
        </w:rPr>
        <w:t>Desarrollo de los flujos agenticos.</w:t>
      </w:r>
    </w:p>
    <w:p w14:paraId="29E27A34" w14:textId="77777777" w:rsidR="00C64D12" w:rsidRPr="00C64D12" w:rsidRDefault="00C64D12" w:rsidP="00C64D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C64D12">
        <w:rPr>
          <w:rFonts w:ascii="Times New Roman" w:eastAsia="Times New Roman" w:hAnsi="Times New Roman" w:cs="Times New Roman"/>
          <w:sz w:val="24"/>
          <w:szCs w:val="24"/>
          <w:lang w:eastAsia="es-CO"/>
        </w:rPr>
        <w:lastRenderedPageBreak/>
        <w:t>Evaluación comparativa del sistema híbrido versus el modelo estático, midiendo precisión y tasa de alucinación."</w:t>
      </w:r>
    </w:p>
    <w:p w14:paraId="7076E292" w14:textId="77777777" w:rsidR="00C64D12" w:rsidRPr="00C64D12" w:rsidRDefault="00C64D12" w:rsidP="00C64D12">
      <w:pPr>
        <w:spacing w:before="100" w:beforeAutospacing="1" w:after="100" w:afterAutospacing="1" w:line="240" w:lineRule="auto"/>
        <w:rPr>
          <w:rFonts w:ascii="Times New Roman" w:eastAsia="Times New Roman" w:hAnsi="Times New Roman" w:cs="Times New Roman"/>
          <w:sz w:val="24"/>
          <w:szCs w:val="24"/>
          <w:lang w:eastAsia="es-CO"/>
        </w:rPr>
      </w:pPr>
      <w:r w:rsidRPr="00C64D12">
        <w:rPr>
          <w:rFonts w:ascii="Times New Roman" w:eastAsia="Times New Roman" w:hAnsi="Times New Roman" w:cs="Times New Roman"/>
          <w:b/>
          <w:bCs/>
          <w:sz w:val="24"/>
          <w:szCs w:val="24"/>
          <w:lang w:eastAsia="es-CO"/>
        </w:rPr>
        <w:t>(3:20 - 4:15) V. Justificación y Aporte Final (El Regreso con el Elixir)</w:t>
      </w:r>
      <w:r w:rsidRPr="00C64D12">
        <w:rPr>
          <w:rFonts w:ascii="Times New Roman" w:eastAsia="Times New Roman" w:hAnsi="Times New Roman" w:cs="Times New Roman"/>
          <w:sz w:val="24"/>
          <w:szCs w:val="24"/>
          <w:lang w:eastAsia="es-CO"/>
        </w:rPr>
        <w:t xml:space="preserve"> </w:t>
      </w:r>
      <w:r w:rsidRPr="00C64D12">
        <w:rPr>
          <w:rFonts w:ascii="Times New Roman" w:eastAsia="Times New Roman" w:hAnsi="Times New Roman" w:cs="Times New Roman"/>
          <w:i/>
          <w:iCs/>
          <w:sz w:val="24"/>
          <w:szCs w:val="24"/>
          <w:lang w:eastAsia="es-CO"/>
        </w:rPr>
        <w:t>Visual:</w:t>
      </w:r>
      <w:r w:rsidRPr="00C64D12">
        <w:rPr>
          <w:rFonts w:ascii="Times New Roman" w:eastAsia="Times New Roman" w:hAnsi="Times New Roman" w:cs="Times New Roman"/>
          <w:sz w:val="24"/>
          <w:szCs w:val="24"/>
          <w:lang w:eastAsia="es-CO"/>
        </w:rPr>
        <w:t xml:space="preserve"> [Contacto visual a la cámara, tono conclusivo y proyectivo]. "Al encontrarnos en fase de anteproyecto, los resultados proyectados se fundamentan en el estado del arte sobre sistemas de Recuperación Aumentada (RAG) y flujos agenticos. La literatura indica que la inyección de evidencia externa permite cerrar la brecha de error paramétrico, por lo que proyectamos que nuestra arquitectura superará la línea base en un rango del 8% al 15% en las métricas de clasificación. El aporte final de esta tesis es dual: entregar a la comunidad científica el primer corpus de evaluación financiera para Colombia, y demostrar empíricamente que la orquestación condicional de agentes es el diseño óptimo y eficiente para proteger la integridad de nuestro ecosistema económico. Muchas gracias."</w:t>
      </w:r>
    </w:p>
    <w:p w14:paraId="2F145AC4" w14:textId="77777777" w:rsidR="008D020E" w:rsidRDefault="008D020E"/>
    <w:sectPr w:rsidR="008D020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F247DC"/>
    <w:multiLevelType w:val="multilevel"/>
    <w:tmpl w:val="22E4F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7555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D12"/>
    <w:rsid w:val="004C1BC6"/>
    <w:rsid w:val="00634907"/>
    <w:rsid w:val="008D020E"/>
    <w:rsid w:val="0099367C"/>
    <w:rsid w:val="00C64D1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4D170"/>
  <w15:chartTrackingRefBased/>
  <w15:docId w15:val="{DF02C41F-FB39-458A-B286-ADB5DD0C9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C64D12"/>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C64D12"/>
    <w:rPr>
      <w:rFonts w:ascii="Times New Roman" w:eastAsia="Times New Roman" w:hAnsi="Times New Roman" w:cs="Times New Roman"/>
      <w:b/>
      <w:bCs/>
      <w:sz w:val="27"/>
      <w:szCs w:val="27"/>
      <w:lang w:eastAsia="es-CO"/>
    </w:rPr>
  </w:style>
  <w:style w:type="paragraph" w:styleId="NormalWeb">
    <w:name w:val="Normal (Web)"/>
    <w:basedOn w:val="Normal"/>
    <w:uiPriority w:val="99"/>
    <w:semiHidden/>
    <w:unhideWhenUsed/>
    <w:rsid w:val="00C64D12"/>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952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2454</TotalTime>
  <Pages>1</Pages>
  <Words>630</Words>
  <Characters>3471</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 Pachon</dc:creator>
  <cp:keywords/>
  <dc:description/>
  <cp:lastModifiedBy>Andrey Pachon</cp:lastModifiedBy>
  <cp:revision>3</cp:revision>
  <dcterms:created xsi:type="dcterms:W3CDTF">2026-06-15T01:52:00Z</dcterms:created>
  <dcterms:modified xsi:type="dcterms:W3CDTF">2026-06-16T18:46:00Z</dcterms:modified>
</cp:coreProperties>
</file>