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E6211" w:rsidRPr="00933044" w:rsidRDefault="00CE6211" w:rsidP="002A4F27">
      <w:pPr>
        <w:spacing w:line="480" w:lineRule="auto"/>
        <w:jc w:val="center"/>
        <w:rPr>
          <w:rFonts w:ascii="Times New Roman" w:eastAsia="Times New Roman" w:hAnsi="Times New Roman" w:cs="Times New Roman"/>
          <w:b/>
          <w:sz w:val="24"/>
          <w:szCs w:val="24"/>
        </w:rPr>
      </w:pPr>
      <w:r w:rsidRPr="00933044">
        <w:rPr>
          <w:rFonts w:ascii="Times New Roman" w:eastAsia="Times New Roman" w:hAnsi="Times New Roman" w:cs="Times New Roman"/>
          <w:b/>
          <w:sz w:val="24"/>
          <w:szCs w:val="24"/>
        </w:rPr>
        <w:t>Antec</w:t>
      </w:r>
      <w:bookmarkStart w:id="0" w:name="_GoBack"/>
      <w:bookmarkEnd w:id="0"/>
      <w:r w:rsidRPr="00933044">
        <w:rPr>
          <w:rFonts w:ascii="Times New Roman" w:eastAsia="Times New Roman" w:hAnsi="Times New Roman" w:cs="Times New Roman"/>
          <w:b/>
          <w:sz w:val="24"/>
          <w:szCs w:val="24"/>
        </w:rPr>
        <w:t>edentes históricos</w:t>
      </w:r>
    </w:p>
    <w:p w:rsidR="00CE6211" w:rsidRPr="00933044" w:rsidRDefault="00CE6211" w:rsidP="00CE6211">
      <w:pPr>
        <w:spacing w:line="480" w:lineRule="auto"/>
        <w:ind w:firstLine="720"/>
        <w:jc w:val="both"/>
        <w:rPr>
          <w:rFonts w:ascii="Times New Roman" w:eastAsia="Times New Roman" w:hAnsi="Times New Roman" w:cs="Times New Roman"/>
          <w:sz w:val="24"/>
          <w:szCs w:val="24"/>
        </w:rPr>
      </w:pPr>
      <w:r w:rsidRPr="00933044">
        <w:rPr>
          <w:rFonts w:ascii="Times New Roman" w:eastAsia="Times New Roman" w:hAnsi="Times New Roman" w:cs="Times New Roman"/>
          <w:sz w:val="24"/>
          <w:szCs w:val="24"/>
        </w:rPr>
        <w:t>Durante este periodo analizado, Colombia vivió uno de los periodos más complejos de su historia reciente, marcado por la persistencia del conflicto armado interno, el auge y la transformación de las economías ilegales, la reconfiguración de actores armados y la implementación de políticas de seguridad y procesos de paz. Estos acontecimientos no solo impactaron a las instituciones y a las comunidades, sino que también se reflejaron en la producción artística y musical, que se convirtió en un medio de denuncia, memoria y resistencia.</w:t>
      </w:r>
    </w:p>
    <w:p w:rsidR="00CE6211" w:rsidRPr="00933044" w:rsidRDefault="00CE6211" w:rsidP="00CE6211">
      <w:pPr>
        <w:spacing w:line="480" w:lineRule="auto"/>
        <w:ind w:firstLine="720"/>
        <w:jc w:val="both"/>
        <w:rPr>
          <w:rFonts w:ascii="Times New Roman" w:eastAsia="Times New Roman" w:hAnsi="Times New Roman" w:cs="Times New Roman"/>
          <w:sz w:val="24"/>
          <w:szCs w:val="24"/>
        </w:rPr>
      </w:pPr>
      <w:r w:rsidRPr="00933044">
        <w:rPr>
          <w:rFonts w:ascii="Times New Roman" w:eastAsia="Times New Roman" w:hAnsi="Times New Roman" w:cs="Times New Roman"/>
          <w:sz w:val="24"/>
          <w:szCs w:val="24"/>
        </w:rPr>
        <w:t xml:space="preserve">Aunque a inicios de los años noventa el poder de los principales carteles del narcotráfico –el de Medellín y Cali– comenzó su declive, el negocio ilícito no desapareció. Por el contrario, se fragmentó en redes más pequeñas y descentralizadas, muchas de las cuales pasaron a financiar y sostener a grupos armados ilegales. Esta conexión entre economías ilegales y actores armados, además de aumentar aún más la violencia en múltiples regiones, permitió el fortalecimiento de su capacidad económica y militar </w:t>
      </w:r>
      <w:r w:rsidRPr="00933044">
        <w:rPr>
          <w:rFonts w:ascii="Times New Roman" w:eastAsia="Times New Roman" w:hAnsi="Times New Roman" w:cs="Times New Roman"/>
          <w:sz w:val="24"/>
          <w:szCs w:val="24"/>
        </w:rPr>
        <w:fldChar w:fldCharType="begin"/>
      </w:r>
      <w:r w:rsidRPr="00933044">
        <w:rPr>
          <w:rFonts w:ascii="Times New Roman" w:eastAsia="Times New Roman" w:hAnsi="Times New Roman" w:cs="Times New Roman"/>
          <w:sz w:val="24"/>
          <w:szCs w:val="24"/>
        </w:rPr>
        <w:instrText xml:space="preserve"> ADDIN ZOTERO_ITEM CSL_CITATION {"citationID":"FIENsxHC","properties":{"formattedCitation":"(Garc\\uc0\\u237{}a Luna, 2013)","plainCitation":"(García Luna, 2013)","noteIndex":0},"citationItems":[{"id":490,"uris":["http://zotero.org/groups/5652352/items/9ZUH3SDJ"],"itemData":{"id":490,"type":"thesis","abstract":"El fenómeno del narcotráfico se constituye como uno de los temas más relevantes en la agenda de los Estados en la actualidad, por esta razón, el presente trabajo analiza distintos ámbitos del fenómeno, concentrándose en el caso colombiano, y aludiendo al debate internacional. En este sentido, en principio se describe la problemática del fenómeno, luego se analiza y se proponen algunas recomendaciones que permitan superar las limitaciones o falencias que se han presentado en lo relativo a la lucha contra las drogas en la historia reciente del país, y finalmente, se establecerán conclusiones generales.","event-place":"Bogotá D.C., Colombia","language":"es","note":"DOI: 10.11144/Javeriana.10554.15289","number-of-pages":"96","publisher":"Pontificia Universidad Javeriana","publisher-place":"Bogotá D.C., Colombia","source":"DOI.org (Crossref)","title":"El narcotráfico en Colombia: de las falencias de la política de prohibición y sus secuelas, a la discusión de la descriminalización y despenalización","URL":"https://repository.javeriana.edu.co/handle/10554/15289","author":[{"family":"García Luna","given":"Gonzalo Ernesto"}],"accessed":{"date-parts":[["2025",9,14]]},"issued":{"date-parts":[["2013"]]}}}],"schema":"https://github.com/citation-style-language/schema/raw/master/csl-citation.json"} </w:instrText>
      </w:r>
      <w:r w:rsidRPr="00933044">
        <w:rPr>
          <w:rFonts w:ascii="Times New Roman" w:eastAsia="Times New Roman" w:hAnsi="Times New Roman" w:cs="Times New Roman"/>
          <w:sz w:val="24"/>
          <w:szCs w:val="24"/>
        </w:rPr>
        <w:fldChar w:fldCharType="separate"/>
      </w:r>
      <w:r w:rsidRPr="00933044">
        <w:rPr>
          <w:rFonts w:ascii="Times New Roman" w:hAnsi="Times New Roman" w:cs="Times New Roman"/>
          <w:sz w:val="24"/>
          <w:szCs w:val="24"/>
        </w:rPr>
        <w:t>(García Luna, 2013)</w:t>
      </w:r>
      <w:r w:rsidRPr="00933044">
        <w:rPr>
          <w:rFonts w:ascii="Times New Roman" w:eastAsia="Times New Roman" w:hAnsi="Times New Roman" w:cs="Times New Roman"/>
          <w:sz w:val="24"/>
          <w:szCs w:val="24"/>
        </w:rPr>
        <w:fldChar w:fldCharType="end"/>
      </w:r>
      <w:r w:rsidRPr="00933044">
        <w:rPr>
          <w:rFonts w:ascii="Times New Roman" w:eastAsia="Times New Roman" w:hAnsi="Times New Roman" w:cs="Times New Roman"/>
          <w:sz w:val="24"/>
          <w:szCs w:val="24"/>
        </w:rPr>
        <w:t xml:space="preserve">. </w:t>
      </w:r>
    </w:p>
    <w:p w:rsidR="00CE6211" w:rsidRPr="00933044" w:rsidRDefault="00CE6211" w:rsidP="00CE6211">
      <w:pPr>
        <w:spacing w:line="480" w:lineRule="auto"/>
        <w:ind w:firstLine="720"/>
        <w:jc w:val="both"/>
        <w:rPr>
          <w:rFonts w:ascii="Times New Roman" w:eastAsia="Times New Roman" w:hAnsi="Times New Roman" w:cs="Times New Roman"/>
          <w:sz w:val="24"/>
          <w:szCs w:val="24"/>
        </w:rPr>
      </w:pPr>
      <w:r w:rsidRPr="00933044">
        <w:rPr>
          <w:rFonts w:ascii="Times New Roman" w:eastAsia="Times New Roman" w:hAnsi="Times New Roman" w:cs="Times New Roman"/>
          <w:sz w:val="24"/>
          <w:szCs w:val="24"/>
        </w:rPr>
        <w:t xml:space="preserve">En este escenario, uno de los hechos más recurrentes y dolorosos fueron las masacres, entendidas como “el homicidio intencional y simultáneo de varias personas (tres o más) en estado de indefensión, por un mismo autor y en iguales circunstancias de modo, tiempo y lugar” </w:t>
      </w:r>
      <w:r w:rsidRPr="00933044">
        <w:rPr>
          <w:rFonts w:ascii="Times New Roman" w:eastAsia="Times New Roman" w:hAnsi="Times New Roman" w:cs="Times New Roman"/>
          <w:sz w:val="24"/>
          <w:szCs w:val="24"/>
        </w:rPr>
        <w:fldChar w:fldCharType="begin"/>
      </w:r>
      <w:r w:rsidRPr="00933044">
        <w:rPr>
          <w:rFonts w:ascii="Times New Roman" w:eastAsia="Times New Roman" w:hAnsi="Times New Roman" w:cs="Times New Roman"/>
          <w:sz w:val="24"/>
          <w:szCs w:val="24"/>
        </w:rPr>
        <w:instrText xml:space="preserve"> ADDIN ZOTERO_ITEM CSL_CITATION {"citationID":"A9m5s9JE","properties":{"formattedCitation":"(Indepaz, 2025)","plainCitation":"(Indepaz, 2025)","dontUpdate":true,"noteIndex":0},"citationItems":[{"id":479,"uris":["http://zotero.org/groups/5652352/items/9GEC427L"],"itemData":{"id":479,"type":"post-weblog","genre":"Indepaz","language":"es","title":"Masacres en Colombia durante el 2020, 2021, 2022, 2023, 2024 y 2025 – Indepaz","URL":"https://indepaz.org.co/informe-de-masacres-en-colombia-durante-el-2020-2021/comment-page-4/#comments","author":[{"family":"Indepaz","given":""}],"accessed":{"date-parts":[["2025",9,8]]},"issued":{"date-parts":[["2025",8,25]]}}}],"schema":"https://github.com/citation-style-language/schema/raw/master/csl-citation.json"} </w:instrText>
      </w:r>
      <w:r w:rsidRPr="00933044">
        <w:rPr>
          <w:rFonts w:ascii="Times New Roman" w:eastAsia="Times New Roman" w:hAnsi="Times New Roman" w:cs="Times New Roman"/>
          <w:sz w:val="24"/>
          <w:szCs w:val="24"/>
        </w:rPr>
        <w:fldChar w:fldCharType="separate"/>
      </w:r>
      <w:r w:rsidRPr="00933044">
        <w:rPr>
          <w:rFonts w:ascii="Times New Roman" w:hAnsi="Times New Roman" w:cs="Times New Roman"/>
          <w:sz w:val="24"/>
        </w:rPr>
        <w:t>(</w:t>
      </w:r>
      <w:r w:rsidRPr="00933044">
        <w:rPr>
          <w:rFonts w:ascii="Times New Roman" w:eastAsia="Times New Roman" w:hAnsi="Times New Roman" w:cs="Times New Roman"/>
          <w:sz w:val="24"/>
          <w:szCs w:val="24"/>
        </w:rPr>
        <w:t xml:space="preserve"> Instituto de Estudios para el Desarrollo y la Paz [</w:t>
      </w:r>
      <w:r w:rsidRPr="00933044">
        <w:rPr>
          <w:rFonts w:ascii="Times New Roman" w:hAnsi="Times New Roman" w:cs="Times New Roman"/>
          <w:sz w:val="24"/>
        </w:rPr>
        <w:t>Indepaz], 2025)</w:t>
      </w:r>
      <w:r w:rsidRPr="00933044">
        <w:rPr>
          <w:rFonts w:ascii="Times New Roman" w:eastAsia="Times New Roman" w:hAnsi="Times New Roman" w:cs="Times New Roman"/>
          <w:sz w:val="24"/>
          <w:szCs w:val="24"/>
        </w:rPr>
        <w:fldChar w:fldCharType="end"/>
      </w:r>
      <w:r w:rsidRPr="00933044">
        <w:rPr>
          <w:rFonts w:ascii="Times New Roman" w:eastAsia="Times New Roman" w:hAnsi="Times New Roman" w:cs="Times New Roman"/>
          <w:sz w:val="24"/>
          <w:szCs w:val="24"/>
        </w:rPr>
        <w:t>. Este fenómeno no solo evidencia la sevicia del conflicto armado, sino también su carácter sistemático y generalizado en amplias regiones del país.</w:t>
      </w:r>
    </w:p>
    <w:p w:rsidR="00CE6211" w:rsidRPr="00933044" w:rsidRDefault="00CE6211" w:rsidP="00CE6211">
      <w:pPr>
        <w:spacing w:line="480" w:lineRule="auto"/>
        <w:ind w:firstLine="720"/>
        <w:jc w:val="both"/>
        <w:rPr>
          <w:rFonts w:ascii="Times New Roman" w:eastAsia="Times New Roman" w:hAnsi="Times New Roman" w:cs="Times New Roman"/>
          <w:sz w:val="24"/>
          <w:szCs w:val="24"/>
        </w:rPr>
      </w:pPr>
      <w:r w:rsidRPr="00933044">
        <w:rPr>
          <w:rFonts w:ascii="Times New Roman" w:eastAsia="Times New Roman" w:hAnsi="Times New Roman" w:cs="Times New Roman"/>
          <w:sz w:val="24"/>
          <w:szCs w:val="24"/>
        </w:rPr>
        <w:t xml:space="preserve">Al mismo tiempo, se agudizaron los enfrentamientos entre estos grupos por el control de los territorios, rutas del narcotráfico y cultivos ilícitos, lo que generó el desplazamiento forzado de millones de personas que se vieron obligadas a abandonar sus </w:t>
      </w:r>
      <w:r w:rsidRPr="00933044">
        <w:rPr>
          <w:rFonts w:ascii="Times New Roman" w:eastAsia="Times New Roman" w:hAnsi="Times New Roman" w:cs="Times New Roman"/>
          <w:sz w:val="24"/>
          <w:szCs w:val="24"/>
        </w:rPr>
        <w:lastRenderedPageBreak/>
        <w:t>hogares, tierras, costumbres, comunidades y medios de vida. Esta situación ha “ubicado a Colombia como el segundo país con la mayor crisis humanitaria en el mundo, durante la mayor parte del siglo XX y comienzos del XXI”; después de la República Árabe Siria. Sin embargo, este éxodo no ha sido causado únicamente por los grupos armados ilegales. También ha sido el resultado de múltiples prácticas violentas impulsadas por alianzas entre distintos actores –narcotraficantes, empresarios y políticos–, quienes han impuesto la violencia como herramienta para obtener el poder político y acumular riqueza. Como consecuencia, se ha consolidado un modelo económico y social excluyente, injusto, concentrador de riqueza y discriminatorio, que transforma los territorios a través de la expulsión de sus habitantes (Centro Nacional de Memoria Histórica [CNMH]</w:t>
      </w:r>
      <w:r w:rsidRPr="00933044">
        <w:rPr>
          <w:rFonts w:ascii="Times New Roman" w:eastAsia="Times New Roman" w:hAnsi="Times New Roman" w:cs="Times New Roman"/>
          <w:sz w:val="24"/>
          <w:szCs w:val="24"/>
        </w:rPr>
        <w:t>, 2015</w:t>
      </w:r>
      <w:r w:rsidRPr="00933044">
        <w:rPr>
          <w:rFonts w:ascii="Times New Roman" w:eastAsia="Times New Roman" w:hAnsi="Times New Roman" w:cs="Times New Roman"/>
          <w:sz w:val="24"/>
          <w:szCs w:val="24"/>
        </w:rPr>
        <w:t>).</w:t>
      </w:r>
    </w:p>
    <w:p w:rsidR="00CE6211" w:rsidRPr="00933044" w:rsidRDefault="00CE6211" w:rsidP="00CE6211">
      <w:pPr>
        <w:spacing w:line="480" w:lineRule="auto"/>
        <w:ind w:firstLine="720"/>
        <w:jc w:val="both"/>
        <w:rPr>
          <w:rFonts w:ascii="Times New Roman" w:eastAsia="Times New Roman" w:hAnsi="Times New Roman" w:cs="Times New Roman"/>
          <w:sz w:val="24"/>
          <w:szCs w:val="24"/>
        </w:rPr>
      </w:pPr>
      <w:r w:rsidRPr="00933044">
        <w:rPr>
          <w:rFonts w:ascii="Times New Roman" w:eastAsia="Times New Roman" w:hAnsi="Times New Roman" w:cs="Times New Roman"/>
          <w:sz w:val="24"/>
          <w:szCs w:val="24"/>
        </w:rPr>
        <w:t>Con la promulgación de la constitución de 1991 se buscó ampliar los derechos de los ciudadanos, cuando se reconoció la diversidad étnica y se propendió por fortalecer la democracia participativa. No obstante, estos avances institucionales coexistieron con una creciente ola de violencia en los territorios: masacres, secuestros, desplazamientos forzados y graves violaciones a los derechos humanos, que se hicieron parte de la cotidianidad de miles de personas (Arias Trujillo, 2017).</w:t>
      </w:r>
    </w:p>
    <w:p w:rsidR="00CE6211" w:rsidRPr="00933044" w:rsidRDefault="00CE6211" w:rsidP="00CE6211">
      <w:pPr>
        <w:spacing w:line="480" w:lineRule="auto"/>
        <w:ind w:firstLine="720"/>
        <w:jc w:val="both"/>
        <w:rPr>
          <w:rFonts w:ascii="Times New Roman" w:eastAsia="Times New Roman" w:hAnsi="Times New Roman" w:cs="Times New Roman"/>
          <w:sz w:val="24"/>
          <w:szCs w:val="24"/>
        </w:rPr>
      </w:pPr>
      <w:r w:rsidRPr="00933044">
        <w:rPr>
          <w:rFonts w:ascii="Times New Roman" w:eastAsia="Times New Roman" w:hAnsi="Times New Roman" w:cs="Times New Roman"/>
          <w:sz w:val="24"/>
          <w:szCs w:val="24"/>
        </w:rPr>
        <w:t xml:space="preserve">Frente a este deterioro, y en un contexto de presión nacional e internacional por buscar salidas negociadas, entre 1998 y 2002 se llevó a cabo un proceso de paz entre el gobierno de Andrés Pastrana y las </w:t>
      </w:r>
      <w:r w:rsidRPr="00933044">
        <w:rPr>
          <w:rFonts w:ascii="Times New Roman" w:hAnsi="Times New Roman" w:cs="Times New Roman"/>
          <w:sz w:val="24"/>
        </w:rPr>
        <w:t>Fuerzas Armadas Revolucionarias</w:t>
      </w:r>
      <w:r w:rsidRPr="00933044">
        <w:rPr>
          <w:rFonts w:ascii="Times New Roman" w:eastAsia="Times New Roman" w:hAnsi="Times New Roman" w:cs="Times New Roman"/>
          <w:sz w:val="24"/>
          <w:szCs w:val="24"/>
        </w:rPr>
        <w:t xml:space="preserve"> </w:t>
      </w:r>
      <w:r w:rsidRPr="00933044">
        <w:rPr>
          <w:rFonts w:ascii="Times New Roman" w:hAnsi="Times New Roman" w:cs="Times New Roman"/>
          <w:sz w:val="24"/>
        </w:rPr>
        <w:t>de Colombia</w:t>
      </w:r>
      <w:r w:rsidRPr="00933044">
        <w:rPr>
          <w:rFonts w:ascii="Times New Roman" w:eastAsia="Times New Roman" w:hAnsi="Times New Roman" w:cs="Times New Roman"/>
          <w:sz w:val="24"/>
          <w:szCs w:val="24"/>
        </w:rPr>
        <w:t xml:space="preserve"> (FARC), conocido como “Diálogos de Paz en El Caguán”. No obstante, a pesar de la esperanza inicial, el proceso fracasó por ausencia de compromisos claros, la continuidad del accionar armado y la presión de la opinión pública (Indepaz, s. f.). Según el CNMH (s.f.-b), entre 1990-1997 se registraron 1.068 y entre 1998-2002 se registraron 1.603 masacres, lo que revela un incremento significativo y refuerza el carácter sistemático y generalizado de la violencia durante esos años. </w:t>
      </w:r>
    </w:p>
    <w:p w:rsidR="00CE6211" w:rsidRPr="00933044" w:rsidRDefault="00CE6211" w:rsidP="00CE6211">
      <w:pPr>
        <w:spacing w:line="480" w:lineRule="auto"/>
        <w:ind w:firstLine="720"/>
        <w:jc w:val="both"/>
        <w:rPr>
          <w:rFonts w:ascii="Times New Roman" w:eastAsia="Times New Roman" w:hAnsi="Times New Roman" w:cs="Times New Roman"/>
          <w:sz w:val="24"/>
          <w:szCs w:val="24"/>
        </w:rPr>
      </w:pPr>
      <w:r w:rsidRPr="00933044">
        <w:rPr>
          <w:rFonts w:ascii="Times New Roman" w:eastAsia="Times New Roman" w:hAnsi="Times New Roman" w:cs="Times New Roman"/>
          <w:sz w:val="24"/>
          <w:szCs w:val="24"/>
        </w:rPr>
        <w:lastRenderedPageBreak/>
        <w:t>Durante el período en que tuvo lugar el proceso de paz en El Caguán, también se desarrollaron en el país procesos de militarización del territorio, incremento del pie de fuerza y ofensivas sostenidas contra la insurgencia, impulsadas en gran parte por la implementación del Plan Colombia. Este programa, firmado en 1999 como una estrategia bilateral con Estados Unidos, destinó miles de millones de dólares a operaciones militares, al fortalecimiento de las fuerzas armadas y a la erradicación de cultivos ilícitos, priorizando un enfoque de seguridad más que uno social.  Aunque inicialmente estaba previsto para seis años, el Plan Colombia se extendió durante más de una década, con impactos significativos en las dinámicas del conflicto armado (Rojas, 2007). Según Arias Trujillo (2017), durante este período los datos estadísticos mostraban una reducción en la ejecución de atentados y secuestros por parte de los grupos guerrilleros, lo cual se atribuía a una mayor presencia del Estado a través del despliegue de tropas militares.</w:t>
      </w:r>
    </w:p>
    <w:p w:rsidR="00CE6211" w:rsidRPr="00933044" w:rsidRDefault="00CE6211" w:rsidP="00CE6211">
      <w:pPr>
        <w:spacing w:line="480" w:lineRule="auto"/>
        <w:ind w:firstLine="720"/>
        <w:jc w:val="both"/>
        <w:rPr>
          <w:rFonts w:ascii="Times New Roman" w:eastAsia="Times New Roman" w:hAnsi="Times New Roman" w:cs="Times New Roman"/>
          <w:sz w:val="24"/>
          <w:szCs w:val="24"/>
        </w:rPr>
      </w:pPr>
      <w:r w:rsidRPr="00933044">
        <w:rPr>
          <w:rFonts w:ascii="Times New Roman" w:eastAsia="Times New Roman" w:hAnsi="Times New Roman" w:cs="Times New Roman"/>
          <w:sz w:val="24"/>
          <w:szCs w:val="24"/>
        </w:rPr>
        <w:t xml:space="preserve">Entre los años 2003 a 2006 también se llevó a cabo la desmovilización de 37 grupos paramilitares, conocidos como las Autodefensas Unidas de Colombia (AUC). Sin embargo, tras estos procesos, emergieron nuevas estructuras criminales con prácticas similares, que conservaron parte de la estructura política, económica y militar de sus antecesores. Estos nuevos grupos fueron conocidos como las BACRIM (Bandas de Crimen Organizado) (López, 2014). </w:t>
      </w:r>
    </w:p>
    <w:p w:rsidR="00CE6211" w:rsidRPr="00933044" w:rsidRDefault="00CE6211" w:rsidP="00CE6211">
      <w:pPr>
        <w:spacing w:line="480" w:lineRule="auto"/>
        <w:ind w:firstLine="720"/>
        <w:jc w:val="both"/>
        <w:rPr>
          <w:rFonts w:ascii="Times New Roman" w:eastAsia="Times New Roman" w:hAnsi="Times New Roman" w:cs="Times New Roman"/>
          <w:sz w:val="24"/>
          <w:szCs w:val="24"/>
        </w:rPr>
      </w:pPr>
      <w:r w:rsidRPr="00933044">
        <w:rPr>
          <w:rFonts w:ascii="Times New Roman" w:eastAsia="Times New Roman" w:hAnsi="Times New Roman" w:cs="Times New Roman"/>
          <w:sz w:val="24"/>
          <w:szCs w:val="24"/>
        </w:rPr>
        <w:t xml:space="preserve">En paralelo, desde 2002, se instauró la política de “Seguridad Democrática” cuyo objetivo era recuperar el control del Estado sobre el territorio nacional, especialmente en las zonas afectadas por grupos armados ilegales y narcotraficantes. En este contexto, se establecieron incentivos para las unidades militares por cada guerrillero dado de baja, lo que derivó en la ejecución extrajudicial de al menos 1.741 civiles por parte de miembros de las Fuerzas Militares, quienes los presentaron como combatientes muertos en combate. Este crimen de Estado es conocido como los “Falsos Positivos”, un tipo de ejecución </w:t>
      </w:r>
      <w:r w:rsidRPr="00933044">
        <w:rPr>
          <w:rFonts w:ascii="Times New Roman" w:eastAsia="Times New Roman" w:hAnsi="Times New Roman" w:cs="Times New Roman"/>
          <w:sz w:val="24"/>
          <w:szCs w:val="24"/>
        </w:rPr>
        <w:lastRenderedPageBreak/>
        <w:t>extrajudicial a la cual se le adiciona la suplantación de identidad (Cárdenas Mateus, 2013). Según el CNMH (s.f.-a), entre 2003 y 2010, se registraron 633 masacres, lo que evidencia la persistencia de la violencia sistemática.</w:t>
      </w:r>
    </w:p>
    <w:p w:rsidR="00CE6211" w:rsidRPr="00933044" w:rsidRDefault="00CE6211" w:rsidP="00CE6211">
      <w:pPr>
        <w:spacing w:line="480" w:lineRule="auto"/>
        <w:ind w:firstLine="720"/>
        <w:jc w:val="both"/>
        <w:rPr>
          <w:rFonts w:ascii="Times New Roman" w:eastAsia="Times New Roman" w:hAnsi="Times New Roman" w:cs="Times New Roman"/>
          <w:sz w:val="24"/>
          <w:szCs w:val="24"/>
        </w:rPr>
      </w:pPr>
      <w:r w:rsidRPr="00933044">
        <w:rPr>
          <w:rFonts w:ascii="Times New Roman" w:eastAsia="Times New Roman" w:hAnsi="Times New Roman" w:cs="Times New Roman"/>
          <w:sz w:val="24"/>
          <w:szCs w:val="24"/>
        </w:rPr>
        <w:t>Estos hechos reflejan no solo la degradación del conflicto armado, sino también la crisis de legitimidad de las instituciones estatales en amplios sectores del país. Frente a este panorama, se promovieron desde el Estado diversas iniciativas orientadas a la paz, la reparación y la construcción de memoria.</w:t>
      </w:r>
    </w:p>
    <w:p w:rsidR="00CE6211" w:rsidRPr="00933044" w:rsidRDefault="00CE6211" w:rsidP="00CE6211">
      <w:pPr>
        <w:spacing w:line="480" w:lineRule="auto"/>
        <w:ind w:firstLine="720"/>
        <w:jc w:val="both"/>
        <w:rPr>
          <w:rFonts w:ascii="Times New Roman" w:eastAsia="Times New Roman" w:hAnsi="Times New Roman" w:cs="Times New Roman"/>
          <w:sz w:val="24"/>
          <w:szCs w:val="24"/>
        </w:rPr>
      </w:pPr>
      <w:r w:rsidRPr="00933044">
        <w:rPr>
          <w:rFonts w:ascii="Times New Roman" w:eastAsia="Times New Roman" w:hAnsi="Times New Roman" w:cs="Times New Roman"/>
          <w:sz w:val="24"/>
          <w:szCs w:val="24"/>
        </w:rPr>
        <w:t>La Ley de Víctimas y Restitución de Tierras de 2011 dictó medidas de atención, asistencia y reparación integral a las víctimas del conflicto armado interno. Aunque esta norma representa un avance histórico en el reconocimiento de los derechos de esta población, los obstáculos administrativos, institucionales y de seguridad han impedido que la restitución de tierras se materialice de manera amplia. Entre 2011 y 2018, se habían restituido solo 7.502 predios, equivalente a 340.704 hectáreas, lo que representaba solo un 15 % de avance en la restitución de bienes, mientras que el 64 % de las solicitudes habían sido negadas en la fase administrativa (Torregrosa Jiménez et al., 2023). Para el 28 de febrero de 2022 se habían identificado 538.212 hectáreas con orden de restitución o compensación, que representaban 10.130 predios (Ortiz Fonnegra, 2022).</w:t>
      </w:r>
    </w:p>
    <w:p w:rsidR="00CE6211" w:rsidRPr="00933044" w:rsidRDefault="00CE6211" w:rsidP="00CE6211">
      <w:pPr>
        <w:spacing w:line="480" w:lineRule="auto"/>
        <w:ind w:firstLine="720"/>
        <w:jc w:val="both"/>
        <w:rPr>
          <w:rFonts w:ascii="Times New Roman" w:eastAsia="Times New Roman" w:hAnsi="Times New Roman" w:cs="Times New Roman"/>
          <w:sz w:val="24"/>
          <w:szCs w:val="24"/>
        </w:rPr>
      </w:pPr>
      <w:r w:rsidRPr="00933044">
        <w:rPr>
          <w:rFonts w:ascii="Times New Roman" w:eastAsia="Times New Roman" w:hAnsi="Times New Roman" w:cs="Times New Roman"/>
          <w:sz w:val="24"/>
          <w:szCs w:val="24"/>
        </w:rPr>
        <w:t xml:space="preserve">La baja articulación entre las entidades responsables –como la Unidad de Restitución de Tierras (URT), los jueces, el Ejército, y otras del Sistema Nacional de Atención y Reparación Integral a las Víctimas (SNARIV)–, los problemas de microfocalización en zonas de alto riesgo –que muchas impiden el retorno de víctimas incluso cuando existen fallos judiciales favorables–, y el desfase presupuestal originado por una subestimación inicial del número de víctimas, han derivado en una ejecución fragmentada e ineficaz. A ello se suma una creciente desconfianza ciudadana frente a las </w:t>
      </w:r>
      <w:r w:rsidRPr="00933044">
        <w:rPr>
          <w:rFonts w:ascii="Times New Roman" w:eastAsia="Times New Roman" w:hAnsi="Times New Roman" w:cs="Times New Roman"/>
          <w:sz w:val="24"/>
          <w:szCs w:val="24"/>
        </w:rPr>
        <w:lastRenderedPageBreak/>
        <w:t>instituciones del Estado, producto de la lentitud y los incumplimientos en el proceso. En este contexto, la prórroga de la ley hasta 2031 representa una oportunidad, pero también plantea un desafío estructural en cuanto a cómo fortalecer la coordinación interinstitucional, garantizar condiciones de seguridad en los territorios rurales y establecer mecanismos más ágiles y coherentes que permitan avanzar hacia una reparación efectiva con enfoque diferencial y de no repetición (Torregrosa Jiménez et al., 2023).</w:t>
      </w:r>
    </w:p>
    <w:p w:rsidR="00CE6211" w:rsidRPr="00933044" w:rsidRDefault="00CE6211" w:rsidP="00CE6211">
      <w:pPr>
        <w:spacing w:line="480" w:lineRule="auto"/>
        <w:ind w:firstLine="720"/>
        <w:jc w:val="both"/>
        <w:rPr>
          <w:rFonts w:ascii="Times New Roman" w:eastAsia="Times New Roman" w:hAnsi="Times New Roman" w:cs="Times New Roman"/>
          <w:sz w:val="24"/>
          <w:szCs w:val="24"/>
        </w:rPr>
      </w:pPr>
      <w:r w:rsidRPr="00933044">
        <w:rPr>
          <w:rFonts w:ascii="Times New Roman" w:eastAsia="Times New Roman" w:hAnsi="Times New Roman" w:cs="Times New Roman"/>
          <w:sz w:val="24"/>
          <w:szCs w:val="24"/>
        </w:rPr>
        <w:t>La firma del Acuerdo de Paz con las FARC en 2016, como parte de los esfuerzos institucionales por superar el conflicto armado y avanzar en la reparación integral, representó un punto de inflexión y despertó nuevas expectativas de transformación. Este acuerdo incluyó componentes de justicia transicional, desarme, desarrollo rural y participación política. Además, incentivó el acogimiento de otros grupos armados, y abrió la posibilidad de establecer diálogos de paz con el grupo guerrillero Ejército de Liberación Nacional (ELN), los cuales comenzaron en febrero de 2017. Sin embargo, las negociaciones con este grupo fracasaron ante la continuidad de secuestros, los asesinatos y la dificultad para llegar a acuerdos concretos. Estos diálogos se reactivaron el 2022, aunque siguieron siendo suspendidos en distintas oportunidades.</w:t>
      </w:r>
    </w:p>
    <w:p w:rsidR="00CE6211" w:rsidRPr="00933044" w:rsidRDefault="00CE6211" w:rsidP="00CE6211">
      <w:pPr>
        <w:spacing w:line="480" w:lineRule="auto"/>
        <w:ind w:firstLine="720"/>
        <w:jc w:val="both"/>
        <w:rPr>
          <w:rFonts w:ascii="Times New Roman" w:eastAsia="Times New Roman" w:hAnsi="Times New Roman" w:cs="Times New Roman"/>
          <w:sz w:val="24"/>
          <w:szCs w:val="24"/>
        </w:rPr>
      </w:pPr>
      <w:r w:rsidRPr="00933044">
        <w:rPr>
          <w:rFonts w:ascii="Times New Roman" w:eastAsia="Times New Roman" w:hAnsi="Times New Roman" w:cs="Times New Roman"/>
          <w:sz w:val="24"/>
          <w:szCs w:val="24"/>
        </w:rPr>
        <w:t xml:space="preserve">Muchas de las promesas realizadas por el gobierno en el acuerdo de paz con las FARC no se cumplieron, lo que dio paso a la aparición de disidencias de excombatientes. Asimismo, persistieron los asesinatos de firmantes del acuerdo de paz, activistas y líderes sociales, al igual que los desplazamientos forzados y la ocupación por parte de otros grupos armados en territorios en los que hacía presencia las FARC (Casey, 2019). Entre 2016 y 2022 se reportaron 957 líderes sociales asesinados y 261 excombatientes muertos tras su reincorporación a la vida civil y 22 casos de desapariciones forzadas (Observatorio de Derechos Humanos y Conflictividades de Indepaz, 2022). Según un informe de la </w:t>
      </w:r>
      <w:r w:rsidRPr="00933044">
        <w:rPr>
          <w:rFonts w:ascii="Times New Roman" w:eastAsia="Times New Roman" w:hAnsi="Times New Roman" w:cs="Times New Roman"/>
          <w:sz w:val="24"/>
          <w:szCs w:val="24"/>
        </w:rPr>
        <w:lastRenderedPageBreak/>
        <w:t>Comisión para el esclarecimiento de la verdad, la convivencia y la no repetición (2022), el recrudecimiento de la violencia y el desplazamiento interno ha sido consecuencia de los incumplimientos en la implementación de los Acuerdo de la Habana.</w:t>
      </w:r>
    </w:p>
    <w:p w:rsidR="00CE6211" w:rsidRPr="00933044" w:rsidRDefault="00CE6211" w:rsidP="00CE6211">
      <w:pPr>
        <w:spacing w:line="480" w:lineRule="auto"/>
        <w:ind w:firstLine="720"/>
        <w:jc w:val="both"/>
        <w:rPr>
          <w:rFonts w:ascii="Times New Roman" w:eastAsia="Times New Roman" w:hAnsi="Times New Roman" w:cs="Times New Roman"/>
          <w:sz w:val="24"/>
          <w:szCs w:val="24"/>
        </w:rPr>
      </w:pPr>
      <w:r w:rsidRPr="00933044">
        <w:rPr>
          <w:rFonts w:ascii="Times New Roman" w:eastAsia="Times New Roman" w:hAnsi="Times New Roman" w:cs="Times New Roman"/>
          <w:sz w:val="24"/>
          <w:szCs w:val="24"/>
        </w:rPr>
        <w:t>En 2021 se produjo un estallido social, inicialmente motivado por una propuesta de reforma tributaria, a la que pronto se articularon demandas relacionadas con la desigualdad, la represión estatal y la falta de oportunidades –acceso a la educación superior pública, altas tasas de desempleo juvenil, informalidad laboral, bajos salarios, acceso a la salud, entre otras. La respuesta institucional estuvo marcada por denuncias de uso excesivo de la fuerza. Según Temblores ONG, la fuerza pública fue responsable de 44 de los 83 homicidios registrados durante las protestas de ese año (Parisi, 2021).</w:t>
      </w:r>
    </w:p>
    <w:p w:rsidR="00CE6211" w:rsidRPr="00933044" w:rsidRDefault="00CE6211" w:rsidP="00CE6211">
      <w:pPr>
        <w:spacing w:line="480" w:lineRule="auto"/>
        <w:ind w:firstLine="720"/>
        <w:jc w:val="both"/>
        <w:rPr>
          <w:rFonts w:ascii="Times New Roman" w:eastAsia="Times New Roman" w:hAnsi="Times New Roman" w:cs="Times New Roman"/>
          <w:sz w:val="24"/>
          <w:szCs w:val="24"/>
        </w:rPr>
      </w:pPr>
      <w:r w:rsidRPr="00933044">
        <w:rPr>
          <w:rFonts w:ascii="Times New Roman" w:eastAsia="Times New Roman" w:hAnsi="Times New Roman" w:cs="Times New Roman"/>
          <w:sz w:val="24"/>
          <w:szCs w:val="24"/>
        </w:rPr>
        <w:t xml:space="preserve">Entre 2022 y 2023 se impulsaron nuevos intentos de diálogo con grupos armados en el marco de la política de “Paz Total”. Se establecieron negociaciones con el ELN, el Clan del Golfo y otros grupos al margen de la ley. También se implementaron medidas orientadas a fortalecer el respeto de los derechos humanos por parte de la fuerza pública y se buscó reducir los niveles de violencia contra líderes y excombatientes. </w:t>
      </w:r>
    </w:p>
    <w:p w:rsidR="00CE6211" w:rsidRPr="00933044" w:rsidRDefault="00CE6211" w:rsidP="00CE6211">
      <w:pPr>
        <w:spacing w:line="480" w:lineRule="auto"/>
        <w:ind w:firstLine="720"/>
        <w:jc w:val="both"/>
        <w:rPr>
          <w:rFonts w:ascii="Times New Roman" w:eastAsia="Times New Roman" w:hAnsi="Times New Roman" w:cs="Times New Roman"/>
          <w:sz w:val="24"/>
          <w:szCs w:val="24"/>
        </w:rPr>
      </w:pPr>
      <w:r w:rsidRPr="00933044">
        <w:rPr>
          <w:rFonts w:ascii="Times New Roman" w:eastAsia="Times New Roman" w:hAnsi="Times New Roman" w:cs="Times New Roman"/>
          <w:sz w:val="24"/>
          <w:szCs w:val="24"/>
        </w:rPr>
        <w:t xml:space="preserve">Entre el 07 de agosto de 2022 y el 31 de julio de 2023, fueron asesinados 167 líderes sociales y personas defensoras de derechos humanos, mientras que en el mismo periodo del año anterior (2021-2022) la cifra fue de 185, lo que representó una reducción del 10 %. El asesinato de personas firmantes del acuerdo de paz también disminuyó, durante el mismo período de 2022-2023 se registraron 36 casos, frente a 52 ocurridos entre 2021 y 2022, lo que equivale a una reducción del 32 %. En cuanto al número de masacres, se mantuvo una tendencia similar al periodo anterior, con 89 masacres y 291 víctimas entre 2022 y 2023, frente a 88 masacres con 300 víctimas entre 2021 y 2022. A </w:t>
      </w:r>
      <w:r w:rsidRPr="00933044">
        <w:rPr>
          <w:rFonts w:ascii="Times New Roman" w:eastAsia="Times New Roman" w:hAnsi="Times New Roman" w:cs="Times New Roman"/>
          <w:sz w:val="24"/>
          <w:szCs w:val="24"/>
        </w:rPr>
        <w:lastRenderedPageBreak/>
        <w:t>pesar de estas variaciones, los niveles de violencia continuaron siendo significativos en departamentos como Cauca y Antioquia (Temblores ONG &amp; Indepaz, s. f.).</w:t>
      </w:r>
    </w:p>
    <w:p w:rsidR="00CE6211" w:rsidRPr="00933044" w:rsidRDefault="00CE6211" w:rsidP="00CE6211">
      <w:pPr>
        <w:spacing w:line="480" w:lineRule="auto"/>
        <w:ind w:firstLine="720"/>
        <w:jc w:val="both"/>
        <w:rPr>
          <w:rFonts w:ascii="Times New Roman" w:eastAsia="Times New Roman" w:hAnsi="Times New Roman" w:cs="Times New Roman"/>
          <w:sz w:val="24"/>
          <w:szCs w:val="24"/>
        </w:rPr>
      </w:pPr>
      <w:r w:rsidRPr="00933044">
        <w:rPr>
          <w:rFonts w:ascii="Times New Roman" w:eastAsia="Times New Roman" w:hAnsi="Times New Roman" w:cs="Times New Roman"/>
          <w:sz w:val="24"/>
          <w:szCs w:val="24"/>
        </w:rPr>
        <w:t>A lo largo de estas tres décadas, el conflicto colombiano mostró una marcada dimensión territorial. Como señalan Gómez Builes, et al. (2008), la violencia se concentró especialmente en zonas con presencia de economías ilegales, recursos naturales estratégicos o acusaciones de colaboración con actores armados. Esto generó olas masivas de desplazamiento forzado, pérdida de vínculos comunitarios y rupturas profundas en el tejido social.</w:t>
      </w:r>
    </w:p>
    <w:p w:rsidR="00CE6211" w:rsidRPr="00196F71" w:rsidRDefault="00CE6211" w:rsidP="00CE6211">
      <w:pPr>
        <w:spacing w:line="480" w:lineRule="auto"/>
        <w:ind w:firstLine="720"/>
        <w:jc w:val="both"/>
        <w:rPr>
          <w:rFonts w:ascii="Times New Roman" w:eastAsia="Times New Roman" w:hAnsi="Times New Roman" w:cs="Times New Roman"/>
          <w:sz w:val="24"/>
          <w:szCs w:val="24"/>
        </w:rPr>
      </w:pPr>
      <w:r w:rsidRPr="00933044">
        <w:rPr>
          <w:rFonts w:ascii="Times New Roman" w:eastAsia="Times New Roman" w:hAnsi="Times New Roman" w:cs="Times New Roman"/>
          <w:sz w:val="24"/>
          <w:szCs w:val="24"/>
        </w:rPr>
        <w:t>Este contexto histórico, marcado por el dolor, la resistencia y la búsqueda de justicia, encuentra eco en la producción musical del país. Las letras de canciones, los géneros, las emociones transmitidas y las narrativas líricas constituyen una vía de expresión de las experiencias vividas. Analizar los sentimientos presentes en la música producida entre 1990 y 2023 permite identificar cómo los artistas canalizaron, interpretaron o denunciaron las realidades sociales de su tiempo.</w:t>
      </w:r>
    </w:p>
    <w:p w:rsidR="00340A4E" w:rsidRDefault="00CF4B3A">
      <w:pPr>
        <w:rPr>
          <w:b/>
        </w:rPr>
      </w:pPr>
      <w:r>
        <w:rPr>
          <w:b/>
        </w:rPr>
        <w:t>Lista de referencias</w:t>
      </w:r>
    </w:p>
    <w:p w:rsidR="00CF4B3A" w:rsidRPr="003A450E" w:rsidRDefault="00CF4B3A" w:rsidP="003A450E">
      <w:pPr>
        <w:pStyle w:val="Bibliografa"/>
        <w:spacing w:after="0" w:line="480" w:lineRule="auto"/>
        <w:ind w:left="720" w:hanging="720"/>
      </w:pPr>
      <w:r w:rsidRPr="00455129">
        <w:rPr>
          <w:rFonts w:ascii="Times New Roman" w:hAnsi="Times New Roman" w:cs="Times New Roman"/>
          <w:sz w:val="24"/>
          <w:szCs w:val="24"/>
        </w:rPr>
        <w:t xml:space="preserve">Arias Trujillo, R. (2017). </w:t>
      </w:r>
      <w:r w:rsidRPr="003A450E">
        <w:rPr>
          <w:rFonts w:ascii="Times New Roman" w:hAnsi="Times New Roman" w:cs="Times New Roman"/>
          <w:sz w:val="24"/>
          <w:szCs w:val="24"/>
        </w:rPr>
        <w:t>Historia de Colombia contemporánea</w:t>
      </w:r>
      <w:r w:rsidRPr="00455129">
        <w:rPr>
          <w:rFonts w:ascii="Times New Roman" w:hAnsi="Times New Roman" w:cs="Times New Roman"/>
          <w:sz w:val="24"/>
          <w:szCs w:val="24"/>
        </w:rPr>
        <w:t xml:space="preserve">. Biblioteca Nacional de Colombia [Ministerio de Cultura]. </w:t>
      </w:r>
      <w:hyperlink r:id="rId4" w:history="1">
        <w:r w:rsidRPr="003A450E">
          <w:t>https://siise.bibliotecanacional.gov.co/BBCC/Documents/View/291?utm_source=chatgpt.com&amp;AspxAutoDetectCookieSupport=1</w:t>
        </w:r>
      </w:hyperlink>
    </w:p>
    <w:p w:rsidR="00CF4B3A" w:rsidRPr="003A450E" w:rsidRDefault="00CF4B3A" w:rsidP="003A450E">
      <w:pPr>
        <w:pStyle w:val="Bibliografa"/>
        <w:spacing w:after="0" w:line="480" w:lineRule="auto"/>
        <w:ind w:left="720" w:hanging="720"/>
      </w:pPr>
      <w:r w:rsidRPr="00A20385">
        <w:rPr>
          <w:rFonts w:ascii="Times New Roman" w:hAnsi="Times New Roman" w:cs="Times New Roman"/>
          <w:sz w:val="24"/>
          <w:szCs w:val="24"/>
        </w:rPr>
        <w:t xml:space="preserve">Cárdenas Mateus, A. A. (2013). Análisis de incentivos a una estructura militar en situación de conflicto armado. </w:t>
      </w:r>
      <w:r w:rsidRPr="003A450E">
        <w:rPr>
          <w:rFonts w:ascii="Times New Roman" w:hAnsi="Times New Roman" w:cs="Times New Roman"/>
          <w:sz w:val="24"/>
          <w:szCs w:val="24"/>
        </w:rPr>
        <w:t>Universidad de los Andes</w:t>
      </w:r>
      <w:r w:rsidRPr="00A20385">
        <w:rPr>
          <w:rFonts w:ascii="Times New Roman" w:hAnsi="Times New Roman" w:cs="Times New Roman"/>
          <w:sz w:val="24"/>
          <w:szCs w:val="24"/>
        </w:rPr>
        <w:t xml:space="preserve">. </w:t>
      </w:r>
      <w:hyperlink r:id="rId5" w:history="1">
        <w:r w:rsidRPr="003A450E">
          <w:t>https://hdl.handle.net/1992/19522</w:t>
        </w:r>
      </w:hyperlink>
    </w:p>
    <w:p w:rsidR="00CF4B3A" w:rsidRPr="003A450E" w:rsidRDefault="00CF4B3A" w:rsidP="003A450E">
      <w:pPr>
        <w:pStyle w:val="Bibliografa"/>
        <w:spacing w:after="0" w:line="480" w:lineRule="auto"/>
        <w:ind w:left="720" w:hanging="720"/>
        <w:rPr>
          <w:rFonts w:ascii="Times New Roman" w:hAnsi="Times New Roman" w:cs="Times New Roman"/>
          <w:sz w:val="24"/>
          <w:szCs w:val="24"/>
        </w:rPr>
      </w:pPr>
      <w:r w:rsidRPr="00A20385">
        <w:rPr>
          <w:rFonts w:ascii="Times New Roman" w:hAnsi="Times New Roman" w:cs="Times New Roman"/>
          <w:sz w:val="24"/>
          <w:szCs w:val="24"/>
        </w:rPr>
        <w:t xml:space="preserve">Casey, N. (2019, 17 de mayo). </w:t>
      </w:r>
      <w:r w:rsidRPr="003A450E">
        <w:rPr>
          <w:rFonts w:ascii="Times New Roman" w:hAnsi="Times New Roman" w:cs="Times New Roman"/>
          <w:sz w:val="24"/>
          <w:szCs w:val="24"/>
        </w:rPr>
        <w:t>Las fallas que ponen en riesgo el acuerdo de paz en Colombia</w:t>
      </w:r>
      <w:r w:rsidRPr="00A20385">
        <w:rPr>
          <w:rFonts w:ascii="Times New Roman" w:hAnsi="Times New Roman" w:cs="Times New Roman"/>
          <w:sz w:val="24"/>
          <w:szCs w:val="24"/>
        </w:rPr>
        <w:t xml:space="preserve">. </w:t>
      </w:r>
      <w:r w:rsidRPr="003A450E">
        <w:rPr>
          <w:rFonts w:ascii="Times New Roman" w:hAnsi="Times New Roman" w:cs="Times New Roman"/>
          <w:sz w:val="24"/>
          <w:szCs w:val="24"/>
        </w:rPr>
        <w:t xml:space="preserve">The New York Times. </w:t>
      </w:r>
      <w:r w:rsidRPr="003A450E">
        <w:rPr>
          <w:rFonts w:ascii="Times New Roman" w:hAnsi="Times New Roman" w:cs="Times New Roman"/>
          <w:sz w:val="24"/>
          <w:szCs w:val="24"/>
        </w:rPr>
        <w:lastRenderedPageBreak/>
        <w:t>https://www.nytimes.com/es/2019/05/17/espanol/america-latina/colombia-paz-farc-duque.html</w:t>
      </w:r>
    </w:p>
    <w:p w:rsidR="00CF4B3A" w:rsidRPr="003A450E" w:rsidRDefault="00CF4B3A" w:rsidP="003A450E">
      <w:pPr>
        <w:pStyle w:val="Bibliografa"/>
        <w:spacing w:after="0" w:line="480" w:lineRule="auto"/>
        <w:ind w:left="720" w:hanging="720"/>
        <w:rPr>
          <w:rFonts w:ascii="Times New Roman" w:hAnsi="Times New Roman" w:cs="Times New Roman"/>
          <w:sz w:val="24"/>
          <w:szCs w:val="24"/>
        </w:rPr>
      </w:pPr>
      <w:r w:rsidRPr="003A450E">
        <w:rPr>
          <w:rFonts w:ascii="Times New Roman" w:hAnsi="Times New Roman" w:cs="Times New Roman"/>
          <w:sz w:val="24"/>
          <w:szCs w:val="24"/>
        </w:rPr>
        <w:t>Centro Nacional de Memoria Histórica. (s. f.-a). Definiciones. Observatorio de Memoria y Conflicto. Recuperado 10 de septiembre de 2025, de https://micrositios.centrodememoriahistorica.gov.co/observatorio/sievcac/definiciones/</w:t>
      </w:r>
    </w:p>
    <w:p w:rsidR="00CF4B3A" w:rsidRPr="00694B5E" w:rsidRDefault="00CF4B3A" w:rsidP="003A450E">
      <w:pPr>
        <w:pStyle w:val="Bibliografa"/>
        <w:spacing w:after="0" w:line="480" w:lineRule="auto"/>
        <w:ind w:left="720" w:hanging="720"/>
        <w:rPr>
          <w:rFonts w:ascii="Times New Roman" w:hAnsi="Times New Roman" w:cs="Times New Roman"/>
          <w:sz w:val="24"/>
          <w:szCs w:val="24"/>
        </w:rPr>
      </w:pPr>
      <w:r w:rsidRPr="00455129">
        <w:rPr>
          <w:rFonts w:ascii="Times New Roman" w:hAnsi="Times New Roman" w:cs="Times New Roman"/>
          <w:sz w:val="24"/>
          <w:szCs w:val="24"/>
        </w:rPr>
        <w:t>Centro Nacional de Memoria Histórica. (s. f.</w:t>
      </w:r>
      <w:r>
        <w:rPr>
          <w:rFonts w:ascii="Times New Roman" w:hAnsi="Times New Roman" w:cs="Times New Roman"/>
          <w:sz w:val="24"/>
          <w:szCs w:val="24"/>
        </w:rPr>
        <w:t>-b</w:t>
      </w:r>
      <w:r w:rsidRPr="00455129">
        <w:rPr>
          <w:rFonts w:ascii="Times New Roman" w:hAnsi="Times New Roman" w:cs="Times New Roman"/>
          <w:sz w:val="24"/>
          <w:szCs w:val="24"/>
        </w:rPr>
        <w:t xml:space="preserve">). </w:t>
      </w:r>
      <w:r w:rsidRPr="003A450E">
        <w:rPr>
          <w:rFonts w:ascii="Times New Roman" w:hAnsi="Times New Roman" w:cs="Times New Roman"/>
          <w:sz w:val="24"/>
          <w:szCs w:val="24"/>
        </w:rPr>
        <w:t>E</w:t>
      </w:r>
      <w:r w:rsidRPr="003A450E">
        <w:rPr>
          <w:i/>
          <w:iCs/>
        </w:rPr>
        <w:t>l conflicto armado en cifras: Observatorio de Memoria y Conflicto</w:t>
      </w:r>
      <w:r w:rsidRPr="00455129">
        <w:rPr>
          <w:rFonts w:ascii="Times New Roman" w:hAnsi="Times New Roman" w:cs="Times New Roman"/>
          <w:sz w:val="24"/>
          <w:szCs w:val="24"/>
        </w:rPr>
        <w:t xml:space="preserve"> [Bases de datos]. Consultado el 24 de abril de 2025. </w:t>
      </w:r>
      <w:hyperlink r:id="rId6" w:history="1">
        <w:r w:rsidRPr="003A450E">
          <w:t>https://micrositios.centrodememoriahistorica.gov.co/observatorio/portal-de-datos/base-de-datos/</w:t>
        </w:r>
      </w:hyperlink>
    </w:p>
    <w:p w:rsidR="00CF4B3A" w:rsidRPr="003A450E" w:rsidRDefault="00CF4B3A" w:rsidP="003A450E">
      <w:pPr>
        <w:pStyle w:val="Bibliografa"/>
        <w:spacing w:after="0" w:line="480" w:lineRule="auto"/>
        <w:ind w:left="720" w:hanging="720"/>
      </w:pPr>
      <w:r w:rsidRPr="00A20385">
        <w:rPr>
          <w:rFonts w:ascii="Times New Roman" w:hAnsi="Times New Roman" w:cs="Times New Roman"/>
          <w:sz w:val="24"/>
          <w:szCs w:val="24"/>
        </w:rPr>
        <w:t xml:space="preserve">Centro Nacional de Memoria Histórica. (2015). </w:t>
      </w:r>
      <w:r w:rsidRPr="003A450E">
        <w:rPr>
          <w:rFonts w:ascii="Times New Roman" w:hAnsi="Times New Roman" w:cs="Times New Roman"/>
          <w:sz w:val="24"/>
          <w:szCs w:val="24"/>
        </w:rPr>
        <w:t>Una nación desplazada: Informe nacional del desplazamiento forzado en Colombia</w:t>
      </w:r>
      <w:r w:rsidRPr="00A20385">
        <w:rPr>
          <w:rFonts w:ascii="Times New Roman" w:hAnsi="Times New Roman" w:cs="Times New Roman"/>
          <w:sz w:val="24"/>
          <w:szCs w:val="24"/>
        </w:rPr>
        <w:t xml:space="preserve"> [Informe]. </w:t>
      </w:r>
      <w:hyperlink r:id="rId7" w:history="1">
        <w:r w:rsidRPr="003A450E">
          <w:t>https://www.centrodememoriahistorica.gov.co/descargas/informes2015/nacion-desplazada/una-nacion-desplazada.pdf</w:t>
        </w:r>
      </w:hyperlink>
    </w:p>
    <w:p w:rsidR="00CF4B3A" w:rsidRPr="003A450E" w:rsidRDefault="00CF4B3A" w:rsidP="003A450E">
      <w:pPr>
        <w:pStyle w:val="Bibliografa"/>
        <w:spacing w:after="0" w:line="480" w:lineRule="auto"/>
        <w:ind w:left="720" w:hanging="720"/>
        <w:rPr>
          <w:rFonts w:ascii="Times New Roman" w:hAnsi="Times New Roman" w:cs="Times New Roman"/>
          <w:sz w:val="24"/>
          <w:szCs w:val="24"/>
        </w:rPr>
      </w:pPr>
      <w:r w:rsidRPr="003A450E">
        <w:rPr>
          <w:rFonts w:ascii="Times New Roman" w:hAnsi="Times New Roman" w:cs="Times New Roman"/>
          <w:sz w:val="24"/>
          <w:szCs w:val="24"/>
        </w:rPr>
        <w:t>Comisión para el esclarecimiento de la verdad, la convivencia y la no repetición. (2022). Hay futuro si hay verdad: Informe final. Cinep. https://cinep.org.co/informe-final-de-la-cev-un-legado-de-verdad-paz-y-reconciliacion/</w:t>
      </w:r>
    </w:p>
    <w:p w:rsidR="00CF4B3A" w:rsidRPr="003A450E" w:rsidRDefault="00CF4B3A" w:rsidP="003A450E">
      <w:pPr>
        <w:pStyle w:val="Bibliografa"/>
        <w:spacing w:after="0" w:line="480" w:lineRule="auto"/>
        <w:ind w:left="720" w:hanging="720"/>
        <w:rPr>
          <w:rFonts w:ascii="Times New Roman" w:hAnsi="Times New Roman" w:cs="Times New Roman"/>
          <w:sz w:val="24"/>
          <w:szCs w:val="24"/>
        </w:rPr>
      </w:pPr>
      <w:r w:rsidRPr="003A450E">
        <w:rPr>
          <w:rFonts w:ascii="Times New Roman" w:hAnsi="Times New Roman" w:cs="Times New Roman"/>
          <w:sz w:val="24"/>
          <w:szCs w:val="24"/>
        </w:rPr>
        <w:t xml:space="preserve">García Luna, G. E. (2013). El narcotráfico en Colombia: De las falencias de la política de prohibición y sus secuelas, a la discusión de la descriminalización y despenalización [Pontificia Universidad Javeriana]. </w:t>
      </w:r>
      <w:hyperlink r:id="rId8" w:history="1">
        <w:r w:rsidRPr="003A450E">
          <w:rPr>
            <w:szCs w:val="24"/>
          </w:rPr>
          <w:t>https://doi.org/10.11144/Javeriana.10554.15289</w:t>
        </w:r>
      </w:hyperlink>
    </w:p>
    <w:p w:rsidR="00CF4B3A" w:rsidRPr="003A450E" w:rsidRDefault="00CF4B3A" w:rsidP="003A450E">
      <w:pPr>
        <w:pStyle w:val="Bibliografa"/>
        <w:spacing w:after="0" w:line="480" w:lineRule="auto"/>
        <w:ind w:left="720" w:hanging="720"/>
        <w:rPr>
          <w:rFonts w:ascii="Times New Roman" w:hAnsi="Times New Roman" w:cs="Times New Roman"/>
          <w:sz w:val="24"/>
          <w:szCs w:val="24"/>
        </w:rPr>
      </w:pPr>
      <w:r w:rsidRPr="003A450E">
        <w:rPr>
          <w:rFonts w:ascii="Times New Roman" w:hAnsi="Times New Roman" w:cs="Times New Roman"/>
          <w:sz w:val="24"/>
          <w:szCs w:val="24"/>
        </w:rPr>
        <w:t xml:space="preserve">Gómez Builes, G. M., Astaiza Arias, G. M., &amp; de Souza Minayo, M. C. (2008). Las migraciones forzadas por la violencia: El caso de Colombia. Ciência &amp; Saúde Coletiva, 13, 1649-1660. </w:t>
      </w:r>
      <w:hyperlink r:id="rId9">
        <w:r w:rsidRPr="003A450E">
          <w:t>https://doi.org/10.1590/S1413-81232008000500028</w:t>
        </w:r>
      </w:hyperlink>
    </w:p>
    <w:p w:rsidR="00CF4B3A" w:rsidRPr="003A450E" w:rsidRDefault="00CF4B3A" w:rsidP="003A450E">
      <w:pPr>
        <w:pStyle w:val="Bibliografa"/>
        <w:spacing w:after="0" w:line="480" w:lineRule="auto"/>
        <w:ind w:left="720" w:hanging="720"/>
        <w:rPr>
          <w:rFonts w:ascii="Times New Roman" w:hAnsi="Times New Roman" w:cs="Times New Roman"/>
          <w:sz w:val="24"/>
          <w:szCs w:val="24"/>
        </w:rPr>
      </w:pPr>
      <w:r w:rsidRPr="00A20385">
        <w:rPr>
          <w:rFonts w:ascii="Times New Roman" w:hAnsi="Times New Roman" w:cs="Times New Roman"/>
          <w:sz w:val="24"/>
          <w:szCs w:val="24"/>
        </w:rPr>
        <w:lastRenderedPageBreak/>
        <w:t xml:space="preserve">Instituto de Estudios para el Desarrollo y la Paz. (s. f.). </w:t>
      </w:r>
      <w:r w:rsidRPr="003A450E">
        <w:rPr>
          <w:rFonts w:ascii="Times New Roman" w:hAnsi="Times New Roman" w:cs="Times New Roman"/>
          <w:sz w:val="24"/>
          <w:szCs w:val="24"/>
        </w:rPr>
        <w:t>El Caguán</w:t>
      </w:r>
      <w:r w:rsidRPr="00A20385">
        <w:rPr>
          <w:rFonts w:ascii="Times New Roman" w:hAnsi="Times New Roman" w:cs="Times New Roman"/>
          <w:sz w:val="24"/>
          <w:szCs w:val="24"/>
        </w:rPr>
        <w:t xml:space="preserve"> [Informe]. </w:t>
      </w:r>
      <w:hyperlink r:id="rId10" w:history="1">
        <w:r w:rsidRPr="003A450E">
          <w:t>https://www.indepaz.org.co/wp-content/uploads/2013/04/El_Caguan.pdf</w:t>
        </w:r>
      </w:hyperlink>
    </w:p>
    <w:p w:rsidR="00CF4B3A" w:rsidRPr="003A450E" w:rsidRDefault="00CF4B3A" w:rsidP="003A450E">
      <w:pPr>
        <w:pStyle w:val="Bibliografa"/>
        <w:spacing w:after="0" w:line="480" w:lineRule="auto"/>
        <w:ind w:left="720" w:hanging="720"/>
        <w:rPr>
          <w:rFonts w:ascii="Times New Roman" w:hAnsi="Times New Roman" w:cs="Times New Roman"/>
          <w:sz w:val="24"/>
          <w:szCs w:val="24"/>
        </w:rPr>
      </w:pPr>
      <w:r w:rsidRPr="00A20385">
        <w:rPr>
          <w:rFonts w:ascii="Times New Roman" w:hAnsi="Times New Roman" w:cs="Times New Roman"/>
          <w:sz w:val="24"/>
          <w:szCs w:val="24"/>
        </w:rPr>
        <w:t>Instituto de Estudios para el Desarrollo y la Paz</w:t>
      </w:r>
      <w:r w:rsidRPr="003A450E">
        <w:rPr>
          <w:rFonts w:ascii="Times New Roman" w:hAnsi="Times New Roman" w:cs="Times New Roman"/>
          <w:sz w:val="24"/>
          <w:szCs w:val="24"/>
        </w:rPr>
        <w:t xml:space="preserve">. (2025, 25 de agosto). Masacres en Colombia durante el 2020, 2021, 2022, 2023, 2024 y 2025. </w:t>
      </w:r>
      <w:hyperlink r:id="rId11" w:history="1">
        <w:r w:rsidRPr="003A450E">
          <w:rPr>
            <w:szCs w:val="24"/>
          </w:rPr>
          <w:t>https://indepaz.org.co/informe-de-masacres-en-colombia-durante-el-2020-2021/comment-page-4/#comments</w:t>
        </w:r>
      </w:hyperlink>
    </w:p>
    <w:p w:rsidR="00CF4B3A" w:rsidRPr="003A450E" w:rsidRDefault="00CF4B3A" w:rsidP="003A450E">
      <w:pPr>
        <w:pStyle w:val="Bibliografa"/>
        <w:spacing w:after="0" w:line="480" w:lineRule="auto"/>
        <w:ind w:left="720" w:hanging="720"/>
      </w:pPr>
      <w:r w:rsidRPr="003A450E">
        <w:rPr>
          <w:rFonts w:ascii="Times New Roman" w:hAnsi="Times New Roman" w:cs="Times New Roman"/>
          <w:sz w:val="24"/>
          <w:szCs w:val="24"/>
        </w:rPr>
        <w:t xml:space="preserve">López, N. (2014). Las bacrim: ¿actores del conflicto armado colombiano? [Monografía de Pregrado, Universidad de los Andes]. </w:t>
      </w:r>
      <w:hyperlink r:id="rId12">
        <w:r w:rsidRPr="003A450E">
          <w:t>https://derechopublico.uniandes.edu.co/components/com_revista/archivos/derechopub/pub487.pdf</w:t>
        </w:r>
      </w:hyperlink>
    </w:p>
    <w:p w:rsidR="00CF4B3A" w:rsidRPr="00694B5E" w:rsidRDefault="00CF4B3A" w:rsidP="003A450E">
      <w:pPr>
        <w:pStyle w:val="Bibliografa"/>
        <w:spacing w:after="0" w:line="480" w:lineRule="auto"/>
        <w:ind w:left="720" w:hanging="720"/>
        <w:rPr>
          <w:rFonts w:ascii="Times New Roman" w:hAnsi="Times New Roman" w:cs="Times New Roman"/>
          <w:sz w:val="24"/>
          <w:szCs w:val="24"/>
        </w:rPr>
      </w:pPr>
      <w:r w:rsidRPr="00A20385">
        <w:rPr>
          <w:rFonts w:ascii="Times New Roman" w:hAnsi="Times New Roman" w:cs="Times New Roman"/>
          <w:sz w:val="24"/>
          <w:szCs w:val="24"/>
        </w:rPr>
        <w:t xml:space="preserve">Observatorio de Derechos Humanos y Conflictividades de Indepaz. (2022, 2 de agosto). </w:t>
      </w:r>
      <w:r w:rsidRPr="003A450E">
        <w:rPr>
          <w:rFonts w:ascii="Times New Roman" w:hAnsi="Times New Roman" w:cs="Times New Roman"/>
          <w:sz w:val="24"/>
          <w:szCs w:val="24"/>
        </w:rPr>
        <w:t>Cifras durante el gobierno de Iván Duque – Balance de la violencia en cifras – Indepaz</w:t>
      </w:r>
      <w:r w:rsidRPr="00A20385">
        <w:rPr>
          <w:rFonts w:ascii="Times New Roman" w:hAnsi="Times New Roman" w:cs="Times New Roman"/>
          <w:sz w:val="24"/>
          <w:szCs w:val="24"/>
        </w:rPr>
        <w:t xml:space="preserve">. INDEPAZ. </w:t>
      </w:r>
      <w:hyperlink r:id="rId13" w:history="1">
        <w:r w:rsidRPr="003A450E">
          <w:t>https://indepaz.org.co/cifras-durante-el-gobierno-de-ivan-duque-balance-de-la-violencia-en-cifras/</w:t>
        </w:r>
      </w:hyperlink>
    </w:p>
    <w:p w:rsidR="00CF4B3A" w:rsidRPr="003A450E" w:rsidRDefault="00CF4B3A" w:rsidP="003A450E">
      <w:pPr>
        <w:pStyle w:val="Bibliografa"/>
        <w:spacing w:after="0" w:line="480" w:lineRule="auto"/>
        <w:ind w:left="720" w:hanging="720"/>
      </w:pPr>
      <w:r w:rsidRPr="75C5D68D">
        <w:rPr>
          <w:rFonts w:ascii="Times New Roman" w:hAnsi="Times New Roman" w:cs="Times New Roman"/>
          <w:sz w:val="24"/>
          <w:szCs w:val="24"/>
        </w:rPr>
        <w:t xml:space="preserve">Ortiz Fonnegra, M. I. (2022, 28 de marzo). </w:t>
      </w:r>
      <w:r w:rsidRPr="003A450E">
        <w:rPr>
          <w:rFonts w:ascii="Times New Roman" w:hAnsi="Times New Roman" w:cs="Times New Roman"/>
          <w:sz w:val="24"/>
          <w:szCs w:val="24"/>
        </w:rPr>
        <w:t>En los últimos 10 años se han restituido 538.212 hectáreas a víctimas</w:t>
      </w:r>
      <w:r w:rsidRPr="75C5D68D">
        <w:rPr>
          <w:rFonts w:ascii="Times New Roman" w:hAnsi="Times New Roman" w:cs="Times New Roman"/>
          <w:sz w:val="24"/>
          <w:szCs w:val="24"/>
        </w:rPr>
        <w:t xml:space="preserve">. El Tiempo. </w:t>
      </w:r>
      <w:hyperlink r:id="rId14">
        <w:r w:rsidRPr="003A450E">
          <w:t>https://www.eltiempo.com/justicia/servicios/restitucion-de-tierras-balance-de-entregas-a-victimas-del-conflicto-a-2022-661522</w:t>
        </w:r>
      </w:hyperlink>
    </w:p>
    <w:p w:rsidR="00CF4B3A" w:rsidRPr="003A450E" w:rsidRDefault="00CF4B3A" w:rsidP="003A450E">
      <w:pPr>
        <w:pStyle w:val="Bibliografa"/>
        <w:spacing w:after="0" w:line="480" w:lineRule="auto"/>
        <w:ind w:left="720" w:hanging="720"/>
        <w:rPr>
          <w:rFonts w:ascii="Times New Roman" w:hAnsi="Times New Roman" w:cs="Times New Roman"/>
          <w:sz w:val="24"/>
          <w:szCs w:val="24"/>
        </w:rPr>
      </w:pPr>
      <w:r w:rsidRPr="5E9AB590">
        <w:rPr>
          <w:rFonts w:ascii="Times New Roman" w:hAnsi="Times New Roman" w:cs="Times New Roman"/>
          <w:sz w:val="24"/>
          <w:szCs w:val="24"/>
        </w:rPr>
        <w:t xml:space="preserve">Parisi, K. (2021, 13 de diciembre). </w:t>
      </w:r>
      <w:r w:rsidRPr="003A450E">
        <w:rPr>
          <w:rFonts w:ascii="Times New Roman" w:hAnsi="Times New Roman" w:cs="Times New Roman"/>
          <w:sz w:val="24"/>
          <w:szCs w:val="24"/>
        </w:rPr>
        <w:t>Informe independiente señala que la Policía es responsable de 11 muertes durante las protestas de 2020 en Colombia</w:t>
      </w:r>
      <w:r w:rsidRPr="5E9AB590">
        <w:rPr>
          <w:rFonts w:ascii="Times New Roman" w:hAnsi="Times New Roman" w:cs="Times New Roman"/>
          <w:sz w:val="24"/>
          <w:szCs w:val="24"/>
        </w:rPr>
        <w:t xml:space="preserve">. CNN en español. </w:t>
      </w:r>
      <w:hyperlink r:id="rId15">
        <w:r w:rsidRPr="003A450E">
          <w:t>https://cnnespanol.cnn.com/2021/12/13/protestas-2020-colombia-orix</w:t>
        </w:r>
      </w:hyperlink>
    </w:p>
    <w:p w:rsidR="00CF4B3A" w:rsidRPr="003A450E" w:rsidRDefault="00CF4B3A" w:rsidP="003A450E">
      <w:pPr>
        <w:pStyle w:val="Bibliografa"/>
        <w:spacing w:after="0" w:line="480" w:lineRule="auto"/>
        <w:ind w:left="720" w:hanging="720"/>
      </w:pPr>
      <w:r w:rsidRPr="003A450E">
        <w:rPr>
          <w:rFonts w:ascii="Times New Roman" w:hAnsi="Times New Roman" w:cs="Times New Roman"/>
          <w:sz w:val="24"/>
          <w:szCs w:val="24"/>
        </w:rPr>
        <w:t xml:space="preserve">Rojas, D. M. (2007). Plan Colombia II: ¿más de lo mismo?. Colombia Internacional, 65, 14-37. </w:t>
      </w:r>
      <w:hyperlink r:id="rId16">
        <w:r w:rsidRPr="003A450E">
          <w:t>https://doi.org/10.7440/colombiaint65.2007.01</w:t>
        </w:r>
      </w:hyperlink>
    </w:p>
    <w:p w:rsidR="00CF4B3A" w:rsidRPr="00694B5E" w:rsidRDefault="00CF4B3A" w:rsidP="003A450E">
      <w:pPr>
        <w:pStyle w:val="Bibliografa"/>
        <w:spacing w:after="0" w:line="480" w:lineRule="auto"/>
        <w:ind w:left="720" w:hanging="720"/>
        <w:rPr>
          <w:rFonts w:ascii="Times New Roman" w:hAnsi="Times New Roman" w:cs="Times New Roman"/>
          <w:sz w:val="24"/>
          <w:szCs w:val="24"/>
        </w:rPr>
      </w:pPr>
      <w:r w:rsidRPr="003A450E">
        <w:rPr>
          <w:rFonts w:ascii="Times New Roman" w:hAnsi="Times New Roman" w:cs="Times New Roman"/>
          <w:sz w:val="24"/>
          <w:szCs w:val="24"/>
        </w:rPr>
        <w:t>Temblores ONG, &amp; Indepaz. (s. f.). Primer año del gobierno Petro</w:t>
      </w:r>
      <w:r w:rsidRPr="00A20385">
        <w:rPr>
          <w:rFonts w:ascii="Times New Roman" w:hAnsi="Times New Roman" w:cs="Times New Roman"/>
          <w:sz w:val="24"/>
          <w:szCs w:val="24"/>
        </w:rPr>
        <w:t xml:space="preserve">. Indepaz. </w:t>
      </w:r>
      <w:hyperlink r:id="rId17" w:history="1">
        <w:r w:rsidRPr="003A450E">
          <w:t>https://indepaz.org.co/wp-content/uploads/2023/08/INFORME_UN_AN%CC%83O_GOBIERNO_PETRO_2023.pdf</w:t>
        </w:r>
      </w:hyperlink>
    </w:p>
    <w:p w:rsidR="00CF4B3A" w:rsidRPr="003A450E" w:rsidRDefault="00CF4B3A" w:rsidP="003A450E">
      <w:pPr>
        <w:pStyle w:val="Bibliografa"/>
        <w:spacing w:after="0" w:line="480" w:lineRule="auto"/>
        <w:ind w:left="720" w:hanging="720"/>
        <w:rPr>
          <w:rFonts w:ascii="Times New Roman" w:hAnsi="Times New Roman" w:cs="Times New Roman"/>
          <w:sz w:val="24"/>
          <w:szCs w:val="24"/>
        </w:rPr>
      </w:pPr>
      <w:r w:rsidRPr="003A450E">
        <w:rPr>
          <w:rFonts w:ascii="Times New Roman" w:hAnsi="Times New Roman" w:cs="Times New Roman"/>
          <w:sz w:val="24"/>
          <w:szCs w:val="24"/>
        </w:rPr>
        <w:lastRenderedPageBreak/>
        <w:t xml:space="preserve">Torregrosa Jiménez, N., Barón Ramírez, Y., Triviño Lozano, J. C., &amp; Torregrosa Jiménez, R. (2023). Memoria histórica y ley de víctimas y restitución de tierras ¿prolongación de un incumplimiento?. Revista Republicana, 34, 175-188. </w:t>
      </w:r>
      <w:hyperlink r:id="rId18">
        <w:r w:rsidRPr="003A450E">
          <w:t>http://dx.doi.org/10.21017/Rev.Repub.2023.v34.a143</w:t>
        </w:r>
      </w:hyperlink>
    </w:p>
    <w:p w:rsidR="00CF4B3A" w:rsidRPr="00436F66" w:rsidRDefault="00CF4B3A" w:rsidP="00CF4B3A">
      <w:pPr>
        <w:rPr>
          <w:lang w:val="es-ES"/>
        </w:rPr>
      </w:pPr>
    </w:p>
    <w:p w:rsidR="00CF4B3A" w:rsidRPr="00436F66" w:rsidRDefault="00CF4B3A" w:rsidP="00CF4B3A">
      <w:pPr>
        <w:rPr>
          <w:lang w:val="es-MX"/>
        </w:rPr>
      </w:pPr>
    </w:p>
    <w:p w:rsidR="00CF4B3A" w:rsidRPr="00CF4B3A" w:rsidRDefault="00CF4B3A">
      <w:pPr>
        <w:rPr>
          <w:b/>
        </w:rPr>
      </w:pPr>
    </w:p>
    <w:sectPr w:rsidR="00CF4B3A" w:rsidRPr="00CF4B3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6211"/>
    <w:rsid w:val="00077162"/>
    <w:rsid w:val="002A4F27"/>
    <w:rsid w:val="00340A4E"/>
    <w:rsid w:val="003A450E"/>
    <w:rsid w:val="0058549E"/>
    <w:rsid w:val="00933044"/>
    <w:rsid w:val="00CE6211"/>
    <w:rsid w:val="00CF4B3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D2DE47"/>
  <w15:chartTrackingRefBased/>
  <w15:docId w15:val="{65EEB4CE-96A0-4FFC-B9BA-A3879E40E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CE6211"/>
    <w:pPr>
      <w:spacing w:after="200" w:line="276" w:lineRule="auto"/>
    </w:pPr>
    <w:rPr>
      <w:rFonts w:ascii="Calibri" w:eastAsia="Calibri" w:hAnsi="Calibri" w:cs="Calibri"/>
      <w:lang w:val="es-ES_tradnl"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rsid w:val="00CE6211"/>
    <w:rPr>
      <w:sz w:val="16"/>
      <w:szCs w:val="16"/>
    </w:rPr>
  </w:style>
  <w:style w:type="paragraph" w:styleId="Textocomentario">
    <w:name w:val="annotation text"/>
    <w:basedOn w:val="Normal"/>
    <w:link w:val="TextocomentarioCar"/>
    <w:uiPriority w:val="99"/>
    <w:unhideWhenUsed/>
    <w:rsid w:val="00CE6211"/>
    <w:rPr>
      <w:sz w:val="20"/>
      <w:szCs w:val="20"/>
    </w:rPr>
  </w:style>
  <w:style w:type="character" w:customStyle="1" w:styleId="TextocomentarioCar">
    <w:name w:val="Texto comentario Car"/>
    <w:basedOn w:val="Fuentedeprrafopredeter"/>
    <w:link w:val="Textocomentario"/>
    <w:uiPriority w:val="99"/>
    <w:rsid w:val="00CE6211"/>
    <w:rPr>
      <w:rFonts w:ascii="Calibri" w:eastAsia="Calibri" w:hAnsi="Calibri" w:cs="Calibri"/>
      <w:sz w:val="20"/>
      <w:szCs w:val="20"/>
      <w:lang w:val="es-ES_tradnl" w:eastAsia="es-MX"/>
    </w:rPr>
  </w:style>
  <w:style w:type="paragraph" w:styleId="Textodeglobo">
    <w:name w:val="Balloon Text"/>
    <w:basedOn w:val="Normal"/>
    <w:link w:val="TextodegloboCar"/>
    <w:uiPriority w:val="99"/>
    <w:semiHidden/>
    <w:unhideWhenUsed/>
    <w:rsid w:val="00CE6211"/>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E6211"/>
    <w:rPr>
      <w:rFonts w:ascii="Segoe UI" w:eastAsia="Calibri" w:hAnsi="Segoe UI" w:cs="Segoe UI"/>
      <w:sz w:val="18"/>
      <w:szCs w:val="18"/>
      <w:lang w:val="es-ES_tradnl" w:eastAsia="es-MX"/>
    </w:rPr>
  </w:style>
  <w:style w:type="paragraph" w:styleId="Bibliografa">
    <w:name w:val="Bibliography"/>
    <w:basedOn w:val="Normal"/>
    <w:next w:val="Normal"/>
    <w:uiPriority w:val="37"/>
    <w:unhideWhenUsed/>
    <w:rsid w:val="00CF4B3A"/>
  </w:style>
  <w:style w:type="character" w:styleId="Hipervnculo">
    <w:name w:val="Hyperlink"/>
    <w:basedOn w:val="Fuentedeprrafopredeter"/>
    <w:uiPriority w:val="99"/>
    <w:unhideWhenUsed/>
    <w:rsid w:val="00CF4B3A"/>
    <w:rPr>
      <w:color w:val="0563C1" w:themeColor="hyperlink"/>
      <w:u w:val="single"/>
    </w:rPr>
  </w:style>
  <w:style w:type="character" w:styleId="nfasis">
    <w:name w:val="Emphasis"/>
    <w:basedOn w:val="Fuentedeprrafopredeter"/>
    <w:uiPriority w:val="20"/>
    <w:qFormat/>
    <w:rsid w:val="00CF4B3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144/Javeriana.10554.15289" TargetMode="External"/><Relationship Id="rId13" Type="http://schemas.openxmlformats.org/officeDocument/2006/relationships/hyperlink" Target="https://indepaz.org.co/cifras-durante-el-gobierno-de-ivan-duque-balance-de-la-violencia-en-cifras/" TargetMode="External"/><Relationship Id="rId18" Type="http://schemas.openxmlformats.org/officeDocument/2006/relationships/hyperlink" Target="http://dx.doi.org/10.21017/Rev.Repub.2023.v34.a143" TargetMode="External"/><Relationship Id="rId3" Type="http://schemas.openxmlformats.org/officeDocument/2006/relationships/webSettings" Target="webSettings.xml"/><Relationship Id="rId7" Type="http://schemas.openxmlformats.org/officeDocument/2006/relationships/hyperlink" Target="https://www.centrodememoriahistorica.gov.co/descargas/informes2015/nacion-desplazada/una-nacion-desplazada.pdf" TargetMode="External"/><Relationship Id="rId12" Type="http://schemas.openxmlformats.org/officeDocument/2006/relationships/hyperlink" Target="https://derechopublico.uniandes.edu.co/components/com_revista/archivos/derechopub/pub487.pdf" TargetMode="External"/><Relationship Id="rId17" Type="http://schemas.openxmlformats.org/officeDocument/2006/relationships/hyperlink" Target="https://indepaz.org.co/wp-content/uploads/2023/08/INFORME_UN_AN%CC%83O_GOBIERNO_PETRO_2023.pdf" TargetMode="External"/><Relationship Id="rId2" Type="http://schemas.openxmlformats.org/officeDocument/2006/relationships/settings" Target="settings.xml"/><Relationship Id="rId16" Type="http://schemas.openxmlformats.org/officeDocument/2006/relationships/hyperlink" Target="https://doi.org/10.7440/colombiaint65.2007.01" TargetMode="External"/><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micrositios.centrodememoriahistorica.gov.co/observatorio/portal-de-datos/base-de-datos/" TargetMode="External"/><Relationship Id="rId11" Type="http://schemas.openxmlformats.org/officeDocument/2006/relationships/hyperlink" Target="https://indepaz.org.co/informe-de-masacres-en-colombia-durante-el-2020-2021/comment-page-4/#comments" TargetMode="External"/><Relationship Id="rId5" Type="http://schemas.openxmlformats.org/officeDocument/2006/relationships/hyperlink" Target="https://hdl.handle.net/1992/19522" TargetMode="External"/><Relationship Id="rId15" Type="http://schemas.openxmlformats.org/officeDocument/2006/relationships/hyperlink" Target="https://cnnespanol.cnn.com/2021/12/13/protestas-2020-colombia-orix" TargetMode="External"/><Relationship Id="rId10" Type="http://schemas.openxmlformats.org/officeDocument/2006/relationships/hyperlink" Target="https://www.indepaz.org.co/wp-content/uploads/2013/04/El_Caguan.pdf" TargetMode="External"/><Relationship Id="rId19" Type="http://schemas.openxmlformats.org/officeDocument/2006/relationships/fontTable" Target="fontTable.xml"/><Relationship Id="rId4" Type="http://schemas.openxmlformats.org/officeDocument/2006/relationships/hyperlink" Target="https://siise.bibliotecanacional.gov.co/BBCC/Documents/View/291?utm_source=chatgpt.com&amp;AspxAutoDetectCookieSupport=1" TargetMode="External"/><Relationship Id="rId9" Type="http://schemas.openxmlformats.org/officeDocument/2006/relationships/hyperlink" Target="https://doi.org/10.1590/S1413-81232008000500028" TargetMode="External"/><Relationship Id="rId14" Type="http://schemas.openxmlformats.org/officeDocument/2006/relationships/hyperlink" Target="https://www.eltiempo.com/justicia/servicios/restitucion-de-tierras-balance-de-entregas-a-victimas-del-conflicto-a-2022-661522"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10</Pages>
  <Words>3219</Words>
  <Characters>17710</Characters>
  <Application>Microsoft Office Word</Application>
  <DocSecurity>0</DocSecurity>
  <Lines>147</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Leidy</dc:creator>
  <cp:keywords/>
  <dc:description/>
  <cp:lastModifiedBy>Leidy</cp:lastModifiedBy>
  <cp:revision>3</cp:revision>
  <dcterms:created xsi:type="dcterms:W3CDTF">2026-01-24T23:52:00Z</dcterms:created>
  <dcterms:modified xsi:type="dcterms:W3CDTF">2026-01-25T00:14:00Z</dcterms:modified>
</cp:coreProperties>
</file>