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97D"/>
          <w:sz w:val="36"/>
        </w:rPr>
        <w:t>INVESTMENT COMMITTEE MEMORANDUM</w:t>
      </w:r>
    </w:p>
    <w:p>
      <w:r>
        <w:rPr>
          <w:rFonts w:ascii="Calibri" w:hAnsi="Calibri"/>
          <w:i/>
          <w:sz w:val="20"/>
        </w:rPr>
        <w:t>Target: Apex Logistics Solutions | Deal Size: $120M | Lead Sponsor: Strategic Growth Fund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120" w:after="200"/>
      </w:pPr>
      <w:r>
        <w:rPr>
          <w:b/>
          <w:color w:val="1F497D"/>
        </w:rPr>
        <w:t>BOTTOM LINE UP FRONT (BLUF):</w:t>
        <w:br/>
      </w:r>
      <w:r>
        <w:t>Management seeks approval to acquire 100% of Apex Logistics Solutions for $120.0M (8.5x FY24 EBITDA). The acquisition expands our regional distribution footprint by 40%, captures $14.2M in annual run-rate OpEx synergies by Year 2, and delivers an estimated IRR of 22.4% with a 3.4-year capital payback period.</w:t>
      </w:r>
    </w:p>
    <w:p>
      <w:pPr>
        <w:pStyle w:val="Heading2"/>
      </w:pPr>
      <w:r>
        <w:t>1. Strategic Rationale &amp; Deal Overview</w:t>
      </w:r>
    </w:p>
    <w:p>
      <w:r>
        <w:t>Apex Logistics is a market leader in automated regional freight consolidation. The transaction fulfills three strategic mandates established in our FY25 Corporate Strategy:</w:t>
        <w:br/>
        <w:t>• Network Density: Adds 6 automated distribution hubs across the Midwest corridor.</w:t>
        <w:br/>
        <w:t>• Margin Accretion: Apex operates at 22% EBITDA margins (vs. our baseline 17.5%).</w:t>
        <w:br/>
        <w:t>• Proprietary Routing Tech: Apex's proprietary WMS reduces driver dwell times by 32%.</w:t>
      </w:r>
    </w:p>
    <w:p>
      <w:pPr>
        <w:pStyle w:val="Heading2"/>
      </w:pPr>
      <w:r>
        <w:t>2. Financial Performance &amp; Valuation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</w:tcPr>
          <w:p>
            <w:pPr>
              <w:jc w:val="left"/>
            </w:pPr>
            <w:r>
              <w:rPr>
                <w:b/>
                <w:color w:val="FFFFFF"/>
              </w:rPr>
              <w:t>Metric ($M)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FY23A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FY24E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FY25P (w/ Synergies)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Revenue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$44.5M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$50.0M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$64.2M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EBITDA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$9.2M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$11.0M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$16.8M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EBITDA Margin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20.7%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22.0%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26.2%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Unlevered Free Cash Flow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$5.8M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$7.1M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$11.4M</w:t>
            </w:r>
          </w:p>
        </w:tc>
      </w:tr>
    </w:tbl>
    <w:p>
      <w:pPr>
        <w:pStyle w:val="Heading2"/>
      </w:pPr>
      <w:r>
        <w:t>3. Downside Risk Assessment &amp; Mitigation</w:t>
      </w:r>
    </w:p>
    <w:p>
      <w:r>
        <w:t>1. Key Customer Concentration: Top 3 customers account for 28% of Apex revenue.</w:t>
        <w:br/>
        <w:t xml:space="preserve">   → Mitigation: 3-year commercial service level agreements (SLAs) required as closing conditions.</w:t>
        <w:br/>
        <w:t>2. Systems Integration Overrun: Potential downtime during ERP migration.</w:t>
        <w:br/>
        <w:t xml:space="preserve">   → Mitigation: $3.5M integration contingency ring-fenced; phased transition led by internal PMO.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