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69" w:before="0" w:after="40"/>
        <w:jc w:val="center"/>
      </w:pPr>
      <w:r>
        <w:rPr>
          <w:rFonts w:ascii="Calibri" w:hAnsi="Calibri" w:eastAsia="Calibri"/>
          <w:b/>
          <w:sz w:val="36"/>
        </w:rPr>
        <w:t>William Amor</w:t>
      </w:r>
    </w:p>
    <w:p>
      <w:pPr>
        <w:spacing w:lineRule="auto" w:line="269" w:before="0" w:after="200"/>
        <w:jc w:val="center"/>
      </w:pPr>
      <w:r>
        <w:rPr>
          <w:rFonts w:ascii="Calibri" w:hAnsi="Calibri" w:eastAsia="Calibri"/>
          <w:sz w:val="19"/>
        </w:rPr>
        <w:t>Principal Product Owner  |  London, UK  |  message@william-amor.info  |  linkedin.com/in/willamor</w:t>
      </w:r>
    </w:p>
    <w:p>
      <w:pPr>
        <w:keepNext/>
        <w:spacing w:before="200" w:after="80"/>
      </w:pPr>
      <w:r>
        <w:rPr>
          <w:rFonts w:ascii="Calibri" w:hAnsi="Calibri" w:eastAsia="Calibri"/>
          <w:b/>
          <w:sz w:val="20"/>
        </w:rPr>
        <w:t>PROFESSIONAL SUMMARY</w:t>
      </w:r>
    </w:p>
    <w:p>
      <w:pPr>
        <w:spacing w:lineRule="auto" w:line="276" w:before="0" w:after="80"/>
      </w:pPr>
      <w:r>
        <w:rPr>
          <w:rFonts w:ascii="Calibri" w:hAnsi="Calibri" w:eastAsia="Calibri"/>
          <w:sz w:val="19"/>
        </w:rPr>
        <w:t>Eight years working across insurance, consumer health, and pharma, including consultancy work at Marsh. I lead product strategy and delivery: agree scope with stakeholders and ship products people actually use. I’ve owned and delivered on Qlik, Power BI, Power Platform, Alteryx, AWS, React, and modern web stacks, including rollouts, governance, and change management. I’ve led product in large multinationals with global teams across all continents. I build products that save time and grow revenue, and I use data to decide what to build, fund, or stop.</w:t>
      </w:r>
    </w:p>
    <w:p>
      <w:pPr>
        <w:keepNext/>
        <w:spacing w:before="200" w:after="80"/>
      </w:pPr>
      <w:r>
        <w:rPr>
          <w:rFonts w:ascii="Calibri" w:hAnsi="Calibri" w:eastAsia="Calibri"/>
          <w:b/>
          <w:sz w:val="20"/>
        </w:rPr>
        <w:t>SELECTED IMPACT</w:t>
      </w:r>
    </w:p>
    <w:p>
      <w:pPr>
        <w:pStyle w:val="ListBullet"/>
        <w:spacing w:lineRule="auto" w:line="269" w:before="0" w:after="60"/>
        <w:ind w:left="288" w:hanging="173"/>
      </w:pPr>
      <w:r>
        <w:rPr>
          <w:rFonts w:ascii="Calibri" w:hAnsi="Calibri" w:eastAsia="Calibri"/>
          <w:sz w:val="18"/>
        </w:rPr>
        <w:t>Broker operations teams use product insight on commission rates with clients; Marsh attributes a $2m revenue increase.</w:t>
      </w:r>
    </w:p>
    <w:p>
      <w:pPr>
        <w:pStyle w:val="ListBullet"/>
        <w:spacing w:lineRule="auto" w:line="269" w:before="0" w:after="60"/>
        <w:ind w:left="288" w:hanging="173"/>
      </w:pPr>
      <w:r>
        <w:rPr>
          <w:rFonts w:ascii="Calibri" w:hAnsi="Calibri" w:eastAsia="Calibri"/>
          <w:sz w:val="18"/>
        </w:rPr>
        <w:t>Delivered an Amazon 360 view and sentiment analysis at Kenvue for UK commercial teams; part of a $5m sales uplift on that account set.</w:t>
      </w:r>
    </w:p>
    <w:p>
      <w:pPr>
        <w:pStyle w:val="ListBullet"/>
        <w:spacing w:lineRule="auto" w:line="269" w:before="0" w:after="60"/>
        <w:ind w:left="288" w:hanging="173"/>
      </w:pPr>
      <w:r>
        <w:rPr>
          <w:rFonts w:ascii="Calibri" w:hAnsi="Calibri" w:eastAsia="Calibri"/>
          <w:sz w:val="18"/>
        </w:rPr>
        <w:t>Refreshed ETL and reporting for UK sales at Johnson &amp; Johnson; the business attributed a $1.5m sales effect after go-live.</w:t>
      </w:r>
    </w:p>
    <w:p>
      <w:pPr>
        <w:pStyle w:val="ListBullet"/>
        <w:spacing w:lineRule="auto" w:line="269" w:before="0" w:after="100"/>
        <w:ind w:left="288" w:hanging="173"/>
      </w:pPr>
      <w:r>
        <w:rPr>
          <w:rFonts w:ascii="Calibri" w:hAnsi="Calibri" w:eastAsia="Calibri"/>
          <w:sz w:val="18"/>
        </w:rPr>
        <w:t>Built a UK intern programme at Johnson &amp; Johnson, line managing every intern in my organisation across both rotations (onboarding, check-ins, work prioritisation, objectives, and development); in my final year at Kenvue, formalised and pitched an EMEA graduate scheme to the regional CIO: sponsorship, funding, and hiring in the UK, Germany, and Dubai; led 3 cohorts over 3 years.</w:t>
      </w:r>
    </w:p>
    <w:p>
      <w:pPr>
        <w:keepNext/>
        <w:spacing w:before="200" w:after="80"/>
      </w:pPr>
      <w:r>
        <w:rPr>
          <w:rFonts w:ascii="Calibri" w:hAnsi="Calibri" w:eastAsia="Calibri"/>
          <w:b/>
          <w:sz w:val="20"/>
        </w:rPr>
        <w:t>EXPERIENCE</w:t>
      </w:r>
    </w:p>
    <w:p>
      <w:pPr>
        <w:keepNext/>
        <w:keepLines/>
        <w:widowControl/>
        <w:spacing w:lineRule="auto" w:line="269" w:before="140" w:after="40"/>
      </w:pPr>
      <w:r>
        <w:rPr>
          <w:rFonts w:ascii="Calibri" w:hAnsi="Calibri" w:eastAsia="Calibri"/>
          <w:b/>
          <w:sz w:val="20"/>
        </w:rPr>
        <w:t>Principal Product Owner</w:t>
      </w:r>
      <w:r>
        <w:rPr>
          <w:rFonts w:ascii="Calibri" w:hAnsi="Calibri" w:eastAsia="Calibri"/>
          <w:sz w:val="20"/>
        </w:rPr>
        <w:t xml:space="preserve">  |  Marsh  |  London, United Kingdom  |  Aug 2024 – Present</w:t>
      </w:r>
    </w:p>
    <w:p>
      <w:pPr>
        <w:pStyle w:val="ListBullet"/>
        <w:keepNext/>
        <w:keepLines/>
        <w:widowControl/>
        <w:spacing w:lineRule="auto" w:line="269" w:before="0" w:after="60"/>
        <w:ind w:left="288" w:hanging="173"/>
      </w:pPr>
      <w:r>
        <w:rPr>
          <w:rFonts w:ascii="Calibri" w:hAnsi="Calibri" w:eastAsia="Calibri"/>
          <w:sz w:val="18"/>
        </w:rPr>
        <w:t>Principal product owner for a $15bn+ premium portfolio: multi-million-dollar revenue, $8m+ placement opportunities, and $2m revenue Marsh attributes.</w:t>
      </w:r>
    </w:p>
    <w:p>
      <w:pPr>
        <w:pStyle w:val="ListBullet"/>
        <w:keepNext/>
        <w:keepLines/>
        <w:widowControl/>
        <w:spacing w:lineRule="auto" w:line="269" w:before="0" w:after="60"/>
        <w:ind w:left="288" w:hanging="173"/>
      </w:pPr>
      <w:r>
        <w:rPr>
          <w:rFonts w:ascii="Calibri" w:hAnsi="Calibri" w:eastAsia="Calibri"/>
          <w:sz w:val="18"/>
        </w:rPr>
        <w:t>Set product strategy, roadmaps, and OKRs with MD/Partner stakeholders.</w:t>
      </w:r>
    </w:p>
    <w:p>
      <w:pPr>
        <w:pStyle w:val="ListBullet"/>
        <w:keepNext/>
        <w:keepLines/>
        <w:widowControl/>
        <w:spacing w:lineRule="auto" w:line="269" w:before="0" w:after="60"/>
        <w:ind w:left="288" w:hanging="173"/>
      </w:pPr>
      <w:r>
        <w:rPr>
          <w:rFonts w:ascii="Calibri" w:hAnsi="Calibri" w:eastAsia="Calibri"/>
          <w:sz w:val="18"/>
        </w:rPr>
        <w:t>Lead backlogs across 25+ people in engineering, analytics, and product.</w:t>
      </w:r>
    </w:p>
    <w:p>
      <w:pPr>
        <w:pStyle w:val="ListBullet"/>
        <w:keepNext/>
        <w:keepLines/>
        <w:widowControl/>
        <w:spacing w:lineRule="auto" w:line="269" w:before="0" w:after="60"/>
        <w:ind w:left="288" w:hanging="173"/>
      </w:pPr>
      <w:r>
        <w:rPr>
          <w:rFonts w:ascii="Calibri" w:hAnsi="Calibri" w:eastAsia="Calibri"/>
          <w:sz w:val="18"/>
        </w:rPr>
        <w:t>Ship commission-rate and placement insight products for broker operations teams.</w:t>
      </w:r>
    </w:p>
    <w:p>
      <w:pPr>
        <w:pStyle w:val="ListBullet"/>
        <w:keepNext/>
        <w:keepLines/>
        <w:widowControl/>
        <w:spacing w:lineRule="auto" w:line="269" w:before="0" w:after="60"/>
        <w:ind w:left="288" w:hanging="173"/>
      </w:pPr>
      <w:r>
        <w:rPr>
          <w:rFonts w:ascii="Calibri" w:hAnsi="Calibri" w:eastAsia="Calibri"/>
          <w:sz w:val="18"/>
        </w:rPr>
        <w:t>Design and define a new cross-sell feature in the product: helps broker operations teams identify where Marsh may have scope to sell additional coverage classes to existing clients.</w:t>
      </w:r>
    </w:p>
    <w:p>
      <w:pPr>
        <w:pStyle w:val="ListBullet"/>
        <w:keepNext/>
        <w:keepLines/>
        <w:widowControl/>
        <w:spacing w:lineRule="auto" w:line="269" w:before="0" w:after="60"/>
        <w:ind w:left="288" w:hanging="173"/>
      </w:pPr>
      <w:r>
        <w:rPr>
          <w:rFonts w:ascii="Calibri" w:hAnsi="Calibri" w:eastAsia="Calibri"/>
          <w:sz w:val="18"/>
        </w:rPr>
        <w:t>Run usage tracking and engagement reporting across the portfolio.</w:t>
      </w:r>
    </w:p>
    <w:p>
      <w:pPr>
        <w:pStyle w:val="ListBullet"/>
        <w:keepLines/>
        <w:widowControl/>
        <w:spacing w:lineRule="auto" w:line="269" w:before="0" w:after="100"/>
        <w:ind w:left="288" w:hanging="173"/>
      </w:pPr>
      <w:r>
        <w:rPr>
          <w:rFonts w:ascii="Calibri" w:hAnsi="Calibri" w:eastAsia="Calibri"/>
          <w:sz w:val="18"/>
        </w:rPr>
        <w:t>Own defect triage through to fix, including shared infrastructure teams.</w:t>
      </w:r>
    </w:p>
    <w:p>
      <w:pPr>
        <w:keepNext/>
        <w:keepLines/>
        <w:widowControl/>
        <w:spacing w:lineRule="auto" w:line="269" w:before="140" w:after="40"/>
      </w:pPr>
      <w:r>
        <w:rPr>
          <w:rFonts w:ascii="Calibri" w:hAnsi="Calibri" w:eastAsia="Calibri"/>
          <w:b/>
          <w:sz w:val="20"/>
        </w:rPr>
        <w:t>Data &amp; Analytics Product Owner (EMEA)</w:t>
      </w:r>
      <w:r>
        <w:rPr>
          <w:rFonts w:ascii="Calibri" w:hAnsi="Calibri" w:eastAsia="Calibri"/>
          <w:sz w:val="20"/>
        </w:rPr>
        <w:t xml:space="preserve">  |  Kenvue (formerly a Johnson &amp; Johnson company)  |  Buckinghamshire, United Kingdom  |  Jul 2023 – Jun 2024</w:t>
      </w:r>
    </w:p>
    <w:p>
      <w:pPr>
        <w:pStyle w:val="ListBullet"/>
        <w:keepNext/>
        <w:keepLines/>
        <w:widowControl/>
        <w:spacing w:lineRule="auto" w:line="269" w:before="0" w:after="60"/>
        <w:ind w:left="288" w:hanging="173"/>
      </w:pPr>
      <w:r>
        <w:rPr>
          <w:rFonts w:ascii="Calibri" w:hAnsi="Calibri" w:eastAsia="Calibri"/>
          <w:sz w:val="18"/>
        </w:rPr>
        <w:t>Owned an EMEA portfolio across digital, eCommerce, and marketing: vision, backlog, and delivery.</w:t>
      </w:r>
    </w:p>
    <w:p>
      <w:pPr>
        <w:pStyle w:val="ListBullet"/>
        <w:keepNext/>
        <w:keepLines/>
        <w:widowControl/>
        <w:spacing w:lineRule="auto" w:line="269" w:before="0" w:after="60"/>
        <w:ind w:left="288" w:hanging="173"/>
      </w:pPr>
      <w:r>
        <w:rPr>
          <w:rFonts w:ascii="Calibri" w:hAnsi="Calibri" w:eastAsia="Calibri"/>
          <w:sz w:val="18"/>
        </w:rPr>
        <w:t>Data &amp; analytics product owner for a $5m UK Amazon sales uplift: 360 view and sentiment analysis for commercial teams.</w:t>
      </w:r>
    </w:p>
    <w:p>
      <w:pPr>
        <w:pStyle w:val="ListBullet"/>
        <w:keepNext/>
        <w:keepLines/>
        <w:widowControl/>
        <w:spacing w:lineRule="auto" w:line="269" w:before="0" w:after="60"/>
        <w:ind w:left="288" w:hanging="173"/>
      </w:pPr>
      <w:r>
        <w:rPr>
          <w:rFonts w:ascii="Calibri" w:hAnsi="Calibri" w:eastAsia="Calibri"/>
          <w:sz w:val="18"/>
        </w:rPr>
        <w:t>Ran prioritisation and stakeholder reviews; cut scope when ROI didn’t justify the cost.</w:t>
      </w:r>
    </w:p>
    <w:p>
      <w:pPr>
        <w:pStyle w:val="ListBullet"/>
        <w:keepNext/>
        <w:keepLines/>
        <w:widowControl/>
        <w:spacing w:lineRule="auto" w:line="269" w:before="0" w:after="60"/>
        <w:ind w:left="288" w:hanging="173"/>
      </w:pPr>
      <w:r>
        <w:rPr>
          <w:rFonts w:ascii="Calibri" w:hAnsi="Calibri" w:eastAsia="Calibri"/>
          <w:sz w:val="18"/>
        </w:rPr>
        <w:t>Planned investment and squad capacity across the portfolio.</w:t>
      </w:r>
    </w:p>
    <w:p>
      <w:pPr>
        <w:pStyle w:val="ListBullet"/>
        <w:keepNext/>
        <w:keepLines/>
        <w:widowControl/>
        <w:spacing w:lineRule="auto" w:line="269" w:before="0" w:after="60"/>
        <w:ind w:left="288" w:hanging="173"/>
      </w:pPr>
      <w:r>
        <w:rPr>
          <w:rFonts w:ascii="Calibri" w:hAnsi="Calibri" w:eastAsia="Calibri"/>
          <w:sz w:val="18"/>
        </w:rPr>
        <w:t>Migrated digital, eCommerce, and marketing data onto Snowflake, consolidating sources behind EMEA reporting.</w:t>
      </w:r>
    </w:p>
    <w:p>
      <w:pPr>
        <w:pStyle w:val="ListBullet"/>
        <w:keepLines/>
        <w:widowControl/>
        <w:spacing w:lineRule="auto" w:line="269" w:before="0" w:after="100"/>
        <w:ind w:left="288" w:hanging="173"/>
      </w:pPr>
      <w:r>
        <w:rPr>
          <w:rFonts w:ascii="Calibri" w:hAnsi="Calibri" w:eastAsia="Calibri"/>
          <w:sz w:val="18"/>
        </w:rPr>
        <w:t>Built SQL datasets powering analytics, dashboards, and ad hoc EMEA requests.</w:t>
      </w:r>
    </w:p>
    <w:p>
      <w:pPr>
        <w:keepNext/>
        <w:keepLines/>
        <w:widowControl/>
        <w:spacing w:lineRule="auto" w:line="269" w:before="140" w:after="40"/>
      </w:pPr>
      <w:r>
        <w:rPr>
          <w:rFonts w:ascii="Calibri" w:hAnsi="Calibri" w:eastAsia="Calibri"/>
          <w:b/>
          <w:sz w:val="20"/>
        </w:rPr>
        <w:t>IT Business Technology Leader (Leadership Programme)</w:t>
      </w:r>
      <w:r>
        <w:rPr>
          <w:rFonts w:ascii="Calibri" w:hAnsi="Calibri" w:eastAsia="Calibri"/>
          <w:sz w:val="20"/>
        </w:rPr>
        <w:t xml:space="preserve">  |  Johnson &amp; Johnson  |  Buckinghamshire, United Kingdom  |  Sep 2022 – Jul 2023</w:t>
      </w:r>
    </w:p>
    <w:p>
      <w:pPr>
        <w:pStyle w:val="ListBullet"/>
        <w:keepNext/>
        <w:keepLines/>
        <w:widowControl/>
        <w:spacing w:lineRule="auto" w:line="269" w:before="0" w:after="60"/>
        <w:ind w:left="288" w:hanging="173"/>
      </w:pPr>
      <w:r>
        <w:rPr>
          <w:rFonts w:ascii="Calibri" w:hAnsi="Calibri" w:eastAsia="Calibri"/>
          <w:sz w:val="18"/>
        </w:rPr>
        <w:t>IT partner for the $500m UK business: digital, data, commercial, and operational IT.</w:t>
      </w:r>
    </w:p>
    <w:p>
      <w:pPr>
        <w:pStyle w:val="ListBullet"/>
        <w:keepNext/>
        <w:keepLines/>
        <w:widowControl/>
        <w:spacing w:lineRule="auto" w:line="269" w:before="0" w:after="60"/>
        <w:ind w:left="288" w:hanging="173"/>
      </w:pPr>
      <w:r>
        <w:rPr>
          <w:rFonts w:ascii="Calibri" w:hAnsi="Calibri" w:eastAsia="Calibri"/>
          <w:sz w:val="18"/>
        </w:rPr>
        <w:t>Line managed all interns in the organisation and ran the UK hiring programme ahead of regional formalisation at Kenvue: onboarding, regular check-ins, work prioritisation, goals and objectives, and upskilling through training and development opportunities.</w:t>
      </w:r>
    </w:p>
    <w:p>
      <w:pPr>
        <w:pStyle w:val="ListBullet"/>
        <w:keepNext/>
        <w:keepLines/>
        <w:widowControl/>
        <w:spacing w:lineRule="auto" w:line="269" w:before="0" w:after="60"/>
        <w:ind w:left="288" w:hanging="173"/>
      </w:pPr>
      <w:r>
        <w:rPr>
          <w:rFonts w:ascii="Calibri" w:hAnsi="Calibri" w:eastAsia="Calibri"/>
          <w:sz w:val="18"/>
        </w:rPr>
        <w:t>Led low-£m programmes for sales operations and manufacturing.</w:t>
      </w:r>
    </w:p>
    <w:p>
      <w:pPr>
        <w:pStyle w:val="ListBullet"/>
        <w:keepNext/>
        <w:keepLines/>
        <w:widowControl/>
        <w:spacing w:lineRule="auto" w:line="269" w:before="0" w:after="60"/>
        <w:ind w:left="288" w:hanging="173"/>
      </w:pPr>
      <w:r>
        <w:rPr>
          <w:rFonts w:ascii="Calibri" w:hAnsi="Calibri" w:eastAsia="Calibri"/>
          <w:sz w:val="18"/>
        </w:rPr>
        <w:t>Piloted a new COTS e-learning system: user-journey workshops, RFP, and vendor evaluation.</w:t>
      </w:r>
    </w:p>
    <w:p>
      <w:pPr>
        <w:pStyle w:val="ListBullet"/>
        <w:keepLines/>
        <w:widowControl/>
        <w:spacing w:lineRule="auto" w:line="269" w:before="0" w:after="100"/>
        <w:ind w:left="288" w:hanging="173"/>
      </w:pPr>
      <w:r>
        <w:rPr>
          <w:rFonts w:ascii="Calibri" w:hAnsi="Calibri" w:eastAsia="Calibri"/>
          <w:sz w:val="18"/>
        </w:rPr>
        <w:t>Delivered BI and automated ordering in LATAM/ASPAC with ~$1m P&amp;L impact: reporting and automated ordering.</w:t>
      </w:r>
    </w:p>
    <w:p>
      <w:pPr>
        <w:keepNext/>
        <w:keepLines/>
        <w:pageBreakBefore/>
        <w:widowControl/>
        <w:spacing w:lineRule="auto" w:line="269" w:before="140" w:after="40"/>
      </w:pPr>
      <w:r>
        <w:rPr>
          <w:rFonts w:ascii="Calibri" w:hAnsi="Calibri" w:eastAsia="Calibri"/>
          <w:b/>
          <w:sz w:val="20"/>
        </w:rPr>
        <w:t>Intelligent Automation Product Manager (Leadership Programme)</w:t>
      </w:r>
      <w:r>
        <w:rPr>
          <w:rFonts w:ascii="Calibri" w:hAnsi="Calibri" w:eastAsia="Calibri"/>
          <w:sz w:val="20"/>
        </w:rPr>
        <w:t xml:space="preserve">  |  Johnson &amp; Johnson  |  Buckinghamshire, United Kingdom  |  Jun 2021 – Sep 2022</w:t>
      </w:r>
    </w:p>
    <w:p>
      <w:pPr>
        <w:pStyle w:val="ListBullet"/>
        <w:keepNext/>
        <w:keepLines/>
        <w:widowControl/>
        <w:spacing w:lineRule="auto" w:line="269" w:before="0" w:after="60"/>
        <w:ind w:left="288" w:hanging="173"/>
      </w:pPr>
      <w:r>
        <w:rPr>
          <w:rFonts w:ascii="Calibri" w:hAnsi="Calibri" w:eastAsia="Calibri"/>
          <w:sz w:val="18"/>
        </w:rPr>
        <w:t>Automation product manager with $800k CIO funding: EMEA plan across Power Platform, Alteryx, and UiPath; 2,800 hours/year returned.</w:t>
      </w:r>
    </w:p>
    <w:p>
      <w:pPr>
        <w:pStyle w:val="ListBullet"/>
        <w:keepNext/>
        <w:keepLines/>
        <w:widowControl/>
        <w:spacing w:lineRule="auto" w:line="269" w:before="0" w:after="60"/>
        <w:ind w:left="288" w:hanging="173"/>
      </w:pPr>
      <w:r>
        <w:rPr>
          <w:rFonts w:ascii="Calibri" w:hAnsi="Calibri" w:eastAsia="Calibri"/>
          <w:sz w:val="18"/>
        </w:rPr>
        <w:t>Created the automation team: recruited and interviewed developers, then led them through identifying, designing, testing, and delivering automation solutions.</w:t>
      </w:r>
    </w:p>
    <w:p>
      <w:pPr>
        <w:pStyle w:val="ListBullet"/>
        <w:keepNext/>
        <w:keepLines/>
        <w:widowControl/>
        <w:spacing w:lineRule="auto" w:line="269" w:before="0" w:after="60"/>
        <w:ind w:left="288" w:hanging="173"/>
      </w:pPr>
      <w:r>
        <w:rPr>
          <w:rFonts w:ascii="Calibri" w:hAnsi="Calibri" w:eastAsia="Calibri"/>
          <w:sz w:val="18"/>
        </w:rPr>
        <w:t>Became the most successful team in the region for automation initiatives, with new investment from regional leadership growing year on year.</w:t>
      </w:r>
    </w:p>
    <w:p>
      <w:pPr>
        <w:pStyle w:val="ListBullet"/>
        <w:keepNext/>
        <w:keepLines/>
        <w:widowControl/>
        <w:spacing w:lineRule="auto" w:line="269" w:before="0" w:after="60"/>
        <w:ind w:left="288" w:hanging="173"/>
      </w:pPr>
      <w:r>
        <w:rPr>
          <w:rFonts w:ascii="Calibri" w:hAnsi="Calibri" w:eastAsia="Calibri"/>
          <w:sz w:val="18"/>
        </w:rPr>
        <w:t>Line managed all interns in the organisation from my first Johnson &amp; Johnson rotation: onboarding, regular check-ins, work prioritisation, goals and objectives, and upskilling through training and development opportunities.</w:t>
      </w:r>
    </w:p>
    <w:p>
      <w:pPr>
        <w:pStyle w:val="ListBullet"/>
        <w:keepNext/>
        <w:keepLines/>
        <w:widowControl/>
        <w:spacing w:lineRule="auto" w:line="269" w:before="0" w:after="60"/>
        <w:ind w:left="288" w:hanging="173"/>
      </w:pPr>
      <w:r>
        <w:rPr>
          <w:rFonts w:ascii="Calibri" w:hAnsi="Calibri" w:eastAsia="Calibri"/>
          <w:sz w:val="18"/>
        </w:rPr>
        <w:t>Set up the automation delivery model: intake, governance, and prioritisation.</w:t>
      </w:r>
    </w:p>
    <w:p>
      <w:pPr>
        <w:pStyle w:val="ListBullet"/>
        <w:keepNext/>
        <w:keepLines/>
        <w:widowControl/>
        <w:spacing w:lineRule="auto" w:line="269" w:before="0" w:after="60"/>
        <w:ind w:left="288" w:hanging="173"/>
      </w:pPr>
      <w:r>
        <w:rPr>
          <w:rFonts w:ascii="Calibri" w:hAnsi="Calibri" w:eastAsia="Calibri"/>
          <w:sz w:val="18"/>
        </w:rPr>
        <w:t>Delivered automations with seven-figure savings across shipped streams.</w:t>
      </w:r>
    </w:p>
    <w:p>
      <w:pPr>
        <w:pStyle w:val="ListBullet"/>
        <w:keepLines/>
        <w:widowControl/>
        <w:spacing w:lineRule="auto" w:line="269" w:before="0" w:after="100"/>
        <w:ind w:left="288" w:hanging="173"/>
      </w:pPr>
      <w:r>
        <w:rPr>
          <w:rFonts w:ascii="Calibri" w:hAnsi="Calibri" w:eastAsia="Calibri"/>
          <w:sz w:val="18"/>
        </w:rPr>
        <w:t>Led full compliance review with internal infosec and Microsoft for Power Automate Desktop: new citizen-developer capability for the company.</w:t>
      </w:r>
    </w:p>
    <w:p>
      <w:pPr>
        <w:keepNext/>
        <w:keepLines/>
        <w:widowControl/>
        <w:spacing w:lineRule="auto" w:line="269" w:before="140" w:after="40"/>
      </w:pPr>
      <w:r>
        <w:rPr>
          <w:rFonts w:ascii="Calibri" w:hAnsi="Calibri" w:eastAsia="Calibri"/>
          <w:b/>
          <w:sz w:val="20"/>
        </w:rPr>
        <w:t>Global Project Coordinator</w:t>
      </w:r>
      <w:r>
        <w:rPr>
          <w:rFonts w:ascii="Calibri" w:hAnsi="Calibri" w:eastAsia="Calibri"/>
          <w:sz w:val="20"/>
        </w:rPr>
        <w:t xml:space="preserve">  |  Pfizer  |  Kent, United Kingdom  |  Sep 2019 – Jun 2021</w:t>
      </w:r>
    </w:p>
    <w:p>
      <w:pPr>
        <w:pStyle w:val="ListBullet"/>
        <w:keepNext/>
        <w:keepLines/>
        <w:widowControl/>
        <w:spacing w:lineRule="auto" w:line="269" w:before="0" w:after="60"/>
        <w:ind w:left="288" w:hanging="173"/>
      </w:pPr>
      <w:r>
        <w:rPr>
          <w:rFonts w:ascii="Calibri" w:hAnsi="Calibri" w:eastAsia="Calibri"/>
          <w:sz w:val="18"/>
        </w:rPr>
        <w:t>Global project coordinator for rollout across 125 countries: Pega HCP regulatory workflow, UAT waves, and Comirnaty (COVID-19 vaccine) support.</w:t>
      </w:r>
    </w:p>
    <w:p>
      <w:pPr>
        <w:pStyle w:val="ListBullet"/>
        <w:keepNext/>
        <w:keepLines/>
        <w:widowControl/>
        <w:spacing w:lineRule="auto" w:line="269" w:before="0" w:after="60"/>
        <w:ind w:left="288" w:hanging="173"/>
      </w:pPr>
      <w:r>
        <w:rPr>
          <w:rFonts w:ascii="Calibri" w:hAnsi="Calibri" w:eastAsia="Calibri"/>
          <w:sz w:val="18"/>
        </w:rPr>
        <w:t>Updated clinical/medical process documentation for FDA, EMA, and MHRA impacts.</w:t>
      </w:r>
    </w:p>
    <w:p>
      <w:pPr>
        <w:pStyle w:val="ListBullet"/>
        <w:keepNext/>
        <w:keepLines/>
        <w:widowControl/>
        <w:spacing w:lineRule="auto" w:line="269" w:before="0" w:after="60"/>
        <w:ind w:left="288" w:hanging="173"/>
      </w:pPr>
      <w:r>
        <w:rPr>
          <w:rFonts w:ascii="Calibri" w:hAnsi="Calibri" w:eastAsia="Calibri"/>
          <w:sz w:val="18"/>
        </w:rPr>
        <w:t>Managed change control and audit traceability for regulated release.</w:t>
      </w:r>
    </w:p>
    <w:p>
      <w:pPr>
        <w:pStyle w:val="ListBullet"/>
        <w:keepLines/>
        <w:widowControl/>
        <w:spacing w:lineRule="auto" w:line="269" w:before="0" w:after="100"/>
        <w:ind w:left="288" w:hanging="173"/>
      </w:pPr>
      <w:r>
        <w:rPr>
          <w:rFonts w:ascii="Calibri" w:hAnsi="Calibri" w:eastAsia="Calibri"/>
          <w:sz w:val="18"/>
        </w:rPr>
        <w:t>Delivered training and demos across a 120,000-person global organisation.</w:t>
      </w:r>
    </w:p>
    <w:p>
      <w:pPr>
        <w:keepNext/>
        <w:keepLines/>
        <w:widowControl/>
        <w:spacing w:lineRule="auto" w:line="269" w:before="140" w:after="40"/>
      </w:pPr>
      <w:r>
        <w:rPr>
          <w:rFonts w:ascii="Calibri" w:hAnsi="Calibri" w:eastAsia="Calibri"/>
          <w:b/>
          <w:sz w:val="20"/>
        </w:rPr>
        <w:t>Technology Business Partner (Placement) to Product Delivery Lead (Part-time)</w:t>
      </w:r>
      <w:r>
        <w:rPr>
          <w:rFonts w:ascii="Calibri" w:hAnsi="Calibri" w:eastAsia="Calibri"/>
          <w:sz w:val="20"/>
        </w:rPr>
        <w:t xml:space="preserve">  |  GSK  |  Hertfordshire, United Kingdom  |  Jun 2017 – Aug 2019</w:t>
      </w:r>
    </w:p>
    <w:p>
      <w:pPr>
        <w:pStyle w:val="ListBullet"/>
        <w:keepNext/>
        <w:keepLines/>
        <w:widowControl/>
        <w:spacing w:lineRule="auto" w:line="269" w:before="0" w:after="60"/>
        <w:ind w:left="288" w:hanging="173"/>
      </w:pPr>
      <w:r>
        <w:rPr>
          <w:rFonts w:ascii="Calibri" w:hAnsi="Calibri" w:eastAsia="Calibri"/>
          <w:sz w:val="18"/>
        </w:rPr>
        <w:t>Technology business partner on a 20 hrs/week part-time programme through university: 1st in the intern cohort and the only person retained part-time from that cohort; still achieved First Class Honours; GxP manufacturing and global supply RPA.</w:t>
      </w:r>
    </w:p>
    <w:p>
      <w:pPr>
        <w:pStyle w:val="ListBullet"/>
        <w:keepNext/>
        <w:keepLines/>
        <w:widowControl/>
        <w:spacing w:lineRule="auto" w:line="269" w:before="0" w:after="60"/>
        <w:ind w:left="288" w:hanging="173"/>
      </w:pPr>
      <w:r>
        <w:rPr>
          <w:rFonts w:ascii="Calibri" w:hAnsi="Calibri" w:eastAsia="Calibri"/>
          <w:sz w:val="18"/>
        </w:rPr>
        <w:t>Worked in GxP pharma manufacturing, including calibration software for production machinery: fewer defect opportunities and safer medicine supply for patients.</w:t>
      </w:r>
    </w:p>
    <w:p>
      <w:pPr>
        <w:pStyle w:val="ListBullet"/>
        <w:keepLines/>
        <w:widowControl/>
        <w:spacing w:lineRule="auto" w:line="269" w:before="0" w:after="100"/>
        <w:ind w:left="288" w:hanging="173"/>
      </w:pPr>
      <w:r>
        <w:rPr>
          <w:rFonts w:ascii="Calibri" w:hAnsi="Calibri" w:eastAsia="Calibri"/>
          <w:sz w:val="18"/>
        </w:rPr>
        <w:t>Built global RPA that monitored stock thresholds and auto-ordered parts to keep medicine supply running.</w:t>
      </w:r>
    </w:p>
    <w:p>
      <w:pPr>
        <w:keepNext/>
        <w:spacing w:before="200" w:after="80"/>
      </w:pPr>
      <w:r>
        <w:rPr>
          <w:rFonts w:ascii="Calibri" w:hAnsi="Calibri" w:eastAsia="Calibri"/>
          <w:b/>
          <w:sz w:val="20"/>
        </w:rPr>
        <w:t>CERTIFICATIONS</w:t>
      </w:r>
    </w:p>
    <w:p>
      <w:pPr>
        <w:spacing w:lineRule="auto" w:line="269" w:before="0" w:after="80"/>
      </w:pPr>
      <w:r>
        <w:rPr>
          <w:rFonts w:ascii="Calibri" w:hAnsi="Calibri" w:eastAsia="Calibri"/>
          <w:sz w:val="18"/>
        </w:rPr>
        <w:t>SAFe 5 Agilist — Scaled Agile Framework certification.; ITIL v3 — Service management foundation.</w:t>
      </w:r>
    </w:p>
    <w:p>
      <w:pPr>
        <w:keepNext/>
        <w:spacing w:before="200" w:after="80"/>
      </w:pPr>
      <w:r>
        <w:rPr>
          <w:rFonts w:ascii="Calibri" w:hAnsi="Calibri" w:eastAsia="Calibri"/>
          <w:b/>
          <w:sz w:val="20"/>
        </w:rPr>
        <w:t>SKILLS &amp; PLATFORMS</w:t>
      </w:r>
    </w:p>
    <w:p>
      <w:pPr>
        <w:spacing w:lineRule="auto" w:line="276" w:before="0" w:after="80"/>
      </w:pPr>
      <w:r>
        <w:rPr>
          <w:rFonts w:ascii="Calibri" w:hAnsi="Calibri" w:eastAsia="Calibri"/>
          <w:sz w:val="18"/>
        </w:rPr>
        <w:t>I’ve created roadmaps and OKRs across 25+ squads, worked with MD/Partner stakeholders on trade-offs, and set up analytics and adoption reporting for insight products. Day to day: Agile and SAFe, discovery, UAT, and change control in Jira and Confluence.</w:t>
      </w:r>
    </w:p>
    <w:p>
      <w:pPr>
        <w:spacing w:lineRule="auto" w:line="276" w:before="0" w:after="40"/>
      </w:pPr>
      <w:r>
        <w:rPr>
          <w:rFonts w:ascii="Calibri" w:hAnsi="Calibri" w:eastAsia="Calibri"/>
          <w:sz w:val="18"/>
        </w:rPr>
        <w:t>Snowflake migration and SQL/ETL for dashboards and analysis, including a reporting refresh with a $1.5m attributed effect; governed automation returning 1,500 hours/year. Stack includes AWS, Qlik, React, MUI, Pega, Power Platform, UiPath, Alteryx, RPA, BI, and product analytics.</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