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69" w:before="0" w:after="40"/>
        <w:jc w:val="center"/>
      </w:pPr>
      <w:r>
        <w:rPr>
          <w:rFonts w:ascii="Calibri" w:hAnsi="Calibri" w:eastAsia="Calibri"/>
          <w:b/>
          <w:sz w:val="38"/>
        </w:rPr>
        <w:t>William Amor</w:t>
      </w:r>
    </w:p>
    <w:p>
      <w:pPr>
        <w:spacing w:lineRule="auto" w:line="269" w:before="0" w:after="200"/>
        <w:jc w:val="center"/>
      </w:pPr>
      <w:r>
        <w:rPr>
          <w:rFonts w:ascii="Calibri" w:hAnsi="Calibri"/>
          <w:sz w:val="20"/>
        </w:rPr>
        <w:t xml:space="preserve">Principal Product Owner  |  London, UK  |  </w:t>
      </w:r>
      <w:hyperlink r:id="rId9">
        <w:r>
          <w:rPr>
            <w:color w:val="000000"/>
            <w:sz w:val="20"/>
            <w:rFonts w:ascii="Calibri" w:hAnsi="Calibri"/>
          </w:rPr>
          <w:t>message@william-amor.info</w:t>
        </w:r>
      </w:hyperlink>
      <w:r>
        <w:rPr>
          <w:rFonts w:ascii="Calibri" w:hAnsi="Calibri"/>
          <w:sz w:val="20"/>
        </w:rPr>
        <w:t xml:space="preserve">  |  </w:t>
      </w:r>
      <w:hyperlink r:id="rId10">
        <w:r>
          <w:rPr>
            <w:color w:val="000000"/>
            <w:sz w:val="20"/>
            <w:rFonts w:ascii="Calibri" w:hAnsi="Calibri"/>
          </w:rPr>
          <w:t>linkedin.com/in/willamor</w:t>
        </w:r>
      </w:hyperlink>
      <w:r>
        <w:rPr>
          <w:rFonts w:ascii="Calibri" w:hAnsi="Calibri"/>
          <w:sz w:val="20"/>
        </w:rPr>
        <w:t xml:space="preserve">  |  </w:t>
      </w:r>
      <w:hyperlink r:id="rId11">
        <w:r>
          <w:rPr>
            <w:color w:val="000000"/>
            <w:sz w:val="20"/>
            <w:rFonts w:ascii="Calibri" w:hAnsi="Calibri"/>
          </w:rPr>
          <w:t>william-amor.info</w:t>
        </w:r>
      </w:hyperlink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PROFESSIONAL SUMMARY</w:t>
      </w:r>
    </w:p>
    <w:p>
      <w:pPr>
        <w:spacing w:lineRule="auto" w:line="276" w:before="0" w:after="80"/>
      </w:pPr>
      <w:r>
        <w:rPr>
          <w:rFonts w:ascii="Calibri" w:hAnsi="Calibri" w:eastAsia="Calibri"/>
          <w:sz w:val="19"/>
        </w:rPr>
        <w:t>Principal Product Owner with 8 years across insurance, consumer health, and pharma. At Marsh, owning brokering operations products tracking $15bn+ in client premiums, with $2m in attributed revenue and product capabilities I built that enabled teams to identify $8m+ in new placement opportunities. Previously at Kenvue and Johnson &amp; Johnson - co-defined Amazon 360 with commercial users, contributing to sales uplift in the millions, and built an EMEA intelligent automation function with $800k CIO funding (2,800 hrs/year returned). Strongest where regulated delivery, commercial outcomes, and data-led prioritisation meet.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IMPACT HIGHLIGHTS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Marsh product functionality that enabled broker operations teams to identify $8m+ in new placement premium opportunities; $2m one-time revenue uplift attributed to outcomes teams delivered using the product.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Co-defined Amazon 360 with EMEA commercial users at Kenvue: a dashboard for Amazon listing performance and sentiment analysis that enabled teams to focus on listings most likely to grow, contributing to sales uplift in the millions.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an EMEA intelligent automation function at Johnson &amp; Johnson from scratch with $800k CIO funding; 2,800 hours/year returned.</w:t>
      </w:r>
    </w:p>
    <w:p>
      <w:pPr>
        <w:pStyle w:val="ListBullet"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Built an EMEA early-talent programme at Johnson &amp; Johnson: defined the UK intake, won regional sponsorship from the Kenvue CIO, and recruited and line-managed 3 cohorts across the UK, Germany, and Dubai over 3 years.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EXPERIENCE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Principal Product Owner</w:t>
      </w:r>
      <w:r>
        <w:rPr>
          <w:rFonts w:ascii="Calibri" w:hAnsi="Calibri" w:eastAsia="Calibri"/>
          <w:sz w:val="19"/>
        </w:rPr>
        <w:t xml:space="preserve">  |  Marsh  |  London, United Kingdom  |  Aug 2024 - Present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 a portfolio of client-facing and internal products in a global brokering operations area tracking $15bn+ in client premiums; lead cross-functional squads of up to 25 engineers, analysts, and designers with MD and Partner stakeholders.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product functionality that enabled broker operations teams to identify $8m+ in new placement premium opportunities; Marsh attributes a one-time $2m revenue uplift to outcomes teams delivered using the product.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Designed and defined a new cross-sell feature (in late development): helps broker operations identify where Marsh can sell additional coverage classes to existing clients - estimated to unlock multiple millions in new business.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strategy, roadmaps, and OKRs with MD/Partner stakeholders; cut scope and re-allocated capacity when ROI did not justify the cost.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Run usage and engagement tracking in Pendo to keep roadmap decisions evidence-led; own defect triage through to fix across shared infrastructure.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Data &amp; Analytics Product Owner (EMEA)</w:t>
      </w:r>
      <w:r>
        <w:rPr>
          <w:rFonts w:ascii="Calibri" w:hAnsi="Calibri" w:eastAsia="Calibri"/>
          <w:sz w:val="19"/>
        </w:rPr>
        <w:t xml:space="preserve">  |  Kenvue (formerly a Johnson &amp; Johnson company)  |  Buckinghamshire, United Kingdom  |  Jul 2023 - Jun 2024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Owned an EMEA portfolio across digital, eCommerce, and marketing - vision, backlog, and delivery - partnering with a senior product manager on investment and squad capacity.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Co-defined Amazon 360 with EMEA commercial users: a dashboard for Amazon listing performance and sentiment analysis that enabled teams to focus on listings most likely to grow Amazon sales, contributing to uplift in the millions.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Migrated digital, eCommerce, and marketing data onto Snowflake, consolidating the sources behind EMEA reporting; built SQL datasets to identify what data we could bring into products.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Ran prioritisation and stakeholder reviews; cut scope when ROI did not justify the cost.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IT Business Technology Leader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Sep 2022 - Jul 2023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IT business partner for the ~$500m UK consumer health business: digital, data, commercial, and operational IT.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Selected by the North America CIO to deliver new BI and automated ordering across LATAM/ASPAC with ~$1m P&amp;L impact; built the dashboard with a Cairo-based third-party group.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Built an EMEA early-talent function: defined the UK programme, then pitched and won regional sponsorship from the Kenvue CIO with funding and hiring in the UK, Germany, and Dubai (3 cohorts over 3 years).</w:t>
      </w:r>
    </w:p>
    <w:p>
      <w:pPr>
        <w:keepNext/>
        <w:keepLines/>
        <w:pageBreakBefore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Intelligent Automation Product Manager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Jun 2021 - Sep 2022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an EMEA intelligent automation function from scratch with $800k CIO funding across Power Platform, Alteryx, and UiPath; 2,800 hours/year returned, with year-on-year growth as the region's most successful automation team.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Recruited and led a global development team in the UK, Egypt, Portugal, and Kosovo through discovery, design, testing, and delivery - process improvement and optimisation, including building in-house apps instead of off-the-shelf vendor solutions; six-figure savings across EMEA.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up the team operating model - intake, governance, prioritisation, delivery pipeline; line-managed developers and interns through onboarding, objectives, and development.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Led full compliance review with internal infosec and Microsoft for Power Automate Desktop, unlocking citizen-developer capability across the company.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Global Project Coordinator</w:t>
      </w:r>
      <w:r>
        <w:rPr>
          <w:rFonts w:ascii="Calibri" w:hAnsi="Calibri" w:eastAsia="Calibri"/>
          <w:sz w:val="19"/>
        </w:rPr>
        <w:t xml:space="preserve">  |  Pfizer  |  Kent, United Kingdom  |  Sep 2019 - Jun 2021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Business analyst and project administrator (BA/PA) on a new Pega platform for global regulatory interactions with health authorities - not in production when I joined. Defined requirements with the digital delivery team and worked with implementation teams through build, UAT, and regulated release. The platform was later used to track interactions for Comirnaty (COVID-19 vaccine).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Authored clinical and medical process documentation to FDA, EMA, and MHRA compliant standards.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Managed change control and audit traceability for heavily regulated software releases.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Technology Business Partner (Industrial Placement &amp; Part-time)</w:t>
      </w:r>
      <w:r>
        <w:rPr>
          <w:rFonts w:ascii="Calibri" w:hAnsi="Calibri" w:eastAsia="Calibri"/>
          <w:sz w:val="19"/>
        </w:rPr>
        <w:t xml:space="preserve">  |  GSK  |  Hertfordshire, United Kingdom  |  Jun 2017 - Aug 2019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Defined requirements for a global RPA solution to monitor stock thresholds and auto-order parts to keep medicine supply running for patients - the manufacturing IT team's first global automation initiative; did not reach go-live due to reorganisation.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Moved GxP pharma manufacturing sites globally (all continents) from paper to paperless calibration software for production machinery: fewer defect opportunities, safer medicine supply, and digital records.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Retained part-time through final year of university (20 hrs/week) - only person from the intern cohort kept on after the placement year.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EDUCATION</w:t>
      </w:r>
    </w:p>
    <w:p>
      <w:pPr>
        <w:keepNext/>
        <w:keepLines/>
        <w:widowControl/>
        <w:spacing w:lineRule="auto" w:line="269" w:before="0" w:after="60"/>
      </w:pPr>
      <w:r>
        <w:rPr>
          <w:rFonts w:ascii="Calibri" w:hAnsi="Calibri" w:eastAsia="Calibri"/>
          <w:b/>
          <w:sz w:val="21"/>
        </w:rPr>
        <w:t>University of Kent</w:t>
      </w:r>
      <w:r>
        <w:rPr>
          <w:rFonts w:ascii="Calibri" w:hAnsi="Calibri" w:eastAsia="Calibri"/>
          <w:sz w:val="19"/>
        </w:rPr>
        <w:t xml:space="preserve">  -  BSc (Hons) Computing and Business Administration with a year in industry  |  First Class Honours, US GPA equivalent: ~4.0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Year in Industry at GSK as part of the degree; extended into final year as a 20 hrs/week part-time placement, balancing degree work with GSK commitments throughout. Awarded First Class Honours, the highest grade for the degree.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Dissertation: "The disruption and emergence of FinTech" - awarded a First Class grade.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CERTIFICATIONS</w:t>
      </w:r>
    </w:p>
    <w:p>
      <w:pPr>
        <w:pStyle w:val="ListBullet"/>
        <w:keepNext/>
        <w:keepLines/>
        <w:widowControl/>
        <w:spacing w:lineRule="auto" w:line="269" w:before="0" w:after="40"/>
        <w:ind w:left="288" w:hanging="173"/>
      </w:pPr>
      <w:r>
        <w:rPr>
          <w:rFonts w:ascii="Calibri" w:hAnsi="Calibri" w:eastAsia="Calibri"/>
          <w:sz w:val="19"/>
        </w:rPr>
        <w:t>SAFe 5 Agilist - Scaled Agile Framework certification.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ITIL v3 - Service management foundation.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19"/>
        </w:rPr>
        <w:t>TOOLS &amp; PLATFORMS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Product &amp; delivery: </w:t>
      </w:r>
      <w:r>
        <w:rPr>
          <w:rFonts w:ascii="Calibri" w:hAnsi="Calibri" w:eastAsia="Calibri"/>
          <w:sz w:val="19"/>
        </w:rPr>
        <w:t>Agile, Change control, Confluence, Discovery, Figma, ITIL, Jira, OKRs, Pendo, Regulated delivery, SAFe, UAT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Data &amp; analytics: </w:t>
      </w:r>
      <w:r>
        <w:rPr>
          <w:rFonts w:ascii="Calibri" w:hAnsi="Calibri" w:eastAsia="Calibri"/>
          <w:sz w:val="19"/>
        </w:rPr>
        <w:t>ETL, Power BI, Qlik, Snowflake, SQL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Automation: </w:t>
      </w:r>
      <w:r>
        <w:rPr>
          <w:rFonts w:ascii="Calibri" w:hAnsi="Calibri" w:eastAsia="Calibri"/>
          <w:sz w:val="19"/>
        </w:rPr>
        <w:t>Alteryx, Automation Anywhere, Power Platform, RPA, UiPath</w:t>
      </w:r>
    </w:p>
    <w:p>
      <w:pPr>
        <w:keepLines/>
        <w:widowControl/>
        <w:spacing w:lineRule="auto" w:line="276" w:before="0" w:after="40"/>
      </w:pPr>
      <w:r>
        <w:rPr>
          <w:rFonts w:ascii="Calibri" w:hAnsi="Calibri" w:eastAsia="Calibri"/>
          <w:b/>
          <w:sz w:val="19"/>
        </w:rPr>
        <w:t xml:space="preserve">Build &amp; platforms: </w:t>
      </w:r>
      <w:r>
        <w:rPr>
          <w:rFonts w:ascii="Calibri" w:hAnsi="Calibri" w:eastAsia="Calibri"/>
          <w:sz w:val="19"/>
        </w:rPr>
        <w:t>AWS, Microsoft 365, MUI, Pega, React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essage@william-amor.info" TargetMode="External"/><Relationship Id="rId10" Type="http://schemas.openxmlformats.org/officeDocument/2006/relationships/hyperlink" Target="https://www.linkedin.com/in/willamor/" TargetMode="External"/><Relationship Id="rId11" Type="http://schemas.openxmlformats.org/officeDocument/2006/relationships/hyperlink" Target="https://william-amor.inf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