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13" w:type="pct"/>
        <w:tblInd w:w="-71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26"/>
        <w:gridCol w:w="3262"/>
        <w:gridCol w:w="5386"/>
        <w:gridCol w:w="1701"/>
        <w:gridCol w:w="992"/>
      </w:tblGrid>
      <w:tr w:rsidR="001C24E3" w:rsidRPr="001C24E3" w:rsidTr="001C24E3">
        <w:trPr>
          <w:divId w:val="698044730"/>
          <w:tblHeader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uto-cursor-target"/>
              <w:divId w:val="321273130"/>
              <w:rPr>
                <w:sz w:val="21"/>
                <w:szCs w:val="21"/>
              </w:rPr>
            </w:pPr>
            <w:r w:rsidRPr="001C24E3">
              <w:rPr>
                <w:rStyle w:val="a3"/>
                <w:color w:val="FFFFFF"/>
                <w:sz w:val="21"/>
                <w:szCs w:val="21"/>
              </w:rPr>
              <w:t>##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Style w:val="a3"/>
                <w:rFonts w:eastAsia="Times New Roman"/>
                <w:color w:val="FFFFFF"/>
                <w:sz w:val="21"/>
                <w:szCs w:val="21"/>
              </w:rPr>
              <w:t>Свойство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color w:val="000000" w:themeColor="text1"/>
                <w:sz w:val="21"/>
                <w:szCs w:val="21"/>
              </w:rPr>
            </w:pPr>
            <w:r w:rsidRPr="001C24E3">
              <w:rPr>
                <w:rStyle w:val="a3"/>
                <w:rFonts w:eastAsia="Times New Roman"/>
                <w:color w:val="000000" w:themeColor="text1"/>
                <w:sz w:val="21"/>
                <w:szCs w:val="21"/>
              </w:rPr>
              <w:t>Описание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color w:val="000000" w:themeColor="text1"/>
                <w:sz w:val="21"/>
                <w:szCs w:val="21"/>
              </w:rPr>
            </w:pPr>
            <w:r w:rsidRPr="001C24E3">
              <w:rPr>
                <w:rStyle w:val="a3"/>
                <w:rFonts w:eastAsia="Times New Roman"/>
                <w:color w:val="000000" w:themeColor="text1"/>
                <w:sz w:val="21"/>
                <w:szCs w:val="21"/>
              </w:rPr>
              <w:t>Применение или решение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uto-cursor-target"/>
              <w:divId w:val="510342529"/>
              <w:rPr>
                <w:color w:val="000000" w:themeColor="text1"/>
                <w:sz w:val="21"/>
                <w:szCs w:val="21"/>
              </w:rPr>
            </w:pPr>
            <w:proofErr w:type="gramStart"/>
            <w:r w:rsidRPr="001C24E3">
              <w:rPr>
                <w:rStyle w:val="a3"/>
                <w:color w:val="000000" w:themeColor="text1"/>
                <w:sz w:val="21"/>
                <w:szCs w:val="21"/>
              </w:rPr>
              <w:t>Необходимость  соответствия</w:t>
            </w:r>
            <w:proofErr w:type="gramEnd"/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color w:val="000000" w:themeColor="text1"/>
                <w:sz w:val="21"/>
                <w:szCs w:val="21"/>
              </w:rPr>
            </w:pPr>
            <w:r w:rsidRPr="001C24E3">
              <w:rPr>
                <w:rStyle w:val="a3"/>
                <w:rFonts w:eastAsia="Times New Roman"/>
                <w:color w:val="000000" w:themeColor="text1"/>
                <w:sz w:val="21"/>
                <w:szCs w:val="21"/>
              </w:rPr>
              <w:t xml:space="preserve">Уровень 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Объединение вычислительных ресурсов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CN.RPL.01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Запуск приложений в среде облачных вычислений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rStyle w:val="inline-comment-marker"/>
                <w:sz w:val="21"/>
                <w:szCs w:val="21"/>
              </w:rPr>
              <w:t>Запуск приложений на платформе облачных вычислений с возможностью динамического выделения мощностей потребителям вычислительных ресурсов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Для всех прикладных компонентов решения должно быть выполнено:</w:t>
            </w:r>
          </w:p>
          <w:p w:rsidR="00000000" w:rsidRPr="001C24E3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Контейнеризация приложений</w:t>
            </w:r>
          </w:p>
          <w:p w:rsidR="00000000" w:rsidRPr="001C24E3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 xml:space="preserve">Запуск приложений в среде под управлением оркестратора </w:t>
            </w:r>
            <w:hyperlink r:id="rId5" w:history="1"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Kubernetes</w:t>
              </w:r>
              <w:proofErr w:type="spellEnd"/>
            </w:hyperlink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CN.RPL.03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Использование механизмов среды для выделения вычислительных ресурсов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Потребители ресурсов облачной платформы должны запрашивать нужное количество вычислительных ресурсов (процессор, память), используя средства платформы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Конфигурация приложений, развёртываемых на платформе облачных вычислений, должна явно описывать минимальные и максимальные квоты вычислительных ресурсов контейнеров.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Конфигурация запрашиваемых ресурсов </w:t>
            </w:r>
            <w:proofErr w:type="spellStart"/>
            <w:r w:rsidRPr="001C24E3">
              <w:rPr>
                <w:sz w:val="21"/>
                <w:szCs w:val="21"/>
              </w:rPr>
              <w:t>Kubernetes</w:t>
            </w:r>
            <w:proofErr w:type="spellEnd"/>
            <w:r w:rsidRPr="001C24E3">
              <w:rPr>
                <w:sz w:val="21"/>
                <w:szCs w:val="21"/>
              </w:rPr>
              <w:t xml:space="preserve"> должна включать:</w:t>
            </w:r>
          </w:p>
          <w:p w:rsidR="00000000" w:rsidRPr="001C24E3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proofErr w:type="spellStart"/>
            <w:proofErr w:type="gramStart"/>
            <w:r w:rsidRPr="001C24E3">
              <w:rPr>
                <w:rStyle w:val="HTML"/>
                <w:sz w:val="16"/>
                <w:szCs w:val="16"/>
              </w:rPr>
              <w:t>spec.containers</w:t>
            </w:r>
            <w:proofErr w:type="spellEnd"/>
            <w:proofErr w:type="gramEnd"/>
            <w:r w:rsidRPr="001C24E3">
              <w:rPr>
                <w:rStyle w:val="HTML"/>
                <w:sz w:val="16"/>
                <w:szCs w:val="16"/>
              </w:rPr>
              <w:t>[].</w:t>
            </w:r>
            <w:proofErr w:type="spellStart"/>
            <w:r w:rsidRPr="001C24E3">
              <w:rPr>
                <w:rStyle w:val="HTML"/>
                <w:sz w:val="16"/>
                <w:szCs w:val="16"/>
              </w:rPr>
              <w:t>resources.limits.cpu</w:t>
            </w:r>
            <w:proofErr w:type="spellEnd"/>
          </w:p>
          <w:p w:rsidR="00000000" w:rsidRPr="001C24E3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proofErr w:type="spellStart"/>
            <w:proofErr w:type="gramStart"/>
            <w:r w:rsidRPr="001C24E3">
              <w:rPr>
                <w:rStyle w:val="HTML"/>
                <w:sz w:val="16"/>
                <w:szCs w:val="16"/>
              </w:rPr>
              <w:t>spec.containers</w:t>
            </w:r>
            <w:proofErr w:type="spellEnd"/>
            <w:proofErr w:type="gramEnd"/>
            <w:r w:rsidRPr="001C24E3">
              <w:rPr>
                <w:rStyle w:val="HTML"/>
                <w:sz w:val="16"/>
                <w:szCs w:val="16"/>
              </w:rPr>
              <w:t>[].</w:t>
            </w:r>
            <w:proofErr w:type="spellStart"/>
            <w:r w:rsidRPr="001C24E3">
              <w:rPr>
                <w:rStyle w:val="HTML"/>
                <w:sz w:val="16"/>
                <w:szCs w:val="16"/>
              </w:rPr>
              <w:t>resources.limits.memory</w:t>
            </w:r>
            <w:proofErr w:type="spellEnd"/>
          </w:p>
          <w:p w:rsidR="00000000" w:rsidRPr="001C24E3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proofErr w:type="spellStart"/>
            <w:proofErr w:type="gramStart"/>
            <w:r w:rsidRPr="001C24E3">
              <w:rPr>
                <w:rStyle w:val="HTML"/>
                <w:sz w:val="16"/>
                <w:szCs w:val="16"/>
              </w:rPr>
              <w:t>spec.containers</w:t>
            </w:r>
            <w:proofErr w:type="spellEnd"/>
            <w:proofErr w:type="gramEnd"/>
            <w:r w:rsidRPr="001C24E3">
              <w:rPr>
                <w:rStyle w:val="HTML"/>
                <w:sz w:val="16"/>
                <w:szCs w:val="16"/>
              </w:rPr>
              <w:t>[].</w:t>
            </w:r>
            <w:proofErr w:type="spellStart"/>
            <w:r w:rsidRPr="001C24E3">
              <w:rPr>
                <w:rStyle w:val="HTML"/>
                <w:sz w:val="16"/>
                <w:szCs w:val="16"/>
              </w:rPr>
              <w:t>resources.requests.cpu</w:t>
            </w:r>
            <w:proofErr w:type="spellEnd"/>
          </w:p>
          <w:p w:rsidR="00000000" w:rsidRPr="001C24E3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proofErr w:type="spellStart"/>
            <w:proofErr w:type="gramStart"/>
            <w:r w:rsidRPr="001C24E3">
              <w:rPr>
                <w:rStyle w:val="HTML"/>
                <w:sz w:val="16"/>
                <w:szCs w:val="16"/>
              </w:rPr>
              <w:t>spec.containers</w:t>
            </w:r>
            <w:proofErr w:type="spellEnd"/>
            <w:proofErr w:type="gramEnd"/>
            <w:r w:rsidRPr="001C24E3">
              <w:rPr>
                <w:rStyle w:val="HTML"/>
                <w:sz w:val="16"/>
                <w:szCs w:val="16"/>
              </w:rPr>
              <w:t>[].</w:t>
            </w:r>
            <w:proofErr w:type="spellStart"/>
            <w:r w:rsidRPr="001C24E3">
              <w:rPr>
                <w:rStyle w:val="HTML"/>
                <w:sz w:val="16"/>
                <w:szCs w:val="16"/>
              </w:rPr>
              <w:t>resources.requests.memory</w:t>
            </w:r>
            <w:proofErr w:type="spellEnd"/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Дополнительные ресурсы:</w:t>
            </w:r>
          </w:p>
          <w:p w:rsidR="00000000" w:rsidRPr="001C24E3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  <w:lang w:val="en-US"/>
              </w:rPr>
            </w:pPr>
            <w:hyperlink r:id="rId6" w:history="1">
              <w:r w:rsidRPr="001C24E3">
                <w:rPr>
                  <w:rStyle w:val="a5"/>
                  <w:rFonts w:eastAsia="Times New Roman"/>
                  <w:sz w:val="21"/>
                  <w:szCs w:val="21"/>
                  <w:u w:val="none"/>
                  <w:lang w:val="en-US"/>
                </w:rPr>
                <w:t>Resource Management for Pods and Containers</w:t>
              </w:r>
            </w:hyperlink>
          </w:p>
          <w:p w:rsidR="00000000" w:rsidRPr="001C24E3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  <w:lang w:val="en-US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Конфигурация</w:t>
            </w:r>
            <w:r w:rsidRPr="001C24E3">
              <w:rPr>
                <w:rFonts w:eastAsia="Times New Roman"/>
                <w:sz w:val="21"/>
                <w:szCs w:val="21"/>
                <w:lang w:val="en-US"/>
              </w:rPr>
              <w:t xml:space="preserve"> </w:t>
            </w:r>
            <w:r w:rsidRPr="001C24E3">
              <w:rPr>
                <w:rFonts w:eastAsia="Times New Roman"/>
                <w:sz w:val="21"/>
                <w:szCs w:val="21"/>
              </w:rPr>
              <w:t>размера</w:t>
            </w:r>
            <w:r w:rsidRPr="001C24E3">
              <w:rPr>
                <w:rFonts w:eastAsia="Times New Roman"/>
                <w:sz w:val="21"/>
                <w:szCs w:val="21"/>
                <w:lang w:val="en-US"/>
              </w:rPr>
              <w:t xml:space="preserve"> JVM Heap: </w:t>
            </w:r>
            <w:hyperlink r:id="rId7" w:history="1">
              <w:r w:rsidRPr="001C24E3">
                <w:rPr>
                  <w:rStyle w:val="a5"/>
                  <w:rFonts w:eastAsia="Times New Roman"/>
                  <w:sz w:val="21"/>
                  <w:szCs w:val="21"/>
                  <w:lang w:val="en-US"/>
                </w:rPr>
                <w:t>Application memory sizing</w:t>
              </w:r>
            </w:hyperlink>
          </w:p>
          <w:p w:rsidR="00000000" w:rsidRPr="001C24E3" w:rsidRDefault="00000000" w:rsidP="001C24E3">
            <w:pPr>
              <w:pStyle w:val="a4"/>
              <w:ind w:right="4190"/>
              <w:rPr>
                <w:sz w:val="21"/>
                <w:szCs w:val="21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Масштабирование и эластичность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CN.SEL.01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Горизонтальное масштабирование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Способность приложения или каждого отдельного компонента системы масштабироваться </w:t>
            </w:r>
            <w:r w:rsidRPr="001C24E3">
              <w:rPr>
                <w:sz w:val="21"/>
                <w:szCs w:val="21"/>
              </w:rPr>
              <w:lastRenderedPageBreak/>
              <w:t>горизонтально, увеличивая или уменьшая количество экземпляров процессов данного компонента отдельно от остальных компонентов, при этом распределяя нагрузку между всеми экземплярами компонента, и сохраняя выполнение нефункциональных требований ранее запущенными экземплярами компонента.</w:t>
            </w:r>
          </w:p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lastRenderedPageBreak/>
              <w:t>Все приложения и их компоненты должны поддерживать:</w:t>
            </w:r>
          </w:p>
          <w:p w:rsidR="00000000" w:rsidRPr="001C24E3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запуск 2х и более экземпляров (реплик) приложения/компонента одновременно</w:t>
            </w:r>
          </w:p>
          <w:p w:rsidR="00000000" w:rsidRPr="001C24E3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параллельную работу 2х и более реплик</w:t>
            </w:r>
          </w:p>
          <w:p w:rsidR="00000000" w:rsidRPr="001C24E3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разделение входящей нагрузки между всеми репликами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за исключением процессов:</w:t>
            </w:r>
          </w:p>
          <w:p w:rsidR="00000000" w:rsidRPr="001C24E3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 xml:space="preserve">запускаемых периодически как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Job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,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Cronjob</w:t>
            </w:r>
            <w:proofErr w:type="spellEnd"/>
          </w:p>
          <w:p w:rsidR="00000000" w:rsidRPr="001C24E3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не влияющих на доступность системы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Управление масштабированием в </w:t>
            </w:r>
            <w:proofErr w:type="spellStart"/>
            <w:r w:rsidRPr="001C24E3">
              <w:rPr>
                <w:sz w:val="21"/>
                <w:szCs w:val="21"/>
              </w:rPr>
              <w:t>Kubernetes</w:t>
            </w:r>
            <w:proofErr w:type="spellEnd"/>
            <w:r w:rsidRPr="001C24E3">
              <w:rPr>
                <w:sz w:val="21"/>
                <w:szCs w:val="21"/>
              </w:rPr>
              <w:t xml:space="preserve"> должно производиться через изменение количества реплик приложения/компонента в объектах конфигурации:</w:t>
            </w:r>
          </w:p>
          <w:p w:rsidR="00000000" w:rsidRPr="001C24E3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hyperlink r:id="rId8" w:history="1"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Deployment</w:t>
              </w:r>
              <w:proofErr w:type="spellEnd"/>
            </w:hyperlink>
            <w:r w:rsidRPr="001C24E3">
              <w:rPr>
                <w:rFonts w:eastAsia="Times New Roman"/>
                <w:sz w:val="21"/>
                <w:szCs w:val="21"/>
              </w:rPr>
              <w:t xml:space="preserve"> - для прикладных компонентов</w:t>
            </w:r>
          </w:p>
          <w:p w:rsidR="00000000" w:rsidRPr="001C24E3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hyperlink r:id="rId9" w:history="1"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StatefulSet</w:t>
              </w:r>
              <w:proofErr w:type="spellEnd"/>
            </w:hyperlink>
            <w:r w:rsidRPr="001C24E3">
              <w:rPr>
                <w:rFonts w:eastAsia="Times New Roman"/>
                <w:sz w:val="21"/>
                <w:szCs w:val="21"/>
              </w:rPr>
              <w:t xml:space="preserve"> - для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stateful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компонентов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Разделение входящей нагрузки между репликами приложения/компонента в </w:t>
            </w:r>
            <w:proofErr w:type="spellStart"/>
            <w:r w:rsidRPr="001C24E3">
              <w:rPr>
                <w:sz w:val="21"/>
                <w:szCs w:val="21"/>
              </w:rPr>
              <w:t>Kubernetes</w:t>
            </w:r>
            <w:proofErr w:type="spellEnd"/>
            <w:r w:rsidRPr="001C24E3">
              <w:rPr>
                <w:sz w:val="21"/>
                <w:szCs w:val="21"/>
              </w:rPr>
              <w:t xml:space="preserve"> должно обеспечиваться встроенным механизмом </w:t>
            </w:r>
            <w:hyperlink r:id="rId10" w:history="1">
              <w:r w:rsidRPr="001C24E3">
                <w:rPr>
                  <w:rStyle w:val="a5"/>
                  <w:sz w:val="21"/>
                  <w:szCs w:val="21"/>
                </w:rPr>
                <w:t>Service</w:t>
              </w:r>
            </w:hyperlink>
            <w:r w:rsidRPr="001C24E3">
              <w:rPr>
                <w:sz w:val="21"/>
                <w:szCs w:val="21"/>
              </w:rPr>
              <w:t xml:space="preserve"> или стандартными средствами Service </w:t>
            </w:r>
            <w:proofErr w:type="spellStart"/>
            <w:r w:rsidRPr="001C24E3">
              <w:rPr>
                <w:sz w:val="21"/>
                <w:szCs w:val="21"/>
              </w:rPr>
              <w:t>Mesh</w:t>
            </w:r>
            <w:proofErr w:type="spellEnd"/>
            <w:r w:rsidRPr="001C24E3">
              <w:rPr>
                <w:sz w:val="21"/>
                <w:szCs w:val="21"/>
              </w:rPr>
              <w:t>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Обязательно, если применимо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Отказоустойчивость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CN.FTL.02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Устойчивость к сбоям и автоматическое восстановление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color w:val="202122"/>
                <w:sz w:val="21"/>
                <w:szCs w:val="21"/>
              </w:rPr>
              <w:t>Способность и готовность приложения и среды выполнения к автоматическому восстановлению работоспособности приложения после сбоев внутренних компонентов.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Для каждого приложения/компонента должно обеспечиваться:</w:t>
            </w:r>
          </w:p>
          <w:p w:rsidR="00000000" w:rsidRPr="001C24E3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контроль количества одновременно запущенных реплик</w:t>
            </w:r>
          </w:p>
          <w:p w:rsidR="00000000" w:rsidRPr="001C24E3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контроль работоспособности каждой отдельной реплики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lastRenderedPageBreak/>
              <w:t>В случае потери работоспособности отдельной реплики приложения, должен производиться автоматический перезапуск реплики.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Для приложений под управлением </w:t>
            </w:r>
            <w:proofErr w:type="spellStart"/>
            <w:r w:rsidRPr="001C24E3">
              <w:rPr>
                <w:sz w:val="21"/>
                <w:szCs w:val="21"/>
              </w:rPr>
              <w:t>Kubernetes</w:t>
            </w:r>
            <w:proofErr w:type="spellEnd"/>
            <w:r w:rsidRPr="001C24E3">
              <w:rPr>
                <w:sz w:val="21"/>
                <w:szCs w:val="21"/>
              </w:rPr>
              <w:t>, данное требование должно реализовываться поддержкой стандартных интерфейсов проверки статуса на уровне контейнера:</w:t>
            </w:r>
          </w:p>
          <w:p w:rsidR="00000000" w:rsidRPr="001C24E3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hyperlink r:id="rId11" w:history="1"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Liveness</w:t>
              </w:r>
              <w:proofErr w:type="spellEnd"/>
            </w:hyperlink>
            <w:hyperlink r:id="rId12" w:history="1"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 xml:space="preserve"> </w:t>
              </w:r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probe</w:t>
              </w:r>
              <w:proofErr w:type="spellEnd"/>
            </w:hyperlink>
            <w:r w:rsidRPr="001C24E3">
              <w:rPr>
                <w:rFonts w:eastAsia="Times New Roman"/>
                <w:sz w:val="21"/>
                <w:szCs w:val="21"/>
              </w:rPr>
              <w:t xml:space="preserve"> определяет что приложение находится в работоспособном состоянии. Контейнеры, не возвращающие положительный результат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Liveness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probe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, автоматически перезапускаются платформой. Таким образом, "зависшие" реплики приложения возвращаются в работу, </w:t>
            </w:r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повышая уровень доступности приложения</w:t>
            </w:r>
            <w:r w:rsidRPr="001C24E3">
              <w:rPr>
                <w:rFonts w:eastAsia="Times New Roman"/>
                <w:sz w:val="21"/>
                <w:szCs w:val="21"/>
              </w:rPr>
              <w:t>.</w:t>
            </w:r>
          </w:p>
          <w:p w:rsidR="00000000" w:rsidRPr="001C24E3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hyperlink r:id="rId13" w:history="1"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Readiness</w:t>
              </w:r>
              <w:proofErr w:type="spellEnd"/>
            </w:hyperlink>
            <w:hyperlink r:id="rId14" w:history="1"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 xml:space="preserve"> </w:t>
              </w:r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probe</w:t>
              </w:r>
              <w:proofErr w:type="spellEnd"/>
            </w:hyperlink>
            <w:r w:rsidRPr="001C24E3">
              <w:rPr>
                <w:rFonts w:eastAsia="Times New Roman"/>
                <w:sz w:val="21"/>
                <w:szCs w:val="21"/>
              </w:rPr>
              <w:t xml:space="preserve"> определяет что приложение готово к приёму трафика. Платформа подключит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Pod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к обработке внешних вызовов только после положительного ответа всех контейнеров на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Readiness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probe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.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Readiness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probes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используются приложениями для контроля корректной инициализации или регулярной проверки доступности внешних зависимостей, необходимых для работы.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Pod'ы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, не возвращающие положительный результат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Liveness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probe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>, исключаются из обработки трафика.</w:t>
            </w:r>
          </w:p>
          <w:p w:rsidR="00000000" w:rsidRPr="001C24E3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hyperlink r:id="rId15" w:history="1"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Startup</w:t>
              </w:r>
              <w:proofErr w:type="spellEnd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 xml:space="preserve"> </w:t>
              </w:r>
              <w:proofErr w:type="spellStart"/>
              <w:r w:rsidRPr="001C24E3">
                <w:rPr>
                  <w:rStyle w:val="a5"/>
                  <w:rFonts w:eastAsia="Times New Roman"/>
                  <w:sz w:val="21"/>
                  <w:szCs w:val="21"/>
                </w:rPr>
                <w:t>probe</w:t>
              </w:r>
              <w:proofErr w:type="spellEnd"/>
            </w:hyperlink>
            <w:r w:rsidRPr="001C24E3">
              <w:rPr>
                <w:rFonts w:eastAsia="Times New Roman"/>
                <w:sz w:val="21"/>
                <w:szCs w:val="21"/>
              </w:rPr>
              <w:t xml:space="preserve"> используется для приложений с длительным временем загрузки, превышающим интервал проверки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Liveness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probe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.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Startup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probe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позволяет настраивать более гибкую логику проверки запуска приложения за счёт использования отдельных параметров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startupProbe.failureThreshold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и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lastRenderedPageBreak/>
              <w:t>startupProbe.periodSeconds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вместо одного параметра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livenessProbe.initialDelaySeconds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>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Распределённая архитектура и слабая связанность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CN.LCP.03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Независимое управление компонентами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Каждый отдельный компонент может устанавливаться, запускаться, перезапускаться, останавливаться и удаляться отдельно от остальных компонентов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При разделении системы на компоненты/</w:t>
            </w:r>
            <w:proofErr w:type="spellStart"/>
            <w:r w:rsidRPr="001C24E3">
              <w:rPr>
                <w:sz w:val="21"/>
                <w:szCs w:val="21"/>
              </w:rPr>
              <w:t>микросервисы</w:t>
            </w:r>
            <w:proofErr w:type="spellEnd"/>
            <w:r w:rsidRPr="001C24E3">
              <w:rPr>
                <w:sz w:val="21"/>
                <w:szCs w:val="21"/>
              </w:rPr>
              <w:t xml:space="preserve"> для ускорения доставки изменений, необходимо обеспечить возможность независимого управления каждого отдельного компонента:</w:t>
            </w:r>
          </w:p>
          <w:p w:rsidR="00000000" w:rsidRPr="001C24E3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развёртывание</w:t>
            </w:r>
          </w:p>
          <w:p w:rsidR="00000000" w:rsidRPr="001C24E3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изменение конфигурации</w:t>
            </w:r>
          </w:p>
          <w:p w:rsidR="00000000" w:rsidRPr="001C24E3" w:rsidRDefault="0000000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откат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Обязательно, если применимо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CN.LCP.05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rStyle w:val="inline-comment-marker"/>
                <w:sz w:val="21"/>
                <w:szCs w:val="21"/>
              </w:rPr>
              <w:t>Интеграция по API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Все взаимодействия между приложениями и их компонентами выполняются через API.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Все взаимодействия между приложениями и их компонентами выполняются через API.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API могут быть как синхронными, так и асинхронными.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Запрещаются прямые обращения к БД других систем или компонентов.</w:t>
            </w:r>
          </w:p>
          <w:p w:rsidR="00000000" w:rsidRPr="001C24E3" w:rsidRDefault="00000000" w:rsidP="002537DA">
            <w:pPr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Обязательно, если применимо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inline-comment-marker"/>
                <w:rFonts w:eastAsia="Times New Roman"/>
                <w:sz w:val="22"/>
                <w:szCs w:val="22"/>
              </w:rPr>
              <w:t>Использование инфраструктурных сервисов и производственных платформ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CN.MSV.01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Приоритет использования управляемых инфраструктурных сервисов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Приоритет использования готовых стандартных решений, предоставляемых платформой (</w:t>
            </w:r>
            <w:proofErr w:type="spellStart"/>
            <w:r w:rsidRPr="001C24E3">
              <w:rPr>
                <w:sz w:val="21"/>
                <w:szCs w:val="21"/>
              </w:rPr>
              <w:t>as</w:t>
            </w:r>
            <w:proofErr w:type="spellEnd"/>
            <w:r w:rsidRPr="001C24E3">
              <w:rPr>
                <w:sz w:val="21"/>
                <w:szCs w:val="21"/>
              </w:rPr>
              <w:t>-a-Service).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Приложения должны использовать управляемые сервисы платформы, за исключением случаев:</w:t>
            </w:r>
          </w:p>
          <w:p w:rsidR="00000000" w:rsidRPr="001C24E3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 xml:space="preserve">Недоступности необходимой технологии в списке услуг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as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>-a-Service</w:t>
            </w:r>
          </w:p>
          <w:p w:rsidR="00000000" w:rsidRPr="001C24E3" w:rsidRDefault="0000000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Несоответствия предоставляемой услуги нефункциональным требованиям приложения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Примеры сервисов: </w:t>
            </w:r>
            <w:proofErr w:type="spellStart"/>
            <w:r w:rsidRPr="001C24E3">
              <w:rPr>
                <w:sz w:val="21"/>
                <w:szCs w:val="21"/>
              </w:rPr>
              <w:t>DBaaS</w:t>
            </w:r>
            <w:proofErr w:type="spellEnd"/>
            <w:r w:rsidRPr="001C24E3">
              <w:rPr>
                <w:sz w:val="21"/>
                <w:szCs w:val="21"/>
              </w:rPr>
              <w:t xml:space="preserve">, </w:t>
            </w:r>
            <w:proofErr w:type="spellStart"/>
            <w:r w:rsidRPr="001C24E3">
              <w:rPr>
                <w:sz w:val="21"/>
                <w:szCs w:val="21"/>
              </w:rPr>
              <w:t>Kafka</w:t>
            </w:r>
            <w:proofErr w:type="spellEnd"/>
            <w:r w:rsidRPr="001C24E3">
              <w:rPr>
                <w:sz w:val="21"/>
                <w:szCs w:val="21"/>
              </w:rPr>
              <w:t xml:space="preserve">, </w:t>
            </w:r>
            <w:proofErr w:type="spellStart"/>
            <w:r w:rsidRPr="001C24E3">
              <w:rPr>
                <w:sz w:val="21"/>
                <w:szCs w:val="21"/>
              </w:rPr>
              <w:t>RabbitMQ</w:t>
            </w:r>
            <w:proofErr w:type="spellEnd"/>
            <w:r w:rsidRPr="001C24E3">
              <w:rPr>
                <w:sz w:val="21"/>
                <w:szCs w:val="21"/>
              </w:rPr>
              <w:t>.</w:t>
            </w:r>
          </w:p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Учитывается, если применимо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Автоматизация доставки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CN.ADL.01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Внедрение процессов </w:t>
            </w:r>
            <w:proofErr w:type="spellStart"/>
            <w:r w:rsidRPr="001C24E3">
              <w:rPr>
                <w:sz w:val="21"/>
                <w:szCs w:val="21"/>
              </w:rPr>
              <w:t>DevOps</w:t>
            </w:r>
            <w:proofErr w:type="spellEnd"/>
            <w:r w:rsidRPr="001C24E3">
              <w:rPr>
                <w:sz w:val="21"/>
                <w:szCs w:val="21"/>
              </w:rPr>
              <w:t xml:space="preserve"> CI/CD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Автоматизированное развёртывание приложений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Приложения должны использовать только автоматизированные процессы CICD для всех типовых задач управления, разработки, доставки и эксплуатации приложений:</w:t>
            </w:r>
          </w:p>
          <w:p w:rsidR="00000000" w:rsidRPr="001C24E3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развёртывания</w:t>
            </w:r>
          </w:p>
          <w:p w:rsidR="00000000" w:rsidRPr="001C24E3" w:rsidRDefault="0000000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обновления версии приложений или конфигурации</w:t>
            </w:r>
          </w:p>
          <w:p w:rsidR="00000000" w:rsidRPr="001C24E3" w:rsidRDefault="00000000" w:rsidP="002537DA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отката версии приложений или конфигурации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Обязательно; N/A требует проверки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CN.ADL.04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Configuration-</w:t>
            </w:r>
            <w:proofErr w:type="spellStart"/>
            <w:r w:rsidRPr="001C24E3">
              <w:rPr>
                <w:sz w:val="21"/>
                <w:szCs w:val="21"/>
              </w:rPr>
              <w:t>as</w:t>
            </w:r>
            <w:proofErr w:type="spellEnd"/>
            <w:r w:rsidRPr="001C24E3">
              <w:rPr>
                <w:sz w:val="21"/>
                <w:szCs w:val="21"/>
              </w:rPr>
              <w:t>-Code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Хранение конфигурации приложений в декларативном виде в системе контроля версий и применение конфигурации с помощью автоматизированных процессов CICD.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Необходимо обеспечить хранение конфигурации приложений в декларативном виде в системе контроля версий и применение конфигурации только с помощью автоматизированных процессов CICD.</w:t>
            </w:r>
          </w:p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Запрещается управление конфигурацией непосредственно в среде исполнения (например, ручное редактирование </w:t>
            </w:r>
            <w:proofErr w:type="spellStart"/>
            <w:r w:rsidRPr="001C24E3">
              <w:rPr>
                <w:sz w:val="21"/>
                <w:szCs w:val="21"/>
              </w:rPr>
              <w:t>ConfigMaps</w:t>
            </w:r>
            <w:proofErr w:type="spellEnd"/>
            <w:r w:rsidRPr="001C24E3">
              <w:rPr>
                <w:sz w:val="21"/>
                <w:szCs w:val="21"/>
              </w:rPr>
              <w:t>).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Обязательно, если применимо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CN.ADL.05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Развёртывание без прерывания сервисов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Возможность обновления приложений без остановки сервиса и значительного снижения согласованного уровня выполнения нефункциональных требований (SLA)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Необходимо обеспечить сохранение доступности приложений и непрерывность оказания услуг во время проведения работ по обновлению, откату новых версий приложения, или изменения конфигурации.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При использовании </w:t>
            </w:r>
            <w:proofErr w:type="spellStart"/>
            <w:r w:rsidRPr="001C24E3">
              <w:rPr>
                <w:sz w:val="21"/>
                <w:szCs w:val="21"/>
              </w:rPr>
              <w:t>Kubernetes</w:t>
            </w:r>
            <w:proofErr w:type="spellEnd"/>
            <w:r w:rsidRPr="001C24E3">
              <w:rPr>
                <w:sz w:val="21"/>
                <w:szCs w:val="21"/>
              </w:rPr>
              <w:t xml:space="preserve">, нужно реализовать корректную работу стратегии </w:t>
            </w:r>
            <w:hyperlink r:id="rId16" w:history="1">
              <w:r w:rsidRPr="001C24E3">
                <w:rPr>
                  <w:rStyle w:val="a5"/>
                  <w:sz w:val="21"/>
                  <w:szCs w:val="21"/>
                </w:rPr>
                <w:t xml:space="preserve">Rolling </w:t>
              </w:r>
              <w:proofErr w:type="spellStart"/>
              <w:r w:rsidRPr="001C24E3">
                <w:rPr>
                  <w:rStyle w:val="a5"/>
                  <w:sz w:val="21"/>
                  <w:szCs w:val="21"/>
                </w:rPr>
                <w:t>Upgrade</w:t>
              </w:r>
              <w:proofErr w:type="spellEnd"/>
            </w:hyperlink>
            <w:r w:rsidRPr="001C24E3">
              <w:rPr>
                <w:sz w:val="21"/>
                <w:szCs w:val="21"/>
              </w:rPr>
              <w:t>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Обязательно, если применимо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CN.ADL.06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Возможность автоматического отката к предыдущим версиям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Возможность автоматического отката к предыдущим версиям приложения или компонента после установки.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 xml:space="preserve">Необходимо реализовать возможность быстрого отката версий и конфигурации развёрнутых приложений к предыдущим версиям, используя автоматизированные средства (например, </w:t>
            </w:r>
            <w:proofErr w:type="spellStart"/>
            <w:r w:rsidRPr="001C24E3">
              <w:rPr>
                <w:sz w:val="21"/>
                <w:szCs w:val="21"/>
              </w:rPr>
              <w:t>gitlab</w:t>
            </w:r>
            <w:proofErr w:type="spellEnd"/>
            <w:r w:rsidRPr="001C24E3">
              <w:rPr>
                <w:sz w:val="21"/>
                <w:szCs w:val="21"/>
              </w:rPr>
              <w:t xml:space="preserve"> </w:t>
            </w:r>
            <w:proofErr w:type="spellStart"/>
            <w:r w:rsidRPr="001C24E3">
              <w:rPr>
                <w:sz w:val="21"/>
                <w:szCs w:val="21"/>
              </w:rPr>
              <w:t>rollback</w:t>
            </w:r>
            <w:proofErr w:type="spellEnd"/>
            <w:r w:rsidRPr="001C24E3">
              <w:rPr>
                <w:sz w:val="21"/>
                <w:szCs w:val="21"/>
              </w:rPr>
              <w:t>).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Не распространяется на откат изменений структуры БД.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Обязательно; N/A требует проверки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2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Безопасность 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CN.SEC.02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Использование только внутренних репозиториев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Использование только внутренних репозиториев для формирования дистрибутивов приложений (образов контейнеров).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Необходимо обеспечивать воспроизводимость формирования дистрибутивов приложений за счёт использования внутренних репозиториев и сокращение зависимостей от внешних репозиториев:</w:t>
            </w:r>
          </w:p>
          <w:p w:rsidR="00000000" w:rsidRPr="001C24E3" w:rsidRDefault="000000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 xml:space="preserve">использовать </w:t>
            </w:r>
            <w:proofErr w:type="spellStart"/>
            <w:r w:rsidRPr="001C24E3">
              <w:rPr>
                <w:rFonts w:eastAsia="Times New Roman"/>
                <w:sz w:val="21"/>
                <w:szCs w:val="21"/>
              </w:rPr>
              <w:t>проксирующие</w:t>
            </w:r>
            <w:proofErr w:type="spellEnd"/>
            <w:r w:rsidRPr="001C24E3">
              <w:rPr>
                <w:rFonts w:eastAsia="Times New Roman"/>
                <w:sz w:val="21"/>
                <w:szCs w:val="21"/>
              </w:rPr>
              <w:t xml:space="preserve"> внутренние репозитории для скачивания внешних артефактов</w:t>
            </w:r>
          </w:p>
          <w:p w:rsidR="00000000" w:rsidRPr="001C24E3" w:rsidRDefault="0000000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предусмотреть долговременное хранение внешних артефактов во внутренних репозиториях</w:t>
            </w:r>
          </w:p>
          <w:p w:rsidR="00000000" w:rsidRPr="001C24E3" w:rsidRDefault="00000000" w:rsidP="002537DA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CN.SEC.03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Управление секретами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Хранение такой информации как пароли, ключи, сертификаты, токены, допускается только в объектах конфигурации среды исполнения "</w:t>
            </w:r>
            <w:proofErr w:type="spellStart"/>
            <w:r w:rsidRPr="001C24E3">
              <w:rPr>
                <w:sz w:val="21"/>
                <w:szCs w:val="21"/>
              </w:rPr>
              <w:t>Secrets</w:t>
            </w:r>
            <w:proofErr w:type="spellEnd"/>
            <w:r w:rsidRPr="001C24E3">
              <w:rPr>
                <w:sz w:val="21"/>
                <w:szCs w:val="21"/>
              </w:rPr>
              <w:t>".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Необходимо обеспечить защиту секретной информации в конфигурации приложений:</w:t>
            </w:r>
          </w:p>
          <w:p w:rsidR="00000000" w:rsidRPr="001C24E3" w:rsidRDefault="0000000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 xml:space="preserve">Загружать секретную информацию приложений в </w:t>
            </w:r>
            <w:proofErr w:type="spellStart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Kubernetes</w:t>
            </w:r>
            <w:proofErr w:type="spellEnd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 xml:space="preserve"> только в защищённые объекты конфигурации среды исполнения (</w:t>
            </w:r>
            <w:proofErr w:type="spellStart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Secrets</w:t>
            </w:r>
            <w:proofErr w:type="spellEnd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)</w:t>
            </w:r>
          </w:p>
          <w:p w:rsidR="00000000" w:rsidRPr="001C24E3" w:rsidRDefault="0000000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 xml:space="preserve">Разделять секретную информацию (логины, пароли, ключи - в </w:t>
            </w:r>
            <w:proofErr w:type="spellStart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Secrets</w:t>
            </w:r>
            <w:proofErr w:type="spellEnd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 xml:space="preserve">) и динамическую конфигурацию (логирование, параметры развёртывания - в </w:t>
            </w:r>
            <w:proofErr w:type="spellStart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ConfigMaps</w:t>
            </w:r>
            <w:proofErr w:type="spellEnd"/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)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lastRenderedPageBreak/>
              <w:t>CN.SEC.04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Изоляция приложений в среде исполнения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sz w:val="21"/>
                <w:szCs w:val="21"/>
              </w:rPr>
              <w:t>Каждое приложение должно быть запущено в отдельном пространстве среды исполнения для раздельного контроля доступа к приложению.</w:t>
            </w:r>
          </w:p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  <w:r w:rsidRPr="001C24E3">
              <w:rPr>
                <w:rStyle w:val="inline-comment-marker"/>
                <w:sz w:val="21"/>
                <w:szCs w:val="21"/>
              </w:rPr>
              <w:t xml:space="preserve">Каждое отдельное приложение, или компоненты приложения с общими политиками доступа, разворачиваемые в среде исполнения </w:t>
            </w:r>
            <w:proofErr w:type="spellStart"/>
            <w:r w:rsidRPr="001C24E3">
              <w:rPr>
                <w:rStyle w:val="inline-comment-marker"/>
                <w:sz w:val="21"/>
                <w:szCs w:val="21"/>
              </w:rPr>
              <w:t>Kubernetes</w:t>
            </w:r>
            <w:proofErr w:type="spellEnd"/>
            <w:r w:rsidRPr="001C24E3">
              <w:rPr>
                <w:rStyle w:val="inline-comment-marker"/>
                <w:sz w:val="21"/>
                <w:szCs w:val="21"/>
              </w:rPr>
              <w:t>, должны разворачиваться в отдельных именных пространствах (</w:t>
            </w:r>
            <w:proofErr w:type="spellStart"/>
            <w:r w:rsidRPr="001C24E3">
              <w:rPr>
                <w:rStyle w:val="inline-comment-marker"/>
                <w:sz w:val="21"/>
                <w:szCs w:val="21"/>
              </w:rPr>
              <w:t>namespace</w:t>
            </w:r>
            <w:proofErr w:type="spellEnd"/>
            <w:r w:rsidRPr="001C24E3">
              <w:rPr>
                <w:rStyle w:val="inline-comment-marker"/>
                <w:sz w:val="21"/>
                <w:szCs w:val="21"/>
              </w:rPr>
              <w:t>).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Style w:val="a3"/>
                <w:rFonts w:eastAsia="Times New Roman"/>
                <w:b/>
                <w:bCs/>
                <w:sz w:val="22"/>
                <w:szCs w:val="22"/>
              </w:rPr>
              <w:t>Наблюдаемость 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CN.OBS.01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Наблюдаемость - метрики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color w:val="172B4D"/>
                <w:sz w:val="21"/>
                <w:szCs w:val="21"/>
              </w:rPr>
              <w:t>Выгрузка метрик приложения стандартизированными средствами в централизованную систему мониторинга.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  <w:r w:rsidRPr="001C24E3">
              <w:rPr>
                <w:color w:val="172B4D"/>
                <w:sz w:val="21"/>
                <w:szCs w:val="21"/>
              </w:rPr>
              <w:t>Все приложения должны выгружать свои системные и бизнес-метрики в Платформу Наблюдаемости:</w:t>
            </w:r>
          </w:p>
          <w:p w:rsidR="00000000" w:rsidRPr="001C24E3" w:rsidRDefault="0000000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Системные метрики - метрики использования ресурсов платформы</w:t>
            </w:r>
          </w:p>
          <w:p w:rsidR="00000000" w:rsidRPr="001C24E3" w:rsidRDefault="00000000" w:rsidP="002537DA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eastAsia="Times New Roman"/>
                <w:sz w:val="21"/>
                <w:szCs w:val="21"/>
              </w:rPr>
            </w:pPr>
            <w:r w:rsidRPr="001C24E3">
              <w:rPr>
                <w:rStyle w:val="inline-comment-marker"/>
                <w:rFonts w:eastAsia="Times New Roman"/>
                <w:sz w:val="21"/>
                <w:szCs w:val="21"/>
              </w:rPr>
              <w:t>Бизнес-метрики</w:t>
            </w:r>
            <w:r w:rsidRPr="001C24E3">
              <w:rPr>
                <w:rFonts w:eastAsia="Times New Roman"/>
                <w:sz w:val="21"/>
                <w:szCs w:val="21"/>
              </w:rPr>
              <w:t xml:space="preserve"> - прикладные метрики, определённые бизнес-требованиями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CN.OBS.02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Наблюдаемость - логирование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color w:val="172B4D"/>
                <w:sz w:val="21"/>
                <w:szCs w:val="21"/>
              </w:rPr>
              <w:t>Отправка логов приложения стандартизированными средствами в централизованную систему мониторинга.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 w:rsidP="002537DA">
            <w:pPr>
              <w:pStyle w:val="a4"/>
              <w:rPr>
                <w:sz w:val="21"/>
                <w:szCs w:val="21"/>
              </w:rPr>
            </w:pPr>
            <w:r w:rsidRPr="001C24E3">
              <w:rPr>
                <w:color w:val="172B4D"/>
                <w:sz w:val="21"/>
                <w:szCs w:val="21"/>
              </w:rPr>
              <w:t xml:space="preserve">Все приложения должны выгружать </w:t>
            </w:r>
            <w:proofErr w:type="spellStart"/>
            <w:r w:rsidRPr="001C24E3">
              <w:rPr>
                <w:color w:val="172B4D"/>
                <w:sz w:val="21"/>
                <w:szCs w:val="21"/>
              </w:rPr>
              <w:t>журналируемые</w:t>
            </w:r>
            <w:proofErr w:type="spellEnd"/>
            <w:r w:rsidRPr="001C24E3">
              <w:rPr>
                <w:color w:val="172B4D"/>
                <w:sz w:val="21"/>
                <w:szCs w:val="21"/>
              </w:rPr>
              <w:t xml:space="preserve"> события в Платформу Наблюдаемости.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Обязательно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  <w:r w:rsidRPr="001C24E3">
              <w:rPr>
                <w:rFonts w:eastAsia="Times New Roman"/>
                <w:sz w:val="21"/>
                <w:szCs w:val="21"/>
              </w:rPr>
              <w:t>1</w:t>
            </w: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hyperlink r:id="rId17" w:history="1">
              <w:r w:rsidRPr="001C24E3">
                <w:rPr>
                  <w:rStyle w:val="a5"/>
                  <w:rFonts w:eastAsia="Times New Roman"/>
                  <w:sz w:val="22"/>
                  <w:szCs w:val="22"/>
                </w:rPr>
                <w:t xml:space="preserve">12 </w:t>
              </w:r>
              <w:proofErr w:type="spellStart"/>
              <w:r w:rsidRPr="001C24E3">
                <w:rPr>
                  <w:rStyle w:val="a5"/>
                  <w:rFonts w:eastAsia="Times New Roman"/>
                  <w:sz w:val="22"/>
                  <w:szCs w:val="22"/>
                </w:rPr>
                <w:t>Factor</w:t>
              </w:r>
              <w:proofErr w:type="spellEnd"/>
              <w:r w:rsidRPr="001C24E3">
                <w:rPr>
                  <w:rStyle w:val="a5"/>
                  <w:rFonts w:eastAsia="Times New Roman"/>
                  <w:sz w:val="22"/>
                  <w:szCs w:val="22"/>
                </w:rPr>
                <w:t xml:space="preserve"> </w:t>
              </w:r>
              <w:proofErr w:type="spellStart"/>
              <w:r w:rsidRPr="001C24E3">
                <w:rPr>
                  <w:rStyle w:val="a5"/>
                  <w:rFonts w:eastAsia="Times New Roman"/>
                  <w:sz w:val="22"/>
                  <w:szCs w:val="22"/>
                </w:rPr>
                <w:t>Apps</w:t>
              </w:r>
              <w:proofErr w:type="spellEnd"/>
            </w:hyperlink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  <w:tr w:rsidR="001C24E3" w:rsidRPr="001C24E3" w:rsidTr="001C24E3">
        <w:trPr>
          <w:divId w:val="698044730"/>
        </w:trPr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a4"/>
              <w:rPr>
                <w:sz w:val="21"/>
                <w:szCs w:val="21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pStyle w:val="3"/>
              <w:rPr>
                <w:rFonts w:eastAsia="Times New Roman"/>
                <w:sz w:val="22"/>
                <w:szCs w:val="22"/>
              </w:rPr>
            </w:pPr>
            <w:r w:rsidRPr="001C24E3">
              <w:rPr>
                <w:rFonts w:eastAsia="Times New Roman"/>
                <w:sz w:val="22"/>
                <w:szCs w:val="22"/>
              </w:rPr>
              <w:t>Дополнительные материалы для Анализа</w:t>
            </w:r>
          </w:p>
        </w:tc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53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000000" w:rsidRPr="001C24E3" w:rsidRDefault="00000000">
            <w:pPr>
              <w:rPr>
                <w:rFonts w:eastAsia="Times New Roman"/>
                <w:sz w:val="21"/>
                <w:szCs w:val="21"/>
              </w:rPr>
            </w:pPr>
          </w:p>
        </w:tc>
      </w:tr>
    </w:tbl>
    <w:p w:rsidR="00A75B05" w:rsidRPr="001C24E3" w:rsidRDefault="00A75B05">
      <w:pPr>
        <w:divId w:val="698044730"/>
        <w:rPr>
          <w:rFonts w:eastAsia="Times New Roman"/>
          <w:sz w:val="21"/>
          <w:szCs w:val="21"/>
        </w:rPr>
      </w:pPr>
    </w:p>
    <w:sectPr w:rsidR="00A75B05" w:rsidRPr="001C24E3" w:rsidSect="001C24E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F1A"/>
    <w:multiLevelType w:val="multilevel"/>
    <w:tmpl w:val="24F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2458"/>
    <w:multiLevelType w:val="multilevel"/>
    <w:tmpl w:val="E102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40841"/>
    <w:multiLevelType w:val="multilevel"/>
    <w:tmpl w:val="B6A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B3CD0"/>
    <w:multiLevelType w:val="multilevel"/>
    <w:tmpl w:val="574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60CEC"/>
    <w:multiLevelType w:val="multilevel"/>
    <w:tmpl w:val="BDC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5DD0"/>
    <w:multiLevelType w:val="multilevel"/>
    <w:tmpl w:val="6BD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74002"/>
    <w:multiLevelType w:val="multilevel"/>
    <w:tmpl w:val="7FD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D35AD"/>
    <w:multiLevelType w:val="multilevel"/>
    <w:tmpl w:val="C37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12EE2"/>
    <w:multiLevelType w:val="multilevel"/>
    <w:tmpl w:val="B25E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5C76"/>
    <w:multiLevelType w:val="multilevel"/>
    <w:tmpl w:val="DAD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529C8"/>
    <w:multiLevelType w:val="multilevel"/>
    <w:tmpl w:val="241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650DD"/>
    <w:multiLevelType w:val="multilevel"/>
    <w:tmpl w:val="DD9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E257D"/>
    <w:multiLevelType w:val="multilevel"/>
    <w:tmpl w:val="AD96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F6376"/>
    <w:multiLevelType w:val="multilevel"/>
    <w:tmpl w:val="F64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83D1B"/>
    <w:multiLevelType w:val="multilevel"/>
    <w:tmpl w:val="C9D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E68BA"/>
    <w:multiLevelType w:val="multilevel"/>
    <w:tmpl w:val="0E0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06B93"/>
    <w:multiLevelType w:val="multilevel"/>
    <w:tmpl w:val="900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F76FE"/>
    <w:multiLevelType w:val="multilevel"/>
    <w:tmpl w:val="893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55EEC"/>
    <w:multiLevelType w:val="multilevel"/>
    <w:tmpl w:val="A0BE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92850">
    <w:abstractNumId w:val="8"/>
  </w:num>
  <w:num w:numId="2" w16cid:durableId="371735861">
    <w:abstractNumId w:val="12"/>
  </w:num>
  <w:num w:numId="3" w16cid:durableId="1882862857">
    <w:abstractNumId w:val="13"/>
  </w:num>
  <w:num w:numId="4" w16cid:durableId="1313674899">
    <w:abstractNumId w:val="10"/>
  </w:num>
  <w:num w:numId="5" w16cid:durableId="1987389286">
    <w:abstractNumId w:val="5"/>
  </w:num>
  <w:num w:numId="6" w16cid:durableId="1141921626">
    <w:abstractNumId w:val="4"/>
  </w:num>
  <w:num w:numId="7" w16cid:durableId="107744045">
    <w:abstractNumId w:val="11"/>
  </w:num>
  <w:num w:numId="8" w16cid:durableId="1364594227">
    <w:abstractNumId w:val="16"/>
  </w:num>
  <w:num w:numId="9" w16cid:durableId="1356811395">
    <w:abstractNumId w:val="18"/>
  </w:num>
  <w:num w:numId="10" w16cid:durableId="1011687933">
    <w:abstractNumId w:val="1"/>
  </w:num>
  <w:num w:numId="11" w16cid:durableId="1092358239">
    <w:abstractNumId w:val="2"/>
  </w:num>
  <w:num w:numId="12" w16cid:durableId="1489131494">
    <w:abstractNumId w:val="7"/>
  </w:num>
  <w:num w:numId="13" w16cid:durableId="1955747805">
    <w:abstractNumId w:val="15"/>
  </w:num>
  <w:num w:numId="14" w16cid:durableId="1081757925">
    <w:abstractNumId w:val="17"/>
  </w:num>
  <w:num w:numId="15" w16cid:durableId="2019850669">
    <w:abstractNumId w:val="3"/>
  </w:num>
  <w:num w:numId="16" w16cid:durableId="1106119939">
    <w:abstractNumId w:val="6"/>
  </w:num>
  <w:num w:numId="17" w16cid:durableId="1020860141">
    <w:abstractNumId w:val="14"/>
  </w:num>
  <w:num w:numId="18" w16cid:durableId="1535925844">
    <w:abstractNumId w:val="9"/>
  </w:num>
  <w:num w:numId="19" w16cid:durableId="90218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DA"/>
    <w:rsid w:val="001C24E3"/>
    <w:rsid w:val="002537DA"/>
    <w:rsid w:val="00253F8F"/>
    <w:rsid w:val="00A7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3DFF2292"/>
  <w15:chartTrackingRefBased/>
  <w15:docId w15:val="{A958C1EF-3D67-E442-B170-88B201F4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st-header-rf">
    <w:name w:val="st-header-rf"/>
    <w:basedOn w:val="a0"/>
  </w:style>
  <w:style w:type="character" w:customStyle="1" w:styleId="st-btn-rf-base">
    <w:name w:val="st-btn-rf-base"/>
    <w:basedOn w:val="a0"/>
  </w:style>
  <w:style w:type="character" w:customStyle="1" w:styleId="st-btn-rf-svg">
    <w:name w:val="st-btn-rf-svg"/>
    <w:basedOn w:val="a0"/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inline-comment-marker">
    <w:name w:val="inline-comment-marker"/>
    <w:basedOn w:val="a0"/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st-table-filter">
    <w:name w:val="st-table-filter"/>
    <w:basedOn w:val="a0"/>
  </w:style>
  <w:style w:type="character" w:customStyle="1" w:styleId="css-178ag6o">
    <w:name w:val="css-178ag6o"/>
    <w:basedOn w:val="a0"/>
  </w:style>
  <w:style w:type="character" w:customStyle="1" w:styleId="sc-jkjlte">
    <w:name w:val="sc-jkjlt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8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34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workloads/controllers/deployment/" TargetMode="External"/><Relationship Id="rId13" Type="http://schemas.openxmlformats.org/officeDocument/2006/relationships/hyperlink" Target="https://kubernetes.io/docs/tasks/configure-pod-container/configure-liveness-readiness-startup-probe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penshift.com/container-platform/3.11/dev_guide/application_memory_sizing.html" TargetMode="External"/><Relationship Id="rId12" Type="http://schemas.openxmlformats.org/officeDocument/2006/relationships/hyperlink" Target="https://kubernetes.io/docs/tasks/configure-pod-container/configure-liveness-readiness-startup-probes/" TargetMode="External"/><Relationship Id="rId17" Type="http://schemas.openxmlformats.org/officeDocument/2006/relationships/hyperlink" Target="https://12factor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bernetes.io/docs/tutorials/kubernetes-basics/update/update-intr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concepts/configuration/manage-resources-containers/" TargetMode="External"/><Relationship Id="rId11" Type="http://schemas.openxmlformats.org/officeDocument/2006/relationships/hyperlink" Target="https://kubernetes.io/docs/tasks/configure-pod-container/configure-liveness-readiness-startup-probes/" TargetMode="External"/><Relationship Id="rId5" Type="http://schemas.openxmlformats.org/officeDocument/2006/relationships/hyperlink" Target="https://kubernetes.io/" TargetMode="External"/><Relationship Id="rId15" Type="http://schemas.openxmlformats.org/officeDocument/2006/relationships/hyperlink" Target="https://kubernetes.io/docs/tasks/configure-pod-container/configure-liveness-readiness-startup-probes/" TargetMode="External"/><Relationship Id="rId10" Type="http://schemas.openxmlformats.org/officeDocument/2006/relationships/hyperlink" Target="https://kubernetes.io/docs/concepts/services-networking/service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ubernetes.io/docs/concepts/workloads/controllers/statefulset/" TargetMode="External"/><Relationship Id="rId14" Type="http://schemas.openxmlformats.org/officeDocument/2006/relationships/hyperlink" Target="https://kubernetes.io/docs/tasks/configure-pod-container/configure-liveness-readiness-startup-prob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Зиновьев Василий</dc:creator>
  <cp:keywords/>
  <dc:description/>
  <cp:lastModifiedBy>Зиновьев Василий</cp:lastModifiedBy>
  <cp:revision>2</cp:revision>
  <dcterms:created xsi:type="dcterms:W3CDTF">2026-08-31T14:54:00Z</dcterms:created>
  <dcterms:modified xsi:type="dcterms:W3CDTF">2026-08-31T14:54:00Z</dcterms:modified>
</cp:coreProperties>
</file>