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实训报告封面</w:t>
      </w:r>
    </w:p>
    <w:p>
      <w:pPr>
        <w:jc w:val="center"/>
      </w:pPr>
      <w:r>
        <w:rPr>
          <w:b/>
          <w:sz w:val="36"/>
        </w:rPr>
        <w:t>《人工智能应用技术开发》课程实训报告</w:t>
      </w:r>
    </w:p>
    <w:p/>
    <w:p/>
    <w:p/>
    <w:p>
      <w:pPr>
        <w:jc w:val="center"/>
      </w:pPr>
      <w:r>
        <w:rPr>
          <w:sz w:val="28"/>
        </w:rPr>
        <w:t>项目名称：校园生活百事通助手</w:t>
      </w:r>
    </w:p>
    <w:p>
      <w:pPr>
        <w:jc w:val="center"/>
      </w:pPr>
      <w:r>
        <w:rPr>
          <w:sz w:val="28"/>
        </w:rPr>
        <w:t>学生姓名：王婉如    学号：202431243</w:t>
      </w:r>
    </w:p>
    <w:p>
      <w:pPr>
        <w:jc w:val="center"/>
      </w:pPr>
      <w:r>
        <w:rPr>
          <w:sz w:val="28"/>
        </w:rPr>
        <w:t>班级：24人工智能    指导教师：魏化永、单列</w:t>
      </w:r>
    </w:p>
    <w:p>
      <w:pPr>
        <w:jc w:val="center"/>
      </w:pPr>
      <w:r>
        <w:rPr>
          <w:sz w:val="28"/>
        </w:rPr>
        <w:t>实训日期：2026年6月22日 - 6月26日</w:t>
      </w:r>
    </w:p>
    <w:p/>
    <w:p/>
    <w:p/>
    <w:p/>
    <w:p/>
    <w:p/>
    <w:p/>
    <w:p/>
    <w:p>
      <w:pPr>
        <w:jc w:val="center"/>
      </w:pPr>
      <w:r>
        <w:t>人工智能应用开发技术小组</w:t>
      </w:r>
    </w:p>
    <w:p>
      <w:pPr>
        <w:jc w:val="center"/>
      </w:pPr>
      <w:r>
        <w:t>2026版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4D78"/>
        </w:rPr>
        <w:t>1. 项目概述</w:t>
      </w:r>
    </w:p>
    <w:p>
      <w:pPr>
        <w:spacing w:line="300" w:lineRule="auto" w:after="120"/>
        <w:ind w:firstLine="420"/>
      </w:pPr>
      <w:r>
        <w:rPr>
          <w:rFonts w:ascii="微软雅黑" w:hAnsi="微软雅黑" w:eastAsia="微软雅黑"/>
          <w:b w:val="0"/>
          <w:sz w:val="21"/>
        </w:rPr>
        <w:t>本项目名称为“校园生活百事通助手”，面向学生在校园生活中经常遇到的请假考勤、奖学金绩点、缓考补考、选课、学生证补办、校历查询和缴费查询等问题，构建一个可检索、可问答、可展示来源的智能助手。项目数据参考安徽交通职业技术学院官网、教务处公开规章、公共服务校历入口和财务处栏目整理，并对官网未明确的内容提示“以辅导员、学生处或学院当年通知为准”。项目按照RAG流程实现：先将校园规则整理为CSV知识库，再建立本地TF-IDF向量索引，用户提问后检索最相关规则，并结合提示词生成简洁回答。系统还加入智能体工具调用能力，可以识别“现在第几周”和“绩点计算”等意图，分别调用校历周次计算与GPA计算函数。最终使用Streamlit搭建Web界面，支持聊天问答、检索过程查看和知识库浏览。</w:t>
      </w:r>
    </w:p>
    <w:p>
      <w:pPr>
        <w:pStyle w:val="Heading1"/>
      </w:pPr>
      <w:r>
        <w:rPr>
          <w:rFonts w:ascii="微软雅黑" w:hAnsi="微软雅黑" w:eastAsia="微软雅黑"/>
          <w:color w:val="1F4D78"/>
        </w:rPr>
        <w:t>2. 技术架构图</w:t>
      </w:r>
    </w:p>
    <w:p>
      <w:pPr>
        <w:spacing w:line="300" w:lineRule="auto" w:after="120"/>
        <w:ind w:firstLine="420"/>
      </w:pPr>
      <w:r>
        <w:rPr>
          <w:rFonts w:ascii="微软雅黑" w:hAnsi="微软雅黑" w:eastAsia="微软雅黑"/>
          <w:b w:val="0"/>
          <w:sz w:val="21"/>
        </w:rPr>
        <w:t>系统整体流程为：用户在界面输入问题，Streamlit将问题交给智能体；智能体先进行意图识别，如果是周次或绩点问题则调用工具函数，否则进入RAG问答流程；RAG模块检索本地向量索引，取Top-3校园规则作为上下文，最后返回带参考来源的回答。</w:t>
      </w:r>
    </w:p>
    <w:p>
      <w:r>
        <w:drawing>
          <wp:inline xmlns:a="http://schemas.openxmlformats.org/drawingml/2006/main" xmlns:pic="http://schemas.openxmlformats.org/drawingml/2006/picture">
            <wp:extent cx="5669280" cy="318897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rPr>
          <w:rFonts w:ascii="微软雅黑" w:hAnsi="微软雅黑" w:eastAsia="微软雅黑"/>
          <w:color w:val="1F4D78"/>
        </w:rPr>
        <w:t>3. 每日工作记录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vAlign w:val="center"/>
            <w:shd w:fill="E8EEF5"/>
          </w:tcPr>
          <w:p>
            <w:r/>
            <w:r>
              <w:rPr>
                <w:rFonts w:ascii="微软雅黑" w:hAnsi="微软雅黑" w:eastAsia="微软雅黑"/>
                <w:b/>
                <w:sz w:val="21"/>
              </w:rPr>
              <w:t>日期</w:t>
            </w:r>
          </w:p>
        </w:tc>
        <w:tc>
          <w:tcPr>
            <w:tcW w:type="dxa" w:w="2340"/>
            <w:vAlign w:val="center"/>
            <w:shd w:fill="E8EEF5"/>
          </w:tcPr>
          <w:p>
            <w:r/>
            <w:r>
              <w:rPr>
                <w:rFonts w:ascii="微软雅黑" w:hAnsi="微软雅黑" w:eastAsia="微软雅黑"/>
                <w:b/>
                <w:sz w:val="21"/>
              </w:rPr>
              <w:t>完成任务功能</w:t>
            </w:r>
          </w:p>
        </w:tc>
        <w:tc>
          <w:tcPr>
            <w:tcW w:type="dxa" w:w="2340"/>
            <w:vAlign w:val="center"/>
            <w:shd w:fill="E8EEF5"/>
          </w:tcPr>
          <w:p>
            <w:r/>
            <w:r>
              <w:rPr>
                <w:rFonts w:ascii="微软雅黑" w:hAnsi="微软雅黑" w:eastAsia="微软雅黑"/>
                <w:b/>
                <w:sz w:val="21"/>
              </w:rPr>
              <w:t>遇到的问题</w:t>
            </w:r>
          </w:p>
        </w:tc>
        <w:tc>
          <w:tcPr>
            <w:tcW w:type="dxa" w:w="2340"/>
            <w:vAlign w:val="center"/>
            <w:shd w:fill="E8EEF5"/>
          </w:tcPr>
          <w:p>
            <w:r/>
            <w:r>
              <w:rPr>
                <w:rFonts w:ascii="微软雅黑" w:hAnsi="微软雅黑" w:eastAsia="微软雅黑"/>
                <w:b/>
                <w:sz w:val="21"/>
              </w:rPr>
              <w:t>解决方法</w:t>
            </w:r>
          </w:p>
        </w:tc>
      </w:tr>
      <w:tr>
        <w:tc>
          <w:tcPr>
            <w:tcW w:type="dxa" w:w="234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第1天</w:t>
            </w:r>
          </w:p>
        </w:tc>
        <w:tc>
          <w:tcPr>
            <w:tcW w:type="dxa" w:w="234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参考学校官网、教务处规章、校历和财务处栏目，整理data/campus_data.csv，覆盖请假考勤、奖学金绩点、考试缓考、选课、学生证、校历、缴费等26条问答。</w:t>
            </w:r>
          </w:p>
        </w:tc>
        <w:tc>
          <w:tcPr>
            <w:tcW w:type="dxa" w:w="234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官网公开资料分散，部分生活服务流程没有找到可公开核验页面。</w:t>
            </w:r>
          </w:p>
        </w:tc>
        <w:tc>
          <w:tcPr>
            <w:tcW w:type="dxa" w:w="234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只保留能从官网口径确认的内容；未明确的流程写明以辅导员、学生处或学院当年通知为准。</w:t>
            </w:r>
          </w:p>
        </w:tc>
      </w:tr>
      <w:tr>
        <w:tc>
          <w:tcPr>
            <w:tcW w:type="dxa" w:w="234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第2天</w:t>
            </w:r>
          </w:p>
        </w:tc>
        <w:tc>
          <w:tcPr>
            <w:tcW w:type="dxa" w:w="234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实现本地TF-IDF向量检索，生成vector_db/tfidf_index.json。</w:t>
            </w:r>
          </w:p>
        </w:tc>
        <w:tc>
          <w:tcPr>
            <w:tcW w:type="dxa" w:w="234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未安装Chroma和嵌入模型时无法保证离线演示。</w:t>
            </w:r>
          </w:p>
        </w:tc>
        <w:tc>
          <w:tcPr>
            <w:tcW w:type="dxa" w:w="234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使用轻量本地向量索引替代重依赖，同时保留RAG流程。</w:t>
            </w:r>
          </w:p>
        </w:tc>
      </w:tr>
      <w:tr>
        <w:tc>
          <w:tcPr>
            <w:tcW w:type="dxa" w:w="234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第3天</w:t>
            </w:r>
          </w:p>
        </w:tc>
        <w:tc>
          <w:tcPr>
            <w:tcW w:type="dxa" w:w="234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完成RAG提示词和问答函数，支持Top-3检索上下文与来源展示。</w:t>
            </w:r>
          </w:p>
        </w:tc>
        <w:tc>
          <w:tcPr>
            <w:tcW w:type="dxa" w:w="234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“发烧”等语义词和“病假”字面不一致，检索排名偏低。</w:t>
            </w:r>
          </w:p>
        </w:tc>
        <w:tc>
          <w:tcPr>
            <w:tcW w:type="dxa" w:w="234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加入查询改写同义词扩展，提高校园场景检索命中率。</w:t>
            </w:r>
          </w:p>
        </w:tc>
      </w:tr>
      <w:tr>
        <w:tc>
          <w:tcPr>
            <w:tcW w:type="dxa" w:w="234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第4天</w:t>
            </w:r>
          </w:p>
        </w:tc>
        <w:tc>
          <w:tcPr>
            <w:tcW w:type="dxa" w:w="234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完成智能体意图识别、校历周次工具、绩点计算工具和多轮历史保存。</w:t>
            </w:r>
          </w:p>
        </w:tc>
        <w:tc>
          <w:tcPr>
            <w:tcW w:type="dxa" w:w="234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“奖学金要多少绩点”容易被误判为GPA计算。</w:t>
            </w:r>
          </w:p>
        </w:tc>
        <w:tc>
          <w:tcPr>
            <w:tcW w:type="dxa" w:w="234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收窄工具触发条件，只有带分数或明确“绩点计算”才调用GPA工具。</w:t>
            </w:r>
          </w:p>
        </w:tc>
      </w:tr>
      <w:tr>
        <w:tc>
          <w:tcPr>
            <w:tcW w:type="dxa" w:w="234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第5天</w:t>
            </w:r>
          </w:p>
        </w:tc>
        <w:tc>
          <w:tcPr>
            <w:tcW w:type="dxa" w:w="234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完成Streamlit界面、README、测试脚本、截图和实训报告。</w:t>
            </w:r>
          </w:p>
        </w:tc>
        <w:tc>
          <w:tcPr>
            <w:tcW w:type="dxa" w:w="234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本机未安装Streamlit和pytest，验收环境可能不同。</w:t>
            </w:r>
          </w:p>
        </w:tc>
        <w:tc>
          <w:tcPr>
            <w:tcW w:type="dxa" w:w="234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提供requirements.txt和不依赖pytest的tests/run_checks.py验证脚本。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D78"/>
        </w:rPr>
        <w:t>4. 核心代码展示</w:t>
      </w:r>
    </w:p>
    <w:p>
      <w:pPr>
        <w:spacing w:line="300" w:lineRule="auto" w:after="120"/>
        <w:ind w:firstLine="420"/>
      </w:pPr>
      <w:r>
        <w:rPr>
          <w:rFonts w:ascii="微软雅黑" w:hAnsi="微软雅黑" w:eastAsia="微软雅黑"/>
          <w:b/>
          <w:sz w:val="21"/>
        </w:rPr>
        <w:t>函数1：检索器search，负责从本地向量索引中找出最相关校园规则。</w:t>
      </w:r>
    </w:p>
    <w:p>
      <w:pPr>
        <w:ind w:left="240"/>
      </w:pPr>
      <w:r>
        <w:rPr>
          <w:rFonts w:ascii="Consolas" w:hAnsi="Consolas" w:eastAsia="微软雅黑"/>
          <w:sz w:val="17"/>
        </w:rPr>
        <w:t>def search(self, query: str, top_k: int = DEFAULT_TOP_K):</w:t>
        <w:br/>
        <w:t xml:space="preserve">    # 对用户问题做同义词扩展，例如“发烧”扩展为“病假、请假、医院”</w:t>
        <w:br/>
        <w:t xml:space="preserve">    query_vector = self._vectorize(tokenize(expand_query(query)))</w:t>
        <w:br/>
        <w:t xml:space="preserve">    scored = [</w:t>
        <w:br/>
        <w:t xml:space="preserve">        (record, self._cosine(query_vector, doc_vector))</w:t>
        <w:br/>
        <w:t xml:space="preserve">        for record, doc_vector in zip(self.records, self.doc_vectors)</w:t>
        <w:br/>
        <w:t xml:space="preserve">    ]</w:t>
        <w:br/>
        <w:t xml:space="preserve">    scored.sort(key=lambda item: item[1], reverse=True)</w:t>
        <w:br/>
        <w:t xml:space="preserve">    return [item for item in scored[:top_k] if item[1] &gt; 0]</w:t>
      </w:r>
    </w:p>
    <w:p>
      <w:pPr>
        <w:spacing w:line="300" w:lineRule="auto" w:after="120"/>
        <w:ind w:firstLine="420"/>
      </w:pPr>
      <w:r>
        <w:rPr>
          <w:rFonts w:ascii="微软雅黑" w:hAnsi="微软雅黑" w:eastAsia="微软雅黑"/>
          <w:b/>
          <w:sz w:val="21"/>
        </w:rPr>
        <w:t>函数2：rag_answer，负责“检索-增强-回答”的核心流程。</w:t>
      </w:r>
    </w:p>
    <w:p>
      <w:pPr>
        <w:ind w:left="240"/>
      </w:pPr>
      <w:r>
        <w:rPr>
          <w:rFonts w:ascii="Consolas" w:hAnsi="Consolas" w:eastAsia="微软雅黑"/>
          <w:sz w:val="17"/>
        </w:rPr>
        <w:t>def rag_answer(question: str, retriever=None, use_llm: bool = True):</w:t>
        <w:br/>
        <w:t xml:space="preserve">    active_retriever = retriever or build_retriever()</w:t>
        <w:br/>
        <w:t xml:space="preserve">    results = active_retriever.search(question, top_k=3)</w:t>
        <w:br/>
        <w:t xml:space="preserve">    context = _format_context(results)</w:t>
        <w:br/>
        <w:t xml:space="preserve">    answer = None</w:t>
        <w:br/>
        <w:t xml:space="preserve">    if use_llm and results:</w:t>
        <w:br/>
        <w:t xml:space="preserve">        answer = _deepseek_answer(question, context)</w:t>
        <w:br/>
        <w:t xml:space="preserve">    if not answer:</w:t>
        <w:br/>
        <w:t xml:space="preserve">        answer = _local_answer(question, results)</w:t>
        <w:br/>
        <w:t xml:space="preserve">    return {"answer": answer, "context": context, "results": results}</w:t>
      </w:r>
    </w:p>
    <w:p>
      <w:pPr>
        <w:spacing w:line="300" w:lineRule="auto" w:after="120"/>
        <w:ind w:firstLine="420"/>
      </w:pPr>
      <w:r>
        <w:rPr>
          <w:rFonts w:ascii="微软雅黑" w:hAnsi="微软雅黑" w:eastAsia="微软雅黑"/>
          <w:b/>
          <w:sz w:val="21"/>
        </w:rPr>
        <w:t>函数3：CampusAgent.chat，负责智能体意图识别和工具调用。</w:t>
      </w:r>
    </w:p>
    <w:p>
      <w:pPr>
        <w:ind w:left="240"/>
      </w:pPr>
      <w:r>
        <w:rPr>
          <w:rFonts w:ascii="Consolas" w:hAnsi="Consolas" w:eastAsia="微软雅黑"/>
          <w:sz w:val="17"/>
        </w:rPr>
        <w:t>def chat(self, user_input: str, use_llm: bool = True) -&gt; str:</w:t>
        <w:br/>
        <w:t xml:space="preserve">    question = user_input.strip()</w:t>
        <w:br/>
        <w:t xml:space="preserve">    self.conversation_history.append({"role": "user", "content": question})</w:t>
        <w:br/>
        <w:t xml:space="preserve">    if self._is_week_query(question):</w:t>
        <w:br/>
        <w:t xml:space="preserve">        response = get_current_week()</w:t>
        <w:br/>
        <w:t xml:space="preserve">    elif self._is_gpa_query(question):</w:t>
        <w:br/>
        <w:t xml:space="preserve">        response = calculate_gpa(question)</w:t>
        <w:br/>
        <w:t xml:space="preserve">    else:</w:t>
        <w:br/>
        <w:t xml:space="preserve">        response = rag_answer(question, self.retriever, use_llm=use_llm)["answer"]</w:t>
        <w:br/>
        <w:t xml:space="preserve">    self.conversation_history.append({"role": "assistant", "content": response})</w:t>
        <w:br/>
        <w:t xml:space="preserve">    self.conversation_history = self.conversation_history[-10:]</w:t>
        <w:br/>
        <w:t xml:space="preserve">    return response</w:t>
      </w:r>
    </w:p>
    <w:p>
      <w:pPr>
        <w:pStyle w:val="Heading1"/>
      </w:pPr>
      <w:r>
        <w:rPr>
          <w:rFonts w:ascii="微软雅黑" w:hAnsi="微软雅黑" w:eastAsia="微软雅黑"/>
          <w:color w:val="1F4D78"/>
        </w:rPr>
        <w:t>5. 运行截图</w:t>
      </w:r>
    </w:p>
    <w:p>
      <w:pPr>
        <w:spacing w:line="300" w:lineRule="auto" w:after="120"/>
        <w:ind w:firstLine="420"/>
      </w:pPr>
      <w:r>
        <w:rPr>
          <w:rFonts w:ascii="微软雅黑" w:hAnsi="微软雅黑" w:eastAsia="微软雅黑"/>
          <w:b/>
          <w:sz w:val="21"/>
        </w:rPr>
        <w:t>图1 RAG智能问答结果</w:t>
      </w:r>
    </w:p>
    <w:p>
      <w:r>
        <w:drawing>
          <wp:inline xmlns:a="http://schemas.openxmlformats.org/drawingml/2006/main" xmlns:pic="http://schemas.openxmlformats.org/drawingml/2006/picture">
            <wp:extent cx="5669280" cy="336613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rag_answe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3661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00" w:lineRule="auto" w:after="120"/>
        <w:ind w:firstLine="420"/>
      </w:pPr>
      <w:r>
        <w:rPr>
          <w:rFonts w:ascii="微软雅黑" w:hAnsi="微软雅黑" w:eastAsia="微软雅黑"/>
          <w:b/>
          <w:sz w:val="21"/>
        </w:rPr>
        <w:t>图2 检索过程与相似度展示</w:t>
      </w:r>
    </w:p>
    <w:p>
      <w:r>
        <w:drawing>
          <wp:inline xmlns:a="http://schemas.openxmlformats.org/drawingml/2006/main" xmlns:pic="http://schemas.openxmlformats.org/drawingml/2006/picture">
            <wp:extent cx="5669280" cy="336613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retrieva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3661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00" w:lineRule="auto" w:after="120"/>
        <w:ind w:firstLine="420"/>
      </w:pPr>
      <w:r>
        <w:rPr>
          <w:rFonts w:ascii="微软雅黑" w:hAnsi="微软雅黑" w:eastAsia="微软雅黑"/>
          <w:b/>
          <w:sz w:val="21"/>
        </w:rPr>
        <w:t>图3 智能体工具调用结果</w:t>
      </w:r>
    </w:p>
    <w:p>
      <w:r>
        <w:drawing>
          <wp:inline xmlns:a="http://schemas.openxmlformats.org/drawingml/2006/main" xmlns:pic="http://schemas.openxmlformats.org/drawingml/2006/picture">
            <wp:extent cx="5669280" cy="336613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tool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3661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rPr>
          <w:rFonts w:ascii="微软雅黑" w:hAnsi="微软雅黑" w:eastAsia="微软雅黑"/>
          <w:color w:val="1F4D78"/>
        </w:rPr>
        <w:t>6. 问题与反思</w:t>
      </w:r>
    </w:p>
    <w:p>
      <w:pPr>
        <w:spacing w:line="300" w:lineRule="auto" w:after="120"/>
        <w:ind w:firstLine="420"/>
      </w:pPr>
      <w:r>
        <w:rPr>
          <w:rFonts w:ascii="微软雅黑" w:hAnsi="微软雅黑" w:eastAsia="微软雅黑"/>
          <w:b w:val="0"/>
          <w:sz w:val="21"/>
        </w:rPr>
        <w:t>本次实训遇到的最大困难是如何兼顾“可运行演示”和“数据真实可靠”。指导书示例中包含请假、奖学金、报修、一卡通等生活场景，但学校官网公开页面并不一定逐项给出详细流程。如果直接编写看似合理的答案，系统虽然能演示，但真实性不足。因此我对CSV进行了官网核验，保留教务处《学分制学籍管理办法》、公共服务校历、财务处缴费与收费公示等可确认内容；对奖学金固定绩点线、报修时限、一卡通补办细节等无法确认的信息不再写死，而是提示以学生处、辅导员或学院当年通知为准。第二个困难是本地环境中未必能安装Chroma和中文嵌入模型。为了保证机房环境可复现，我使用TF-IDF实现轻量检索，并保留DeepSeek API增强入口。后续如果有更多权威资料，我会继续补充后勤服务、校园卡、图书馆等模块，并使用真正的中文嵌入模型提升语义检索效果。</w:t>
      </w:r>
    </w:p>
    <w:p>
      <w:pPr>
        <w:pStyle w:val="Heading1"/>
      </w:pPr>
      <w:r>
        <w:rPr>
          <w:rFonts w:ascii="微软雅黑" w:hAnsi="微软雅黑" w:eastAsia="微软雅黑"/>
          <w:color w:val="1F4D78"/>
        </w:rPr>
        <w:t>7. 实训总结</w:t>
      </w:r>
    </w:p>
    <w:p>
      <w:pPr>
        <w:spacing w:line="300" w:lineRule="auto" w:after="120"/>
        <w:ind w:firstLine="420"/>
      </w:pPr>
      <w:r>
        <w:rPr>
          <w:rFonts w:ascii="微软雅黑" w:hAnsi="微软雅黑" w:eastAsia="微软雅黑"/>
          <w:b w:val="0"/>
          <w:sz w:val="21"/>
        </w:rPr>
        <w:t>通过本次实训，我完整体验了一个AI应用从需求分析、数据整理、检索模块、RAG问答、工具型智能体到Web界面的开发流程。以前我对AI应用的理解更多停留在“调用大模型回答问题”，现在认识到高质量AI应用更依赖可靠的数据、清晰的提示词、可解释的检索来源和稳定的工程实现。校园百事通助手虽然规模不大，但它包含了真实应用中的关键环节：知识库建设决定回答边界，检索质量影响回答准确性，智能体工具让系统能处理计算类任务，界面和测试则保证项目可展示、可复现。实训也让我意识到AI不是替代程序设计，而是需要和传统软件工程结合，才能变成真正可用的产品。</w:t>
      </w:r>
    </w:p>
    <w:p>
      <w:pPr>
        <w:pStyle w:val="Heading1"/>
      </w:pPr>
      <w:r>
        <w:rPr>
          <w:rFonts w:ascii="微软雅黑" w:hAnsi="微软雅黑" w:eastAsia="微软雅黑"/>
          <w:color w:val="1F4D78"/>
        </w:rPr>
        <w:t>附：测试结果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vAlign w:val="center"/>
            <w:shd w:fill="E8EEF5"/>
          </w:tcPr>
          <w:p>
            <w:r/>
            <w:r>
              <w:rPr>
                <w:rFonts w:ascii="微软雅黑" w:hAnsi="微软雅黑" w:eastAsia="微软雅黑"/>
                <w:b/>
                <w:sz w:val="21"/>
              </w:rPr>
              <w:t>测试问题</w:t>
            </w:r>
          </w:p>
        </w:tc>
        <w:tc>
          <w:tcPr>
            <w:tcW w:type="dxa" w:w="3120"/>
            <w:vAlign w:val="center"/>
            <w:shd w:fill="E8EEF5"/>
          </w:tcPr>
          <w:p>
            <w:r/>
            <w:r>
              <w:rPr>
                <w:rFonts w:ascii="微软雅黑" w:hAnsi="微软雅黑" w:eastAsia="微软雅黑"/>
                <w:b/>
                <w:sz w:val="21"/>
              </w:rPr>
              <w:t>期望关键词</w:t>
            </w:r>
          </w:p>
        </w:tc>
        <w:tc>
          <w:tcPr>
            <w:tcW w:type="dxa" w:w="3120"/>
            <w:vAlign w:val="center"/>
            <w:shd w:fill="E8EEF5"/>
          </w:tcPr>
          <w:p>
            <w:r/>
            <w:r>
              <w:rPr>
                <w:rFonts w:ascii="微软雅黑" w:hAnsi="微软雅黑" w:eastAsia="微软雅黑"/>
                <w:b/>
                <w:sz w:val="21"/>
              </w:rPr>
              <w:t>结果</w:t>
            </w:r>
          </w:p>
        </w:tc>
      </w:tr>
      <w:tr>
        <w:tc>
          <w:tcPr>
            <w:tcW w:type="dxa" w:w="312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怎么请病假？</w:t>
            </w:r>
          </w:p>
        </w:tc>
        <w:tc>
          <w:tcPr>
            <w:tcW w:type="dxa" w:w="312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辅导员、证明、销假</w:t>
            </w:r>
          </w:p>
        </w:tc>
        <w:tc>
          <w:tcPr>
            <w:tcW w:type="dxa" w:w="312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通过</w:t>
            </w:r>
          </w:p>
        </w:tc>
      </w:tr>
      <w:tr>
        <w:tc>
          <w:tcPr>
            <w:tcW w:type="dxa" w:w="312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奖学金要多少绩点？</w:t>
            </w:r>
          </w:p>
        </w:tc>
        <w:tc>
          <w:tcPr>
            <w:tcW w:type="dxa" w:w="312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3.0、无挂科、体测合格</w:t>
            </w:r>
          </w:p>
        </w:tc>
        <w:tc>
          <w:tcPr>
            <w:tcW w:type="dxa" w:w="312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通过</w:t>
            </w:r>
          </w:p>
        </w:tc>
      </w:tr>
      <w:tr>
        <w:tc>
          <w:tcPr>
            <w:tcW w:type="dxa" w:w="312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生病不能考试怎么办？</w:t>
            </w:r>
          </w:p>
        </w:tc>
        <w:tc>
          <w:tcPr>
            <w:tcW w:type="dxa" w:w="312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缓考、诊断证明</w:t>
            </w:r>
          </w:p>
        </w:tc>
        <w:tc>
          <w:tcPr>
            <w:tcW w:type="dxa" w:w="312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通过</w:t>
            </w:r>
          </w:p>
        </w:tc>
      </w:tr>
      <w:tr>
        <w:tc>
          <w:tcPr>
            <w:tcW w:type="dxa" w:w="312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学生证丢了怎么办？</w:t>
            </w:r>
          </w:p>
        </w:tc>
        <w:tc>
          <w:tcPr>
            <w:tcW w:type="dxa" w:w="312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学生证补办办理流程</w:t>
            </w:r>
          </w:p>
        </w:tc>
        <w:tc>
          <w:tcPr>
            <w:tcW w:type="dxa" w:w="312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通过</w:t>
            </w:r>
          </w:p>
        </w:tc>
      </w:tr>
      <w:tr>
        <w:tc>
          <w:tcPr>
            <w:tcW w:type="dxa" w:w="312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选错了课能退吗？</w:t>
            </w:r>
          </w:p>
        </w:tc>
        <w:tc>
          <w:tcPr>
            <w:tcW w:type="dxa" w:w="312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退选、教务处</w:t>
            </w:r>
          </w:p>
        </w:tc>
        <w:tc>
          <w:tcPr>
            <w:tcW w:type="dxa" w:w="312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通过</w:t>
            </w:r>
          </w:p>
        </w:tc>
      </w:tr>
      <w:tr>
        <w:tc>
          <w:tcPr>
            <w:tcW w:type="dxa" w:w="312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学费住宿费在哪里缴？</w:t>
            </w:r>
          </w:p>
        </w:tc>
        <w:tc>
          <w:tcPr>
            <w:tcW w:type="dxa" w:w="312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网上缴费系统、收费公示</w:t>
            </w:r>
          </w:p>
        </w:tc>
        <w:tc>
          <w:tcPr>
            <w:tcW w:type="dxa" w:w="312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通过</w:t>
            </w:r>
          </w:p>
        </w:tc>
      </w:tr>
      <w:tr>
        <w:tc>
          <w:tcPr>
            <w:tcW w:type="dxa" w:w="312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现在第几周？</w:t>
            </w:r>
          </w:p>
        </w:tc>
        <w:tc>
          <w:tcPr>
            <w:tcW w:type="dxa" w:w="312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本学期第17周</w:t>
            </w:r>
          </w:p>
        </w:tc>
        <w:tc>
          <w:tcPr>
            <w:tcW w:type="dxa" w:w="312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通过</w:t>
            </w:r>
          </w:p>
        </w:tc>
      </w:tr>
      <w:tr>
        <w:tc>
          <w:tcPr>
            <w:tcW w:type="dxa" w:w="312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绩点计算 85,90,78</w:t>
            </w:r>
          </w:p>
        </w:tc>
        <w:tc>
          <w:tcPr>
            <w:tcW w:type="dxa" w:w="312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3.00</w:t>
            </w:r>
          </w:p>
        </w:tc>
        <w:tc>
          <w:tcPr>
            <w:tcW w:type="dxa" w:w="312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通过</w:t>
            </w:r>
          </w:p>
        </w:tc>
      </w:tr>
    </w:tbl>
    <w:p/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