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1134"/>
        <w:gridCol w:w="3402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047AB"/>
                <w:sz w:val="32"/>
              </w:rPr>
              <w:t>NOOAXIS</w:t>
            </w:r>
            <w:r>
              <w:br/>
            </w:r>
            <w:r>
              <w:rPr>
                <w:color w:val="66CC66"/>
                <w:sz w:val="16"/>
              </w:rPr>
              <w:t>STRATÉGIE-ACCOMPAGNEMENT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color w:val="C59763"/>
                <w:sz w:val="28"/>
              </w:rPr>
              <w:t>⚫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C59763"/>
                <w:sz w:val="36"/>
              </w:rPr>
              <w:t>Wanda Success</w:t>
            </w:r>
          </w:p>
        </w:tc>
      </w:tr>
    </w:tbl>
    <w:p/>
    <w:p>
      <w:pPr>
        <w:jc w:val="center"/>
      </w:pPr>
      <w:r>
        <w:rPr>
          <w:color w:val="C59763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C59763"/>
          <w:sz w:val="36"/>
        </w:rPr>
        <w:t>NOTE DE DEMANDE DE SÉANCE DE TRAVAIL</w:t>
      </w:r>
    </w:p>
    <w:p/>
    <w:p>
      <w:r>
        <w:rPr>
          <w:b/>
          <w:color w:val="785A3C"/>
        </w:rPr>
        <w:t>📅 Date proposée :</w:t>
      </w:r>
      <w:r>
        <w:rPr>
          <w:color w:val="3C3C3C"/>
        </w:rPr>
        <w:t xml:space="preserve"> Mardi 25 novembre 2025</w:t>
      </w:r>
    </w:p>
    <w:p>
      <w:r>
        <w:rPr>
          <w:b/>
          <w:color w:val="785A3C"/>
        </w:rPr>
        <w:t>🕐 Heure :</w:t>
      </w:r>
      <w:r>
        <w:rPr>
          <w:color w:val="3C3C3C"/>
        </w:rPr>
        <w:t xml:space="preserve"> [À confirmer]</w:t>
      </w:r>
    </w:p>
    <w:p>
      <w:r>
        <w:rPr>
          <w:b/>
          <w:color w:val="785A3C"/>
        </w:rPr>
        <w:t>📍 Lieu :</w:t>
      </w:r>
      <w:r>
        <w:rPr>
          <w:color w:val="3C3C3C"/>
        </w:rPr>
        <w:t xml:space="preserve"> [À confirmer]</w:t>
      </w:r>
    </w:p>
    <w:p>
      <w:r>
        <w:rPr>
          <w:b/>
          <w:color w:val="785A3C"/>
        </w:rPr>
        <w:t>⏱ Durée estimée :</w:t>
      </w:r>
      <w:r>
        <w:rPr>
          <w:color w:val="3C3C3C"/>
        </w:rPr>
        <w:t xml:space="preserve"> 2h30 - 3h00</w:t>
      </w:r>
    </w:p>
    <w:p/>
    <w:p>
      <w:pPr>
        <w:jc w:val="center"/>
      </w:pPr>
      <w:r>
        <w:rPr>
          <w:color w:val="C59763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rPr>
          <w:color w:val="C59763"/>
        </w:rPr>
        <w:t>OBJET DE LA SÉANCE</w:t>
      </w:r>
    </w:p>
    <w:p>
      <w:r>
        <w:t>Organisation d'une séance de travail collaborative entre NOOAXIS et Wanda Success pour définir les stratégies communes concernant notre participation aux foires professionnelles à venir et le lancement de la marketplace Loummel.</w:t>
      </w:r>
    </w:p>
    <w:p/>
    <w:p>
      <w:pPr>
        <w:pStyle w:val="Heading1"/>
      </w:pPr>
      <w:r>
        <w:rPr>
          <w:color w:val="C59763"/>
        </w:rPr>
        <w:t>POINTS À ABORDER</w:t>
      </w:r>
    </w:p>
    <w:p>
      <w:pPr>
        <w:pStyle w:val="Heading2"/>
      </w:pPr>
      <w:r>
        <w:rPr>
          <w:color w:val="785A3C"/>
        </w:rPr>
        <w:t>1. Mise en place d'une stratégie pour les foires</w:t>
      </w:r>
    </w:p>
    <w:p>
      <w:r>
        <w:t>Définir notre approche stratégique pour notre participation à deux événements majeurs :</w:t>
      </w:r>
    </w:p>
    <w:p>
      <w:pPr>
        <w:pStyle w:val="ListBullet"/>
      </w:pPr>
      <w:r>
        <w:rPr>
          <w:color w:val="C59763"/>
        </w:rPr>
        <w:t>• Foire Ligue des Entrepreneurs</w:t>
      </w:r>
    </w:p>
    <w:p>
      <w:pPr>
        <w:pStyle w:val="ListBullet"/>
      </w:pPr>
      <w:r>
        <w:rPr>
          <w:color w:val="C59763"/>
        </w:rPr>
        <w:t>• Foire des Opportunités</w:t>
      </w:r>
    </w:p>
    <w:p>
      <w:r>
        <w:rPr>
          <w:i/>
          <w:color w:val="785A3C"/>
        </w:rPr>
        <w:t>Objectifs de discussion :</w:t>
      </w:r>
    </w:p>
    <w:p>
      <w:pPr>
        <w:pStyle w:val="ListBullet2"/>
      </w:pPr>
      <w:r>
        <w:t xml:space="preserve">  ◦ Définir les objectifs spécifiques pour chaque foire</w:t>
      </w:r>
    </w:p>
    <w:p>
      <w:pPr>
        <w:pStyle w:val="ListBullet2"/>
      </w:pPr>
      <w:r>
        <w:t xml:space="preserve">  ◦ Élaborer le concept des stands</w:t>
      </w:r>
    </w:p>
    <w:p>
      <w:pPr>
        <w:pStyle w:val="ListBullet2"/>
      </w:pPr>
      <w:r>
        <w:t xml:space="preserve">  ◦ Identifier les cibles prioritaires à atteindre</w:t>
      </w:r>
    </w:p>
    <w:p>
      <w:pPr>
        <w:pStyle w:val="ListBullet2"/>
      </w:pPr>
      <w:r>
        <w:t xml:space="preserve">  ◦ Planifier la logistique et les ressources nécessaires</w:t>
      </w:r>
    </w:p>
    <w:p>
      <w:pPr>
        <w:pStyle w:val="ListBullet2"/>
      </w:pPr>
      <w:r>
        <w:t xml:space="preserve">  ◦ Établir un calendrier de préparation</w:t>
      </w:r>
    </w:p>
    <w:p/>
    <w:p>
      <w:pPr>
        <w:pStyle w:val="Heading2"/>
      </w:pPr>
      <w:r>
        <w:rPr>
          <w:color w:val="785A3C"/>
        </w:rPr>
        <w:t>2. Identification des avantages à dénicher</w:t>
      </w:r>
    </w:p>
    <w:p>
      <w:r>
        <w:t>Explorer et lister les opportunités stratégiques que ces foires peuvent nous offrir :</w:t>
      </w:r>
    </w:p>
    <w:p>
      <w:pPr>
        <w:pStyle w:val="ListBullet"/>
      </w:pPr>
      <w:r>
        <w:rPr>
          <w:color w:val="C59763"/>
        </w:rPr>
        <w:t>• Partenariats stratégiques potentiels</w:t>
      </w:r>
    </w:p>
    <w:p>
      <w:pPr>
        <w:pStyle w:val="ListBullet"/>
      </w:pPr>
      <w:r>
        <w:rPr>
          <w:color w:val="C59763"/>
        </w:rPr>
        <w:t>• Nouvelles opportunités d'affaires</w:t>
      </w:r>
    </w:p>
    <w:p>
      <w:pPr>
        <w:pStyle w:val="ListBullet"/>
      </w:pPr>
      <w:r>
        <w:rPr>
          <w:color w:val="C59763"/>
        </w:rPr>
        <w:t>• Développement du réseau professionnel</w:t>
      </w:r>
    </w:p>
    <w:p>
      <w:pPr>
        <w:pStyle w:val="ListBullet"/>
      </w:pPr>
      <w:r>
        <w:rPr>
          <w:color w:val="C59763"/>
        </w:rPr>
        <w:t>• Veille concurrentielle</w:t>
      </w:r>
    </w:p>
    <w:p>
      <w:pPr>
        <w:pStyle w:val="ListBullet"/>
      </w:pPr>
      <w:r>
        <w:rPr>
          <w:color w:val="C59763"/>
        </w:rPr>
        <w:t>• Renforcement de notre visibilité</w:t>
      </w:r>
    </w:p>
    <w:p>
      <w:pPr>
        <w:pStyle w:val="ListBullet"/>
      </w:pPr>
      <w:r>
        <w:rPr>
          <w:color w:val="C59763"/>
        </w:rPr>
        <w:t>• Génération de leads qualifiés</w:t>
      </w:r>
    </w:p>
    <w:p/>
    <w:p>
      <w:pPr>
        <w:pStyle w:val="Heading2"/>
      </w:pPr>
      <w:r>
        <w:rPr>
          <w:color w:val="785A3C"/>
        </w:rPr>
        <w:t>3. Innovation digitale à mettre en avant aux foires</w:t>
      </w:r>
    </w:p>
    <w:p>
      <w:r>
        <w:t>Concevoir une présence digitale innovante et impactante lors des foires :</w:t>
      </w:r>
    </w:p>
    <w:p>
      <w:r>
        <w:rPr>
          <w:i/>
          <w:color w:val="785A3C"/>
        </w:rPr>
        <w:t>Technologies et outils à déployer :</w:t>
      </w:r>
    </w:p>
    <w:p>
      <w:pPr>
        <w:pStyle w:val="ListBullet2"/>
      </w:pPr>
      <w:r>
        <w:t xml:space="preserve">  ◦ Écrans interactifs et tablettes pour démonstrations dynamiques</w:t>
      </w:r>
    </w:p>
    <w:p>
      <w:pPr>
        <w:pStyle w:val="ListBullet2"/>
      </w:pPr>
      <w:r>
        <w:t xml:space="preserve">  ◦ QR codes pour collecte de contacts et partage d'informations</w:t>
      </w:r>
    </w:p>
    <w:p>
      <w:pPr>
        <w:pStyle w:val="ListBullet2"/>
      </w:pPr>
      <w:r>
        <w:t xml:space="preserve">  ◦ Démonstrations en temps réel de nos solutions digitales</w:t>
      </w:r>
    </w:p>
    <w:p>
      <w:pPr>
        <w:pStyle w:val="ListBullet2"/>
      </w:pPr>
      <w:r>
        <w:t xml:space="preserve">  ◦ Live streaming et couverture sur les réseaux sociaux</w:t>
      </w:r>
    </w:p>
    <w:p>
      <w:pPr>
        <w:pStyle w:val="ListBullet2"/>
      </w:pPr>
      <w:r>
        <w:t xml:space="preserve">  ◦ Engagement digital avec les visiteurs</w:t>
      </w:r>
    </w:p>
    <w:p>
      <w:pPr>
        <w:pStyle w:val="ListBullet2"/>
      </w:pPr>
      <w:r>
        <w:t xml:space="preserve">  ◦ Présentation immersive de la marketplace Loummel</w:t>
      </w:r>
    </w:p>
    <w:p/>
    <w:p>
      <w:pPr>
        <w:pStyle w:val="Heading2"/>
      </w:pPr>
      <w:r>
        <w:rPr>
          <w:color w:val="785A3C"/>
        </w:rPr>
        <w:t>4. Publicité et stratégie de communication</w:t>
      </w:r>
    </w:p>
    <w:p>
      <w:r>
        <w:t>Élaborer un plan de communication global pour maximiser l'impact de notre présence aux foires :</w:t>
      </w:r>
    </w:p>
    <w:p/>
    <w:p>
      <w:r>
        <w:rPr>
          <w:b/>
          <w:color w:val="C59763"/>
        </w:rPr>
        <w:t>Avant les foires :</w:t>
      </w:r>
    </w:p>
    <w:p>
      <w:pPr>
        <w:pStyle w:val="ListBullet"/>
      </w:pPr>
      <w:r>
        <w:rPr>
          <w:color w:val="C59763"/>
        </w:rPr>
        <w:t>• Campagnes d'annonce sur les réseaux sociaux</w:t>
      </w:r>
    </w:p>
    <w:p>
      <w:pPr>
        <w:pStyle w:val="ListBullet"/>
      </w:pPr>
      <w:r>
        <w:rPr>
          <w:color w:val="C59763"/>
        </w:rPr>
        <w:t>• Création de teasers et contenus promotionnels</w:t>
      </w:r>
    </w:p>
    <w:p>
      <w:pPr>
        <w:pStyle w:val="ListBullet"/>
      </w:pPr>
      <w:r>
        <w:rPr>
          <w:color w:val="C59763"/>
        </w:rPr>
        <w:t>• Invitations ciblées aux clients et prospects VIP</w:t>
      </w:r>
    </w:p>
    <w:p/>
    <w:p>
      <w:r>
        <w:rPr>
          <w:b/>
          <w:color w:val="C59763"/>
        </w:rPr>
        <w:t>Pendant les foires :</w:t>
      </w:r>
    </w:p>
    <w:p>
      <w:pPr>
        <w:pStyle w:val="ListBullet"/>
      </w:pPr>
      <w:r>
        <w:rPr>
          <w:color w:val="C59763"/>
        </w:rPr>
        <w:t>• Couverture médiatique en direct</w:t>
      </w:r>
    </w:p>
    <w:p>
      <w:pPr>
        <w:pStyle w:val="ListBullet"/>
      </w:pPr>
      <w:r>
        <w:rPr>
          <w:color w:val="C59763"/>
        </w:rPr>
        <w:t>• Publications et stories en temps réel</w:t>
      </w:r>
    </w:p>
    <w:p>
      <w:pPr>
        <w:pStyle w:val="ListBullet"/>
      </w:pPr>
      <w:r>
        <w:rPr>
          <w:color w:val="C59763"/>
        </w:rPr>
        <w:t>• Engagement avec les participants en ligne</w:t>
      </w:r>
    </w:p>
    <w:p/>
    <w:p>
      <w:r>
        <w:rPr>
          <w:b/>
          <w:color w:val="C59763"/>
        </w:rPr>
        <w:t>Après les foires :</w:t>
      </w:r>
    </w:p>
    <w:p>
      <w:pPr>
        <w:pStyle w:val="ListBullet"/>
      </w:pPr>
      <w:r>
        <w:rPr>
          <w:color w:val="C59763"/>
        </w:rPr>
        <w:t>• Compte-rendus et remerciements</w:t>
      </w:r>
    </w:p>
    <w:p>
      <w:pPr>
        <w:pStyle w:val="ListBullet"/>
      </w:pPr>
      <w:r>
        <w:rPr>
          <w:color w:val="C59763"/>
        </w:rPr>
        <w:t>• Partage des moments forts</w:t>
      </w:r>
    </w:p>
    <w:p>
      <w:pPr>
        <w:pStyle w:val="ListBullet"/>
      </w:pPr>
      <w:r>
        <w:rPr>
          <w:color w:val="C59763"/>
        </w:rPr>
        <w:t>• Suivi des contacts établis</w:t>
      </w:r>
    </w:p>
    <w:p/>
    <w:p>
      <w:pPr>
        <w:pStyle w:val="Heading2"/>
      </w:pPr>
      <w:r>
        <w:rPr>
          <w:color w:val="785A3C"/>
        </w:rPr>
        <w:t>5. Stratégie de lancement de la marketplace Loummel</w:t>
      </w:r>
    </w:p>
    <w:p>
      <w:r>
        <w:t>Définir une stratégie complète de lancement et de promotion de la marketplace Loummel :</w:t>
      </w:r>
    </w:p>
    <w:p/>
    <w:p>
      <w:r>
        <w:rPr>
          <w:i/>
          <w:color w:val="785A3C"/>
        </w:rPr>
        <w:t>Positionnement :</w:t>
      </w:r>
    </w:p>
    <w:p>
      <w:pPr>
        <w:pStyle w:val="ListBullet2"/>
      </w:pPr>
      <w:r>
        <w:t xml:space="preserve">  ◦ Proposition de valeur unique</w:t>
      </w:r>
    </w:p>
    <w:p>
      <w:pPr>
        <w:pStyle w:val="ListBullet2"/>
      </w:pPr>
      <w:r>
        <w:t xml:space="preserve">  ◦ Cibles prioritaires (vendeurs et acheteurs)</w:t>
      </w:r>
    </w:p>
    <w:p>
      <w:pPr>
        <w:pStyle w:val="ListBullet2"/>
      </w:pPr>
      <w:r>
        <w:t xml:space="preserve">  ◦ Différenciation concurrentielle</w:t>
      </w:r>
    </w:p>
    <w:p/>
    <w:p>
      <w:r>
        <w:rPr>
          <w:i/>
          <w:color w:val="785A3C"/>
        </w:rPr>
        <w:t>Plan de lancement :</w:t>
      </w:r>
    </w:p>
    <w:p>
      <w:pPr>
        <w:pStyle w:val="ListBullet2"/>
      </w:pPr>
      <w:r>
        <w:t xml:space="preserve">  ◦ Phase de pré-lancement (teasing)</w:t>
      </w:r>
    </w:p>
    <w:p>
      <w:pPr>
        <w:pStyle w:val="ListBullet2"/>
      </w:pPr>
      <w:r>
        <w:t xml:space="preserve">  ◦ Date de lancement officiel</w:t>
      </w:r>
    </w:p>
    <w:p>
      <w:pPr>
        <w:pStyle w:val="ListBullet2"/>
      </w:pPr>
      <w:r>
        <w:t xml:space="preserve">  ◦ Offres promotionnelles early bird</w:t>
      </w:r>
    </w:p>
    <w:p>
      <w:pPr>
        <w:pStyle w:val="ListBullet2"/>
      </w:pPr>
      <w:r>
        <w:t xml:space="preserve">  ◦ Événement de lancement</w:t>
      </w:r>
    </w:p>
    <w:p/>
    <w:p>
      <w:r>
        <w:rPr>
          <w:i/>
          <w:color w:val="785A3C"/>
        </w:rPr>
        <w:t>Marketing digital :</w:t>
      </w:r>
    </w:p>
    <w:p>
      <w:pPr>
        <w:pStyle w:val="ListBullet2"/>
      </w:pPr>
      <w:r>
        <w:t xml:space="preserve">  ◦ Campagnes sur les réseaux sociaux (Facebook, Instagram, LinkedIn, TikTok)</w:t>
      </w:r>
    </w:p>
    <w:p>
      <w:pPr>
        <w:pStyle w:val="ListBullet2"/>
      </w:pPr>
      <w:r>
        <w:t xml:space="preserve">  ◦ Partenariats influenceurs</w:t>
      </w:r>
    </w:p>
    <w:p>
      <w:pPr>
        <w:pStyle w:val="ListBullet2"/>
      </w:pPr>
      <w:r>
        <w:t xml:space="preserve">  ◦ Content marketing (articles, vidéos, témoignages)</w:t>
      </w:r>
    </w:p>
    <w:p>
      <w:pPr>
        <w:pStyle w:val="ListBullet2"/>
      </w:pPr>
      <w:r>
        <w:t xml:space="preserve">  ◦ Email marketing et automation</w:t>
      </w:r>
    </w:p>
    <w:p>
      <w:pPr>
        <w:pStyle w:val="ListBullet2"/>
      </w:pPr>
      <w:r>
        <w:t xml:space="preserve">  ◦ SEO et publicité en ligne</w:t>
      </w:r>
    </w:p>
    <w:p/>
    <w:p>
      <w:r>
        <w:rPr>
          <w:i/>
          <w:color w:val="785A3C"/>
        </w:rPr>
        <w:t>Acquisition utilisateurs :</w:t>
      </w:r>
    </w:p>
    <w:p>
      <w:pPr>
        <w:pStyle w:val="ListBullet2"/>
      </w:pPr>
      <w:r>
        <w:t xml:space="preserve">  ◦ Programme de parrainage</w:t>
      </w:r>
    </w:p>
    <w:p>
      <w:pPr>
        <w:pStyle w:val="ListBullet2"/>
      </w:pPr>
      <w:r>
        <w:t xml:space="preserve">  ◦ Gamification et challenges</w:t>
      </w:r>
    </w:p>
    <w:p>
      <w:pPr>
        <w:pStyle w:val="ListBullet2"/>
      </w:pPr>
      <w:r>
        <w:t xml:space="preserve">  ◦ Partenariats stratégiques</w:t>
      </w:r>
    </w:p>
    <w:p>
      <w:pPr>
        <w:pStyle w:val="ListBullet2"/>
      </w:pPr>
      <w:r>
        <w:t xml:space="preserve">  ◦ Promotion croisée avec nos structures</w:t>
      </w:r>
    </w:p>
    <w:p/>
    <w:p>
      <w:r>
        <w:rPr>
          <w:i/>
          <w:color w:val="785A3C"/>
        </w:rPr>
        <w:t>Intégration aux foires :</w:t>
      </w:r>
    </w:p>
    <w:p>
      <w:pPr>
        <w:pStyle w:val="ListBullet2"/>
      </w:pPr>
      <w:r>
        <w:t xml:space="preserve">  ◦ Présentation de Loummel sur nos stands</w:t>
      </w:r>
    </w:p>
    <w:p>
      <w:pPr>
        <w:pStyle w:val="ListBullet2"/>
      </w:pPr>
      <w:r>
        <w:t xml:space="preserve">  ◦ Démonstrations live de la plateforme</w:t>
      </w:r>
    </w:p>
    <w:p>
      <w:pPr>
        <w:pStyle w:val="ListBullet2"/>
      </w:pPr>
      <w:r>
        <w:t xml:space="preserve">  ◦ Inscriptions sur place avec avantages exclusifs</w:t>
      </w:r>
    </w:p>
    <w:p>
      <w:pPr>
        <w:pStyle w:val="ListBullet2"/>
      </w:pPr>
      <w:r>
        <w:t xml:space="preserve">  ◦ Collecte de témoignages</w:t>
      </w:r>
    </w:p>
    <w:p/>
    <w:p>
      <w:pPr>
        <w:jc w:val="center"/>
      </w:pPr>
      <w:r>
        <w:rPr>
          <w:color w:val="C59763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rPr>
          <w:color w:val="C59763"/>
        </w:rPr>
        <w:t>PARTICIPANTS REQUIS</w:t>
      </w:r>
    </w:p>
    <w:p/>
    <w:p>
      <w:r>
        <w:rPr>
          <w:b/>
          <w:color w:val="0047AB"/>
        </w:rPr>
        <w:t>NOOAXIS - Stratégie-Accompagnement :</w:t>
      </w:r>
    </w:p>
    <w:p>
      <w:pPr>
        <w:pStyle w:val="ListBullet"/>
      </w:pPr>
      <w:r>
        <w:t>[Noms et fonctions des participants]</w:t>
      </w:r>
    </w:p>
    <w:p/>
    <w:p>
      <w:r>
        <w:rPr>
          <w:b/>
          <w:color w:val="C59763"/>
        </w:rPr>
        <w:t>Wanda Success :</w:t>
      </w:r>
    </w:p>
    <w:p>
      <w:pPr>
        <w:pStyle w:val="ListBullet"/>
      </w:pPr>
      <w:r>
        <w:t>[Noms et fonctions des participants]</w:t>
      </w:r>
    </w:p>
    <w:p/>
    <w:p>
      <w:pPr>
        <w:pStyle w:val="Heading1"/>
      </w:pPr>
      <w:r>
        <w:rPr>
          <w:color w:val="C59763"/>
        </w:rPr>
        <w:t>PRÉPARATION RECOMMANDÉE</w:t>
      </w:r>
    </w:p>
    <w:p>
      <w:r>
        <w:t>Pour optimiser cette séance de travail, il serait utile que chaque structure prépare en amont :</w:t>
      </w:r>
    </w:p>
    <w:p>
      <w:pPr>
        <w:pStyle w:val="ListBullet"/>
      </w:pPr>
      <w:r>
        <w:rPr>
          <w:color w:val="C59763"/>
        </w:rPr>
        <w:t>• Réflexions initiales sur les objectifs de participation aux foires</w:t>
      </w:r>
    </w:p>
    <w:p>
      <w:pPr>
        <w:pStyle w:val="ListBullet"/>
      </w:pPr>
      <w:r>
        <w:rPr>
          <w:color w:val="C59763"/>
        </w:rPr>
        <w:t>• Idées de concepts pour les stands</w:t>
      </w:r>
    </w:p>
    <w:p>
      <w:pPr>
        <w:pStyle w:val="ListBullet"/>
      </w:pPr>
      <w:r>
        <w:rPr>
          <w:color w:val="C59763"/>
        </w:rPr>
        <w:t>• Budget prévisionnel disponible</w:t>
      </w:r>
    </w:p>
    <w:p>
      <w:pPr>
        <w:pStyle w:val="ListBullet"/>
      </w:pPr>
      <w:r>
        <w:rPr>
          <w:color w:val="C59763"/>
        </w:rPr>
        <w:t>• Liste des ressources mobilisables</w:t>
      </w:r>
    </w:p>
    <w:p>
      <w:pPr>
        <w:pStyle w:val="ListBullet"/>
      </w:pPr>
      <w:r>
        <w:rPr>
          <w:color w:val="C59763"/>
        </w:rPr>
        <w:t>• Premières idées pour le lancement de Loummel</w:t>
      </w:r>
    </w:p>
    <w:p>
      <w:pPr>
        <w:pStyle w:val="ListBullet"/>
      </w:pPr>
      <w:r>
        <w:rPr>
          <w:color w:val="C59763"/>
        </w:rPr>
        <w:t>• Calendrier de disponibilité pour les actions à venir</w:t>
      </w:r>
    </w:p>
    <w:p/>
    <w:p>
      <w:pPr>
        <w:pStyle w:val="Heading1"/>
      </w:pPr>
      <w:r>
        <w:rPr>
          <w:color w:val="C59763"/>
        </w:rPr>
        <w:t>RÉSULTATS ATTENDUS</w:t>
      </w:r>
    </w:p>
    <w:p>
      <w:r>
        <w:t>À l'issue de cette séance de travail, nous souhaitons avoir :</w:t>
      </w:r>
    </w:p>
    <w:p>
      <w:pPr>
        <w:pStyle w:val="ListBullet"/>
      </w:pPr>
      <w:r>
        <w:rPr>
          <w:b/>
          <w:color w:val="C59763"/>
        </w:rPr>
        <w:t>✓ Une stratégie claire et partagée pour les deux foires</w:t>
      </w:r>
    </w:p>
    <w:p>
      <w:pPr>
        <w:pStyle w:val="ListBullet"/>
      </w:pPr>
      <w:r>
        <w:rPr>
          <w:b/>
          <w:color w:val="C59763"/>
        </w:rPr>
        <w:t>✓ Un plan d'action détaillé avec répartition des responsabilités</w:t>
      </w:r>
    </w:p>
    <w:p>
      <w:pPr>
        <w:pStyle w:val="ListBullet"/>
      </w:pPr>
      <w:r>
        <w:rPr>
          <w:b/>
          <w:color w:val="C59763"/>
        </w:rPr>
        <w:t>✓ Une stratégie de lancement validée pour Loummel</w:t>
      </w:r>
    </w:p>
    <w:p>
      <w:pPr>
        <w:pStyle w:val="ListBullet"/>
      </w:pPr>
      <w:r>
        <w:rPr>
          <w:b/>
          <w:color w:val="C59763"/>
        </w:rPr>
        <w:t>✓ Un planning précis avec échéances</w:t>
      </w:r>
    </w:p>
    <w:p>
      <w:pPr>
        <w:pStyle w:val="ListBullet"/>
      </w:pPr>
      <w:r>
        <w:rPr>
          <w:b/>
          <w:color w:val="C59763"/>
        </w:rPr>
        <w:t>✓ Un budget prévisionnel global</w:t>
      </w:r>
    </w:p>
    <w:p>
      <w:pPr>
        <w:pStyle w:val="ListBullet"/>
      </w:pPr>
      <w:r>
        <w:rPr>
          <w:b/>
          <w:color w:val="C59763"/>
        </w:rPr>
        <w:t>✓ Les prochaines étapes clairement définies</w:t>
      </w:r>
    </w:p>
    <w:p/>
    <w:p>
      <w:pPr>
        <w:jc w:val="center"/>
      </w:pPr>
      <w:r>
        <w:rPr>
          <w:color w:val="C59763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i/>
          <w:color w:val="785A3C"/>
          <w:sz w:val="22"/>
        </w:rPr>
        <w:br/>
        <w:t>Merci de confirmer votre participation et de proposer vos disponibilités.</w:t>
      </w:r>
    </w:p>
    <w:p/>
    <w:p/>
    <w:p>
      <w:pPr>
        <w:jc w:val="center"/>
      </w:pPr>
      <w:r>
        <w:rPr>
          <w:color w:val="785A3C"/>
          <w:sz w:val="20"/>
        </w:rPr>
        <w:t>Document établi le 22/11/2025</w:t>
      </w:r>
    </w:p>
    <w:p>
      <w:pPr>
        <w:jc w:val="center"/>
      </w:pPr>
      <w:r>
        <w:rPr>
          <w:color w:val="785A3C"/>
          <w:sz w:val="20"/>
        </w:rPr>
        <w:br/>
        <w:t>Pour toute question ou suggestion, n'hésitez pas à nous contacter.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