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left"/>
        <w:rPr/>
      </w:pPr>
      <w:r>
        <w:rPr/>
        <w:t>Static Malware Detection Using ELF Structural Features</w:t>
      </w:r>
    </w:p>
    <w:p>
      <w:pPr>
        <w:pStyle w:val="Heading2"/>
        <w:bidi w:val="0"/>
        <w:jc w:val="left"/>
        <w:rPr/>
      </w:pPr>
      <w:r>
        <w:rPr/>
        <w:t>- A Comparative and Improved Study</w:t>
      </w:r>
    </w:p>
    <w:p>
      <w:pPr>
        <w:pStyle w:val="Heading2"/>
        <w:bidi w:val="0"/>
        <w:jc w:val="left"/>
        <w:rPr/>
      </w:pPr>
      <w:r>
        <w:rPr/>
        <w:t>1. Introduction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Static malware detection for Linux-based systems has gained importance due to the proliferation of ELF binaries across servers and IoT environments. A prior study proposed detecting Linux malware using ELF structural features and classical machine learning classifiers . The authors applied chi-square feature selection and evaluated models using a single 70–30 train-test split.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This work revisits the same structural feature philosophy but introduces: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Modern ensemble classifiers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Repeated stratified cross-validation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Embedded feature selection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Balanced dataset evaluation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Statistical stability analysis</w:t>
      </w:r>
    </w:p>
    <w:p>
      <w:pPr>
        <w:pStyle w:val="TextBody"/>
        <w:bidi w:val="0"/>
        <w:jc w:val="left"/>
        <w:rPr/>
      </w:pPr>
      <w:r>
        <w:rPr/>
        <w:t>The goal is to provide a more rigorous and efficient malware detection framework.</w:t>
      </w:r>
    </w:p>
    <w:p>
      <w:pPr>
        <w:pStyle w:val="Heading2"/>
        <w:bidi w:val="0"/>
        <w:jc w:val="left"/>
        <w:rPr/>
      </w:pPr>
      <w:r>
        <w:rPr/>
        <w:t>2. Dataset Description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 dataset consists of: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500 benign ELF binaries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500 malware ELF binaries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Total samples: 972 (after filtering invalid files)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Balanced class distribution</w:t>
      </w:r>
    </w:p>
    <w:p>
      <w:pPr>
        <w:pStyle w:val="TextBody"/>
        <w:bidi w:val="0"/>
        <w:jc w:val="left"/>
        <w:rPr/>
      </w:pPr>
      <w:r>
        <w:rPr/>
        <w:t>This balanced configuration ensures that evaluation metrics are not biased by class imbalance.</w:t>
      </w:r>
    </w:p>
    <w:p>
      <w:pPr>
        <w:pStyle w:val="Heading2"/>
        <w:bidi w:val="0"/>
        <w:jc w:val="left"/>
        <w:rPr/>
      </w:pPr>
      <w:r>
        <w:rPr/>
        <w:t>3. Feature Extraction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Features were extracted from ELF structural metadata, including: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Dynamic section tags (e.g., DT_RELA, DT_DEBUG, DT_INIT, DT_VERNEED)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Symbol type and binding counts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Relocation-related entries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Initialization and finalization routines</w:t>
      </w:r>
    </w:p>
    <w:p>
      <w:pPr>
        <w:pStyle w:val="TextBody"/>
        <w:bidi w:val="0"/>
        <w:jc w:val="left"/>
        <w:rPr/>
      </w:pPr>
      <w:r>
        <w:rPr/>
        <w:t>Unlike the referenced study , no chi-square feature selection was used. Instead, all extracted structural features were initially retained.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Total extracted features: </w:t>
      </w:r>
      <w:r>
        <w:rPr>
          <w:rStyle w:val="StrongEmphasis"/>
        </w:rPr>
        <w:t>37</w:t>
      </w:r>
    </w:p>
    <w:p>
      <w:pPr>
        <w:pStyle w:val="Heading2"/>
        <w:bidi w:val="0"/>
        <w:jc w:val="left"/>
        <w:rPr/>
      </w:pPr>
      <w:r>
        <w:rPr/>
        <w:t>4. Model Selection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To improve upon classical WEKA-based classifiers , the following modern ensemble methods were evaluated: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XGBoost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LightGBM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CatBoost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ExtraTrees</w:t>
      </w:r>
    </w:p>
    <w:p>
      <w:pPr>
        <w:pStyle w:val="TextBody"/>
        <w:bidi w:val="0"/>
        <w:jc w:val="left"/>
        <w:rPr/>
      </w:pPr>
      <w:r>
        <w:rPr/>
        <w:t>These models are well-suited for structured tabular data and capture nonlinear feature interactions more effectively than univariate filters and rule-based learners.</w:t>
      </w:r>
    </w:p>
    <w:p>
      <w:pPr>
        <w:pStyle w:val="Heading2"/>
        <w:bidi w:val="0"/>
        <w:jc w:val="left"/>
        <w:rPr/>
      </w:pPr>
      <w:r>
        <w:rPr/>
        <w:t>5. Evaluation Methodology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To ensure robust and statistically stable results, the following evaluation protocol was used: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Repeated Stratified 5-Fold Cross-Validation (5×5 = 25 folds)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Metrics reported:</w:t>
      </w:r>
    </w:p>
    <w:p>
      <w:pPr>
        <w:pStyle w:val="TextBody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Accuracy</w:t>
      </w:r>
    </w:p>
    <w:p>
      <w:pPr>
        <w:pStyle w:val="TextBody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ROC-AUC</w:t>
      </w:r>
    </w:p>
    <w:p>
      <w:pPr>
        <w:pStyle w:val="TextBody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Recall</w:t>
      </w:r>
    </w:p>
    <w:p>
      <w:pPr>
        <w:pStyle w:val="TextBody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Precision</w:t>
      </w:r>
    </w:p>
    <w:p>
      <w:pPr>
        <w:pStyle w:val="TextBody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F1-score</w:t>
      </w:r>
    </w:p>
    <w:p>
      <w:pPr>
        <w:pStyle w:val="TextBody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Standard deviation across folds</w:t>
      </w:r>
    </w:p>
    <w:p>
      <w:pPr>
        <w:pStyle w:val="TextBody"/>
        <w:bidi w:val="0"/>
        <w:jc w:val="left"/>
        <w:rPr/>
      </w:pPr>
      <w:r>
        <w:rPr/>
        <w:t>This approach provides significantly stronger statistical validity compared to the single train-test split used in the referenced study .</w:t>
      </w:r>
    </w:p>
    <w:p>
      <w:pPr>
        <w:pStyle w:val="Heading2"/>
        <w:bidi w:val="0"/>
        <w:jc w:val="left"/>
        <w:rPr/>
      </w:pPr>
      <w:r>
        <w:rPr/>
        <w:t>6. Baseline Results (All 37 Features)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Using all structural features:</w:t>
      </w:r>
    </w:p>
    <w:tbl>
      <w:tblPr>
        <w:tblW w:w="537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7"/>
        <w:gridCol w:w="1078"/>
        <w:gridCol w:w="1245"/>
        <w:gridCol w:w="776"/>
        <w:gridCol w:w="1092"/>
      </w:tblGrid>
      <w:tr>
        <w:trPr>
          <w:tblHeader w:val="true"/>
        </w:trPr>
        <w:tc>
          <w:tcPr>
            <w:tcW w:w="1187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Model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Accuracy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ROC-AUC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Recall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Precision</w:t>
            </w:r>
          </w:p>
        </w:tc>
      </w:tr>
      <w:tr>
        <w:trPr/>
        <w:tc>
          <w:tcPr>
            <w:tcW w:w="11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XGBoost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~0.9975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~0.99896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~0.995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1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LightGBM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~0.9979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~0.99918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~0.996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1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CatBoost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~0.9973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~0.99943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~0.995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18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ExtraTrees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~0.9975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~0.99916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~0.996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~0.999</w:t>
            </w:r>
          </w:p>
        </w:tc>
      </w:tr>
    </w:tbl>
    <w:p>
      <w:pPr>
        <w:pStyle w:val="TextBody"/>
        <w:bidi w:val="0"/>
        <w:spacing w:lineRule="auto" w:line="276" w:before="0" w:after="140"/>
        <w:jc w:val="left"/>
        <w:rPr/>
      </w:pPr>
      <w:r>
        <w:rPr/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Key observations: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All models achieve near-perfect discrimination (ROC-AUC ≈ 0.999).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Malware recall remains extremely high (~99.5%).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Standard deviation across folds is very low, indicating stable performance.</w:t>
      </w:r>
    </w:p>
    <w:p>
      <w:pPr>
        <w:pStyle w:val="TextBody"/>
        <w:bidi w:val="0"/>
        <w:jc w:val="left"/>
        <w:rPr/>
      </w:pPr>
      <w:r>
        <w:rPr/>
        <w:t>Compared to the referenced work, which reported ~99.69% accuracy , this study achieves comparable or slightly higher accuracy while also reporting ROC-AUC and cross-validation stability.</w:t>
      </w:r>
    </w:p>
    <w:p>
      <w:pPr>
        <w:pStyle w:val="Heading2"/>
        <w:bidi w:val="0"/>
        <w:jc w:val="left"/>
        <w:rPr/>
      </w:pPr>
      <w:r>
        <w:rPr/>
        <w:t>7. Embedded Feature Reduction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To improve efficiency and remove redundancy, embedded feature selection was performed using ExtraTrees feature importance.</w:t>
      </w:r>
    </w:p>
    <w:p>
      <w:pPr>
        <w:pStyle w:val="Heading3"/>
        <w:bidi w:val="0"/>
        <w:jc w:val="left"/>
        <w:rPr/>
      </w:pPr>
      <w:r>
        <w:rPr/>
        <w:t>Step 1 — Ranking Features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Feature importance revealed that the majority of discriminative power is concentrated in dynamic relocation and versioning tags, particularly: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DT_RELAENT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DT_RELASZ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DT_RELA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DT_VERNEEDNUM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DT_VERNEED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DT_DEBUG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DT_INIT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DT_FINI_ARRAY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DT_FINI_ARRAYSZ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DT_STRTAB</w:t>
      </w:r>
    </w:p>
    <w:p>
      <w:pPr>
        <w:pStyle w:val="Heading3"/>
        <w:bidi w:val="0"/>
        <w:jc w:val="left"/>
        <w:rPr/>
      </w:pPr>
      <w:r>
        <w:rPr/>
        <w:t>Step 2 — Reducing to Top 10 Features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Using only the top 10 features:</w:t>
      </w:r>
    </w:p>
    <w:tbl>
      <w:tblPr>
        <w:tblW w:w="226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06"/>
        <w:gridCol w:w="1061"/>
      </w:tblGrid>
      <w:tr>
        <w:trPr>
          <w:tblHeader w:val="true"/>
        </w:trPr>
        <w:tc>
          <w:tcPr>
            <w:tcW w:w="120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Metric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Value</w:t>
            </w:r>
          </w:p>
        </w:tc>
      </w:tr>
      <w:tr>
        <w:trPr/>
        <w:tc>
          <w:tcPr>
            <w:tcW w:w="12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Accuracy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~0.99794</w:t>
            </w:r>
          </w:p>
        </w:tc>
      </w:tr>
      <w:tr>
        <w:trPr/>
        <w:tc>
          <w:tcPr>
            <w:tcW w:w="12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ROC-AUC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~0.99899</w:t>
            </w:r>
          </w:p>
        </w:tc>
      </w:tr>
      <w:tr>
        <w:trPr/>
        <w:tc>
          <w:tcPr>
            <w:tcW w:w="12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Recall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~0.996</w:t>
            </w:r>
          </w:p>
        </w:tc>
      </w:tr>
      <w:tr>
        <w:trPr/>
        <w:tc>
          <w:tcPr>
            <w:tcW w:w="12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Precision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1.0</w:t>
            </w:r>
          </w:p>
        </w:tc>
      </w:tr>
    </w:tbl>
    <w:p>
      <w:pPr>
        <w:pStyle w:val="TextBody"/>
        <w:bidi w:val="0"/>
        <w:spacing w:lineRule="auto" w:line="276" w:before="0" w:after="140"/>
        <w:jc w:val="left"/>
        <w:rPr/>
      </w:pPr>
      <w:r>
        <w:rPr/>
        <w:t>This represents:</w:t>
      </w:r>
    </w:p>
    <w:p>
      <w:pPr>
        <w:pStyle w:val="Quotations"/>
        <w:bidi w:val="0"/>
        <w:spacing w:before="0" w:after="283"/>
        <w:ind w:left="567" w:right="567" w:hanging="0"/>
        <w:jc w:val="left"/>
        <w:rPr/>
      </w:pPr>
      <w:r>
        <w:rPr/>
        <w:t>73% feature reduction (37 → 10 features)</w:t>
        <w:br/>
        <w:t>With negligible performance degradation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 reduction difference in ROC-AUC is smaller than the standard deviation across folds, indicating no statistically meaningful loss.</w:t>
      </w:r>
    </w:p>
    <w:p>
      <w:pPr>
        <w:pStyle w:val="Heading2"/>
        <w:bidi w:val="0"/>
        <w:jc w:val="left"/>
        <w:rPr/>
      </w:pPr>
      <w:r>
        <w:rPr/>
        <w:t>8. Comparative Analysis with Prior Work</w:t>
      </w:r>
    </w:p>
    <w:tbl>
      <w:tblPr>
        <w:tblW w:w="730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48"/>
        <w:gridCol w:w="2612"/>
        <w:gridCol w:w="2743"/>
      </w:tblGrid>
      <w:tr>
        <w:trPr>
          <w:tblHeader w:val="true"/>
        </w:trPr>
        <w:tc>
          <w:tcPr>
            <w:tcW w:w="1948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Aspect</w:t>
            </w:r>
          </w:p>
        </w:tc>
        <w:tc>
          <w:tcPr>
            <w:tcW w:w="2612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Referenced Study</w:t>
            </w:r>
          </w:p>
        </w:tc>
        <w:tc>
          <w:tcPr>
            <w:tcW w:w="2743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Present Work</w:t>
            </w:r>
          </w:p>
        </w:tc>
      </w:tr>
      <w:tr>
        <w:trPr/>
        <w:tc>
          <w:tcPr>
            <w:tcW w:w="1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Feature Selection</w:t>
            </w:r>
          </w:p>
        </w:tc>
        <w:tc>
          <w:tcPr>
            <w:tcW w:w="261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Chi-square (filter method)</w:t>
            </w:r>
          </w:p>
        </w:tc>
        <w:tc>
          <w:tcPr>
            <w:tcW w:w="274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Embedded (model-based)</w:t>
            </w:r>
          </w:p>
        </w:tc>
      </w:tr>
      <w:tr>
        <w:trPr/>
        <w:tc>
          <w:tcPr>
            <w:tcW w:w="1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Features Used</w:t>
            </w:r>
          </w:p>
        </w:tc>
        <w:tc>
          <w:tcPr>
            <w:tcW w:w="261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34</w:t>
            </w:r>
          </w:p>
        </w:tc>
        <w:tc>
          <w:tcPr>
            <w:tcW w:w="274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Reduced to 10</w:t>
            </w:r>
          </w:p>
        </w:tc>
      </w:tr>
      <w:tr>
        <w:trPr/>
        <w:tc>
          <w:tcPr>
            <w:tcW w:w="1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Models</w:t>
            </w:r>
          </w:p>
        </w:tc>
        <w:tc>
          <w:tcPr>
            <w:tcW w:w="261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Classical WEKA</w:t>
            </w:r>
          </w:p>
        </w:tc>
        <w:tc>
          <w:tcPr>
            <w:tcW w:w="274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Modern ensemble methods</w:t>
            </w:r>
          </w:p>
        </w:tc>
      </w:tr>
      <w:tr>
        <w:trPr/>
        <w:tc>
          <w:tcPr>
            <w:tcW w:w="1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Validation</w:t>
            </w:r>
          </w:p>
        </w:tc>
        <w:tc>
          <w:tcPr>
            <w:tcW w:w="261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Single 70–30 split</w:t>
            </w:r>
          </w:p>
        </w:tc>
        <w:tc>
          <w:tcPr>
            <w:tcW w:w="274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Repeated stratified CV</w:t>
            </w:r>
          </w:p>
        </w:tc>
      </w:tr>
      <w:tr>
        <w:trPr/>
        <w:tc>
          <w:tcPr>
            <w:tcW w:w="1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ROC-AUC</w:t>
            </w:r>
          </w:p>
        </w:tc>
        <w:tc>
          <w:tcPr>
            <w:tcW w:w="261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Not reported</w:t>
            </w:r>
          </w:p>
        </w:tc>
        <w:tc>
          <w:tcPr>
            <w:tcW w:w="274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≈ </w:t>
            </w:r>
            <w:r>
              <w:rPr/>
              <w:t>0.999</w:t>
            </w:r>
          </w:p>
        </w:tc>
      </w:tr>
      <w:tr>
        <w:trPr/>
        <w:tc>
          <w:tcPr>
            <w:tcW w:w="1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Stability Reporting</w:t>
            </w:r>
          </w:p>
        </w:tc>
        <w:tc>
          <w:tcPr>
            <w:tcW w:w="261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No</w:t>
            </w:r>
          </w:p>
        </w:tc>
        <w:tc>
          <w:tcPr>
            <w:tcW w:w="274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Yes</w:t>
            </w:r>
          </w:p>
        </w:tc>
      </w:tr>
    </w:tbl>
    <w:p>
      <w:pPr>
        <w:pStyle w:val="TextBody"/>
        <w:bidi w:val="0"/>
        <w:spacing w:lineRule="auto" w:line="276" w:before="0" w:after="140"/>
        <w:jc w:val="left"/>
        <w:rPr/>
      </w:pPr>
      <w:r>
        <w:rPr/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Key improvements: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Embedded feature selection captures feature interactions, unlike chi-square which evaluates features independently.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Modern ensemble methods provide superior nonlinear modeling capacity.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Repeated cross-validation provides statistically reliable performance estimates.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Significant dimensionality reduction is achieved without performance loss.</w:t>
      </w:r>
    </w:p>
    <w:p>
      <w:pPr>
        <w:pStyle w:val="Heading2"/>
        <w:bidi w:val="0"/>
        <w:jc w:val="left"/>
        <w:rPr/>
      </w:pPr>
      <w:r>
        <w:rPr/>
        <w:t>9. Structural Insight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 experimental results indicate that: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Dynamic relocation and versioning metadata dominate classification performance.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Symbol-based features contribute less once relocation tags are included.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Malware and benign binaries differ strongly in dynamic linking behavior.</w:t>
      </w:r>
    </w:p>
    <w:p>
      <w:pPr>
        <w:pStyle w:val="TextBody"/>
        <w:bidi w:val="0"/>
        <w:jc w:val="left"/>
        <w:rPr/>
      </w:pPr>
      <w:r>
        <w:rPr/>
        <w:t>This suggests that dynamic section characteristics are highly discriminative for ELF-based malware detection.</w:t>
      </w:r>
    </w:p>
    <w:p>
      <w:pPr>
        <w:pStyle w:val="Heading2"/>
        <w:bidi w:val="0"/>
        <w:jc w:val="left"/>
        <w:rPr/>
      </w:pPr>
      <w:r>
        <w:rPr/>
        <w:t>10. Conclusion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This study demonstrates that: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ELF structural features alone can achieve near-perfect malware discrimination.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Modern ensemble models outperform classical learners.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Embedded feature selection significantly reduces dimensionality without degrading performance.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Repeated cross-validation ensures robust and reproducible results.</w:t>
      </w:r>
    </w:p>
    <w:p>
      <w:pPr>
        <w:pStyle w:val="TextBody"/>
        <w:bidi w:val="0"/>
        <w:jc w:val="left"/>
        <w:rPr/>
      </w:pPr>
      <w:r>
        <w:rPr/>
        <w:t>Compared to the referenced work , this approach provides: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Stronger evaluation methodology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Higher statistical rigor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More efficient feature utilization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Comparable or superior performance</w:t>
      </w:r>
    </w:p>
    <w:p>
      <w:pPr>
        <w:pStyle w:val="TextBody"/>
        <w:bidi w:val="0"/>
        <w:spacing w:before="0" w:after="140"/>
        <w:jc w:val="left"/>
        <w:rPr/>
      </w:pPr>
      <w:r>
        <w:rPr/>
        <w:t>Therefore, under equivalent structural feature constraints, this framework represents a more robust and scientifically rigorous malware detection approach.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IN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1">
    <w:name w:val="Heading 1"/>
    <w:basedOn w:val="Heading"/>
    <w:next w:val="TextBody"/>
    <w:qFormat/>
    <w:pPr>
      <w:spacing w:before="240" w:after="120"/>
      <w:outlineLvl w:val="0"/>
    </w:pPr>
    <w:rPr>
      <w:rFonts w:ascii="Liberation Serif" w:hAnsi="Liberation Serif" w:eastAsia="Noto Serif CJK SC" w:cs="Lohit Devanagari"/>
      <w:b/>
      <w:bCs/>
      <w:sz w:val="48"/>
      <w:szCs w:val="48"/>
    </w:rPr>
  </w:style>
  <w:style w:type="paragraph" w:styleId="Heading2">
    <w:name w:val="Heading 2"/>
    <w:basedOn w:val="Heading"/>
    <w:next w:val="TextBody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LibreOffice/7.3.7.2$Linux_X86_64 LibreOffice_project/30$Build-2</Application>
  <AppVersion>15.0000</AppVersion>
  <Pages>5</Pages>
  <Words>748</Words>
  <Characters>4825</Characters>
  <CharactersWithSpaces>5370</CharactersWithSpaces>
  <Paragraphs>150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2026-02-26T12:52:05Z</dcterms:created>
  <dc:creator/>
  <dc:description/>
  <dc:language>en-IN</dc:language>
  <cp:lastModifiedBy/>
  <dcterms:modified xsi:type="dcterms:W3CDTF">2026-02-26T12:54:22Z</dcterms:modified>
  <cp:revision>1</cp:revision>
  <dc:subject/>
  <dc:title/>
</cp:coreProperties>
</file>