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 este caso, la respuesta correcta es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razón principal es que necesitas representar una Unión de Tipos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Union Type</w:t>
      </w:r>
      <w:r w:rsidDel="00000000" w:rsidR="00000000" w:rsidRPr="00000000">
        <w:rPr>
          <w:b w:val="1"/>
          <w:bCs w:val="1"/>
          <w:rtl w:val="0"/>
        </w:rPr>
        <w:t xml:space="preserve">), algo que 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interface</w:t>
      </w:r>
      <w:r w:rsidDel="00000000" w:rsidR="00000000" w:rsidRPr="00000000">
        <w:rPr>
          <w:b w:val="1"/>
          <w:bCs w:val="1"/>
          <w:rtl w:val="0"/>
        </w:rPr>
        <w:t xml:space="preserve"> de TypeScript no pueden hacer directamente.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permite Uniones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): Cuando una variable o respuesta puede ser una cosa O otra completamente distinta (en este caso,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Éxito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), la solución en TypeScript es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alias con el operador de unión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interface</w:t>
      </w:r>
      <w:r w:rsidDel="00000000" w:rsidR="00000000" w:rsidRPr="00000000">
        <w:rPr>
          <w:b w:val="1"/>
          <w:bCs w:val="1"/>
          <w:rtl w:val="0"/>
        </w:rPr>
        <w:t xml:space="preserve"> modela contratos de objetos, no uniones: Las interfaces están diseñadas para definir la forma de un objeto o la estructura que una clase debe implementar (soporta herencia y extensión mediante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extends</w:t>
      </w:r>
      <w:r w:rsidDel="00000000" w:rsidR="00000000" w:rsidRPr="00000000">
        <w:rPr>
          <w:b w:val="1"/>
          <w:bCs w:val="1"/>
          <w:rtl w:val="0"/>
        </w:rPr>
        <w:t xml:space="preserve">), pero no puede definir una relación disyuntiva de "éxito o fallo".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