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La función </w:t>
      </w:r>
      <w:r w:rsidDel="00000000" w:rsidR="00000000" w:rsidRPr="00000000">
        <w:rPr>
          <w:color w:val="188038"/>
          <w:rtl w:val="0"/>
        </w:rPr>
        <w:t xml:space="preserve">clamp(mínimo, ideal, máximo)</w:t>
      </w:r>
      <w:r w:rsidDel="00000000" w:rsidR="00000000" w:rsidRPr="00000000">
        <w:rPr>
          <w:rtl w:val="0"/>
        </w:rPr>
        <w:t xml:space="preserve"> actúa como un control de límites: si el cálculo ideal es demasiado pequeño, se aplica el valor mínimo; si es demasiado grande, se aplica el máximo; de lo contrario, se utiliza el valor ideal.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bqbkfew7d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de resolución (para una pantalla de 800px)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920"/>
        <w:gridCol w:w="5310"/>
        <w:tblGridChange w:id="0">
          <w:tblGrid>
            <w:gridCol w:w="1590"/>
            <w:gridCol w:w="1920"/>
            <w:gridCol w:w="53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Conversión a píxeles (px)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1.5rem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$1.5 \times 16 = \mathbf{24px}$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4vw + 0.5rem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$(4 \times 8) + (0.5 \times 16) = \mathbf{40px}$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3rem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$3 \times 16 = \mathbf{48px}$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final: Dado que $40px$ se encuentra dentro del rango permitido ($24px$ a $48px$), el tamaño final de la fuente es $40px$.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