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8.4150570208933"/>
        <w:gridCol w:w="2008.857954758835"/>
        <w:gridCol w:w="3271.568669178674"/>
        <w:gridCol w:w="1836.6701300652207"/>
        <w:tblGridChange w:id="0">
          <w:tblGrid>
            <w:gridCol w:w="1908.4150570208933"/>
            <w:gridCol w:w="2008.857954758835"/>
            <w:gridCol w:w="3271.568669178674"/>
            <w:gridCol w:w="1836.6701300652207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Tipo (Bloque/Línea)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Semántico/Presentacional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Situación de uso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&lt;blockquote&gt;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Bloque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Semántico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Citar un párrafo largo de otra fuente o autor.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&lt;span&gt;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 línea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Genérico (neutro)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Aplicar estilos o scripts a una parte específica de texto.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&lt;strong&gt;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 línea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Semántico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Dar importancia fuerte o relevancia a un texto.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&lt;article&gt;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Bloque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Semántico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Definir contenido independiente (ej. una entrada de blog).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&lt;b&gt;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 línea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Presentacional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Resaltar visualmente sin carga semántica (estilo).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&lt;time&gt;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 línea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Semántico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Marcar fechas o horas legibles por humanos y máquinas.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&lt;ul&gt;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Bloque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Semántico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Definir una lista desordenada (ej. menú de navegación).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&lt;mark&gt;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 línea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Semántico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Resaltar texto por referencia o relevancia en el contexto.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&lt;code&gt;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 línea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Semántico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Indicar un fragmento de código de programación.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&lt;section&gt;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Bloque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Semántico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Agrupar contenido temáticamente relacionado.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