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 Anulación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float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Las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pierden toda su función. El nuevo algoritmo de Flexbox toma el control total de la posición y alineación, ignorando cualquier instrucción de "flotado" previa.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2 Estandarización de elementos:</w:t>
      </w:r>
      <w:r w:rsidDel="00000000" w:rsidR="00000000" w:rsidRPr="00000000">
        <w:rPr>
          <w:rtl w:val="0"/>
        </w:rPr>
        <w:t xml:space="preserve"> El contenedor obliga a todos sus hijos a convertirse en "ítems flex". Esto ignora el comportamiento original de elementos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, tratándose a todos por igual para que el sistema pueda gestionar su tamaño y posición de manera precisa sin errores de diseño.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3 Independencia de márgenes:</w:t>
      </w:r>
      <w:r w:rsidDel="00000000" w:rsidR="00000000" w:rsidRPr="00000000">
        <w:rPr>
          <w:rtl w:val="0"/>
        </w:rPr>
        <w:t xml:space="preserve"> A diferencia del flujo normal donde los márgenes suelen fusionarse o colapsar, en Flexbox los márgenes de cada elemento son independientes y respetan exactamente la medida que se les asigne, sin mezclarse con los espacios de los elementos vecinos.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