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730D" w14:textId="17C6DE78" w:rsidR="00FB5D4F" w:rsidRDefault="00AA3C67" w:rsidP="00AA3C67">
      <w:pPr>
        <w:pStyle w:val="Ttulo1"/>
      </w:pPr>
      <w:r>
        <w:t>3. Resultado e Discussões</w:t>
      </w:r>
    </w:p>
    <w:p w14:paraId="43515C43" w14:textId="77777777" w:rsidR="00AA3C67" w:rsidRPr="00AA3C67" w:rsidRDefault="00AA3C67" w:rsidP="00AA3C67"/>
    <w:p w14:paraId="674C7CD0" w14:textId="234D58CC" w:rsidR="00AA3C67" w:rsidRDefault="00AA3C67" w:rsidP="00AA3C67">
      <w:pPr>
        <w:pStyle w:val="Ttulo2"/>
      </w:pPr>
      <w:r>
        <w:t>3.6. Comparativo entre regiões</w:t>
      </w:r>
    </w:p>
    <w:p w14:paraId="69545782" w14:textId="63AE086A" w:rsidR="00AA3C67" w:rsidRDefault="00AA3C67" w:rsidP="00AA3C67"/>
    <w:p w14:paraId="59403965" w14:textId="4BDE997B" w:rsidR="00C24DA5" w:rsidRDefault="00794DB5" w:rsidP="00C24DA5">
      <w:pPr>
        <w:ind w:firstLine="567"/>
      </w:pPr>
      <w:r>
        <w:t xml:space="preserve">A análise comparativa dos dados, levando em conta o número total de focos de incêndio a cada ano por região dentro do período avaliado (2000 a 2020), aponta a região Norte como aquela que concentrou maior </w:t>
      </w:r>
      <w:r w:rsidR="00357DD7">
        <w:t xml:space="preserve">participação </w:t>
      </w:r>
      <w:r>
        <w:t>na quantidade de focos de incêndio</w:t>
      </w:r>
      <w:r w:rsidR="00C24DA5">
        <w:t xml:space="preserve">. Foram aproximadamente </w:t>
      </w:r>
      <w:r w:rsidR="00357DD7">
        <w:t>1.961.282</w:t>
      </w:r>
      <w:r w:rsidR="00C24DA5">
        <w:t xml:space="preserve"> focos de incêndio representando 4</w:t>
      </w:r>
      <w:r w:rsidR="006C56DE">
        <w:t>0,66</w:t>
      </w:r>
      <w:r w:rsidR="00C24DA5">
        <w:t>% d</w:t>
      </w:r>
      <w:r w:rsidR="00357DD7">
        <w:t>o</w:t>
      </w:r>
      <w:r w:rsidR="00C24DA5">
        <w:t xml:space="preserve"> </w:t>
      </w:r>
      <w:r w:rsidR="00357DD7">
        <w:t xml:space="preserve">total contabilizado para </w:t>
      </w:r>
      <w:r w:rsidR="00C24DA5">
        <w:t xml:space="preserve">o período. Em contrapartida, a região Sul apresentou a menor </w:t>
      </w:r>
      <w:r w:rsidR="00357DD7">
        <w:t>concentração</w:t>
      </w:r>
      <w:r w:rsidR="00C24DA5">
        <w:t xml:space="preserve">, aproximadamente </w:t>
      </w:r>
      <w:r w:rsidR="00357DD7">
        <w:t>193</w:t>
      </w:r>
      <w:r w:rsidR="00357DD7">
        <w:t>.</w:t>
      </w:r>
      <w:r w:rsidR="00357DD7">
        <w:t>180</w:t>
      </w:r>
      <w:r w:rsidR="00C24DA5">
        <w:t xml:space="preserve"> focos de incêndio, respondendo por 4% d</w:t>
      </w:r>
      <w:r w:rsidR="00357DD7">
        <w:t>o total</w:t>
      </w:r>
      <w:r w:rsidR="00C24DA5">
        <w:t xml:space="preserve"> nacional.</w:t>
      </w:r>
    </w:p>
    <w:p w14:paraId="0B32054E" w14:textId="3AD28B7E" w:rsidR="006C56DE" w:rsidRDefault="00C24DA5" w:rsidP="00C24DA5">
      <w:pPr>
        <w:ind w:firstLine="567"/>
      </w:pPr>
      <w:r>
        <w:t xml:space="preserve">A região Sudeste também </w:t>
      </w:r>
      <w:r w:rsidR="006C56DE">
        <w:t>se destaca</w:t>
      </w:r>
      <w:r>
        <w:t xml:space="preserve"> por sua baixa contribuição </w:t>
      </w:r>
      <w:r w:rsidR="00357DD7">
        <w:t>na quantidade total</w:t>
      </w:r>
      <w:r>
        <w:t xml:space="preserve"> de focos de incêndio, em torno de </w:t>
      </w:r>
      <w:r w:rsidR="00357DD7">
        <w:t>321.323</w:t>
      </w:r>
      <w:r>
        <w:t xml:space="preserve"> focos o que corresponde a 6</w:t>
      </w:r>
      <w:r w:rsidR="006C56DE">
        <w:t>,66</w:t>
      </w:r>
      <w:r>
        <w:t>% d</w:t>
      </w:r>
      <w:r w:rsidR="00357DD7">
        <w:t>o total</w:t>
      </w:r>
      <w:r w:rsidR="006C56DE">
        <w:t xml:space="preserve"> nacional. Por outro lado, as regiões Centro-Oeste e Nordeste apresentaram contribuições muito próximas: 23,81% e 24,86%, respectivamente.</w:t>
      </w:r>
      <w:r w:rsidR="009D3564">
        <w:t xml:space="preserve"> Note</w:t>
      </w:r>
      <w:r w:rsidR="00C559F1">
        <w:t xml:space="preserve"> que, somadas,</w:t>
      </w:r>
      <w:r w:rsidR="009D3564">
        <w:t xml:space="preserve"> essas duas regiões arcaram com </w:t>
      </w:r>
      <w:r w:rsidR="00C559F1">
        <w:t>cerca de 50% d</w:t>
      </w:r>
      <w:r w:rsidR="00357DD7">
        <w:t>o total</w:t>
      </w:r>
      <w:r w:rsidR="00C559F1">
        <w:t xml:space="preserve"> de focos de incêndio</w:t>
      </w:r>
      <w:r w:rsidR="00446780">
        <w:t xml:space="preserve"> no Brasil</w:t>
      </w:r>
      <w:r w:rsidR="00C559F1">
        <w:t>.</w:t>
      </w:r>
      <w:r w:rsidR="006C56DE">
        <w:t xml:space="preserve"> A </w:t>
      </w:r>
      <w:r w:rsidR="009D3564">
        <w:fldChar w:fldCharType="begin"/>
      </w:r>
      <w:r w:rsidR="009D3564">
        <w:instrText xml:space="preserve"> REF _Ref86520774 \h </w:instrText>
      </w:r>
      <w:r w:rsidR="009D3564">
        <w:fldChar w:fldCharType="separate"/>
      </w:r>
      <w:r w:rsidR="009D3564">
        <w:t xml:space="preserve">Figura </w:t>
      </w:r>
      <w:r w:rsidR="009D3564">
        <w:rPr>
          <w:noProof/>
        </w:rPr>
        <w:t>1</w:t>
      </w:r>
      <w:r w:rsidR="009D3564">
        <w:fldChar w:fldCharType="end"/>
      </w:r>
      <w:r w:rsidR="006C56DE">
        <w:t xml:space="preserve"> resume essas considerações.</w:t>
      </w:r>
    </w:p>
    <w:p w14:paraId="4C65AE52" w14:textId="77777777" w:rsidR="009D3564" w:rsidRDefault="009D3564" w:rsidP="00C24DA5">
      <w:pPr>
        <w:ind w:firstLine="567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9D3564" w14:paraId="51FC6AF6" w14:textId="77777777" w:rsidTr="009D3564">
        <w:trPr>
          <w:jc w:val="center"/>
        </w:trPr>
        <w:tc>
          <w:tcPr>
            <w:tcW w:w="0" w:type="auto"/>
            <w:vAlign w:val="center"/>
          </w:tcPr>
          <w:p w14:paraId="7F99FFEF" w14:textId="4BFCB28C" w:rsidR="006C56DE" w:rsidRDefault="009D3564" w:rsidP="009D3564">
            <w:pPr>
              <w:jc w:val="center"/>
            </w:pPr>
            <w:r w:rsidRPr="009D3564">
              <w:drawing>
                <wp:inline distT="0" distB="0" distL="0" distR="0" wp14:anchorId="385A7076" wp14:editId="3700F087">
                  <wp:extent cx="3204000" cy="2633536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000" cy="263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564" w14:paraId="2BAB8458" w14:textId="77777777" w:rsidTr="009D3564">
        <w:trPr>
          <w:jc w:val="center"/>
        </w:trPr>
        <w:tc>
          <w:tcPr>
            <w:tcW w:w="0" w:type="auto"/>
            <w:vAlign w:val="center"/>
          </w:tcPr>
          <w:p w14:paraId="5BA03203" w14:textId="5F3A3FA6" w:rsidR="006C56DE" w:rsidRDefault="009D3564" w:rsidP="009D3564">
            <w:pPr>
              <w:pStyle w:val="Legenda"/>
              <w:jc w:val="center"/>
            </w:pPr>
            <w:bookmarkStart w:id="0" w:name="_Ref86520774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0"/>
            <w:r>
              <w:t xml:space="preserve">. </w:t>
            </w:r>
            <w:r w:rsidR="00B1617F">
              <w:t>Distribuição percentual dos focos de queimadas por regiões brasileiras</w:t>
            </w:r>
            <w:r>
              <w:t xml:space="preserve"> no período compreendido entre os anos 2000 e 2020</w:t>
            </w:r>
          </w:p>
        </w:tc>
      </w:tr>
    </w:tbl>
    <w:p w14:paraId="4D31E80B" w14:textId="7AF380AF" w:rsidR="00C24DA5" w:rsidRDefault="00C24DA5" w:rsidP="00C24DA5">
      <w:pPr>
        <w:ind w:firstLine="567"/>
      </w:pPr>
    </w:p>
    <w:p w14:paraId="6A9CAE76" w14:textId="3C116FF4" w:rsidR="0012209E" w:rsidRDefault="0012209E" w:rsidP="00C24DA5">
      <w:pPr>
        <w:ind w:firstLine="567"/>
      </w:pPr>
      <w:r>
        <w:t xml:space="preserve">Do ponto de vista dos anos atípicos, ou seja, aqueles que reuniram </w:t>
      </w:r>
      <w:r w:rsidR="0092658A">
        <w:t xml:space="preserve">a maior ou a menor quantidade de focos de incêndio por região, tem-se a síntese apresentada na </w:t>
      </w:r>
      <w:r w:rsidR="007B4A57">
        <w:fldChar w:fldCharType="begin"/>
      </w:r>
      <w:r w:rsidR="007B4A57">
        <w:instrText xml:space="preserve"> REF _Ref86522247 \h </w:instrText>
      </w:r>
      <w:r w:rsidR="007B4A57">
        <w:fldChar w:fldCharType="separate"/>
      </w:r>
      <w:r w:rsidR="007B4A57">
        <w:t xml:space="preserve">Tabela </w:t>
      </w:r>
      <w:r w:rsidR="007B4A57">
        <w:rPr>
          <w:noProof/>
        </w:rPr>
        <w:t>1</w:t>
      </w:r>
      <w:r w:rsidR="007B4A57">
        <w:fldChar w:fldCharType="end"/>
      </w:r>
      <w:r w:rsidR="0092658A">
        <w:t>.</w:t>
      </w:r>
      <w:r w:rsidR="007B4A57">
        <w:t xml:space="preserve"> Observe que, excetuando-se a região Centro-Oeste, os dois anos iniciais do período avaliado são os que apresentaram as menores concentrações de focos de incêndio.  </w:t>
      </w:r>
    </w:p>
    <w:p w14:paraId="33AD5110" w14:textId="1B0B90DB" w:rsidR="0092658A" w:rsidRDefault="0092658A" w:rsidP="00C24DA5">
      <w:pPr>
        <w:ind w:firstLine="567"/>
      </w:pPr>
    </w:p>
    <w:p w14:paraId="79003AB7" w14:textId="6B9F651D" w:rsidR="0092658A" w:rsidRDefault="0092658A" w:rsidP="0092658A">
      <w:pPr>
        <w:pStyle w:val="Legenda"/>
        <w:keepNext/>
        <w:jc w:val="center"/>
      </w:pPr>
      <w:bookmarkStart w:id="1" w:name="_Ref86522247"/>
      <w:r>
        <w:lastRenderedPageBreak/>
        <w:t xml:space="preserve">Tabela </w:t>
      </w:r>
      <w:fldSimple w:instr=" SEQ Tabela \* ARABIC ">
        <w:r>
          <w:rPr>
            <w:noProof/>
          </w:rPr>
          <w:t>1</w:t>
        </w:r>
      </w:fldSimple>
      <w:bookmarkEnd w:id="1"/>
      <w:r>
        <w:t xml:space="preserve">. Síntese dos anos com maior e menor quantidade de focos de </w:t>
      </w:r>
      <w:r w:rsidR="007B4A57">
        <w:t>incêndio</w:t>
      </w:r>
      <w:r>
        <w:t xml:space="preserve"> por região</w:t>
      </w:r>
      <w:r w:rsidR="007B4A57">
        <w:t xml:space="preserve"> entre os anos 2000 e 2020.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856"/>
        <w:gridCol w:w="910"/>
      </w:tblGrid>
      <w:tr w:rsidR="0092658A" w14:paraId="0CD5D42A" w14:textId="77777777" w:rsidTr="0092658A">
        <w:trPr>
          <w:jc w:val="center"/>
        </w:trPr>
        <w:tc>
          <w:tcPr>
            <w:tcW w:w="0" w:type="auto"/>
            <w:vAlign w:val="center"/>
          </w:tcPr>
          <w:p w14:paraId="575C86D1" w14:textId="37AF6F4A" w:rsidR="0092658A" w:rsidRPr="0092658A" w:rsidRDefault="0092658A" w:rsidP="0092658A">
            <w:pPr>
              <w:jc w:val="center"/>
              <w:rPr>
                <w:b/>
                <w:bCs/>
              </w:rPr>
            </w:pPr>
            <w:r w:rsidRPr="0092658A">
              <w:rPr>
                <w:b/>
                <w:bCs/>
              </w:rPr>
              <w:t>Região</w:t>
            </w:r>
          </w:p>
        </w:tc>
        <w:tc>
          <w:tcPr>
            <w:tcW w:w="0" w:type="auto"/>
            <w:vAlign w:val="center"/>
          </w:tcPr>
          <w:p w14:paraId="13ACE5D5" w14:textId="0FB7F45B" w:rsidR="0092658A" w:rsidRPr="0092658A" w:rsidRDefault="0092658A" w:rsidP="0092658A">
            <w:pPr>
              <w:jc w:val="center"/>
              <w:rPr>
                <w:b/>
                <w:bCs/>
              </w:rPr>
            </w:pPr>
            <w:r w:rsidRPr="0092658A">
              <w:rPr>
                <w:b/>
                <w:bCs/>
              </w:rPr>
              <w:t>Maior</w:t>
            </w:r>
          </w:p>
        </w:tc>
        <w:tc>
          <w:tcPr>
            <w:tcW w:w="0" w:type="auto"/>
            <w:vAlign w:val="center"/>
          </w:tcPr>
          <w:p w14:paraId="6AF9D10D" w14:textId="380B0C15" w:rsidR="0092658A" w:rsidRPr="0092658A" w:rsidRDefault="0092658A" w:rsidP="0092658A">
            <w:pPr>
              <w:jc w:val="center"/>
              <w:rPr>
                <w:b/>
                <w:bCs/>
              </w:rPr>
            </w:pPr>
            <w:r w:rsidRPr="0092658A">
              <w:rPr>
                <w:b/>
                <w:bCs/>
              </w:rPr>
              <w:t>Menor</w:t>
            </w:r>
          </w:p>
        </w:tc>
      </w:tr>
      <w:tr w:rsidR="0092658A" w14:paraId="4A1D1CA9" w14:textId="77777777" w:rsidTr="0092658A">
        <w:trPr>
          <w:jc w:val="center"/>
        </w:trPr>
        <w:tc>
          <w:tcPr>
            <w:tcW w:w="0" w:type="auto"/>
            <w:vAlign w:val="center"/>
          </w:tcPr>
          <w:p w14:paraId="02390D3A" w14:textId="1B492D6E" w:rsidR="0092658A" w:rsidRDefault="0092658A" w:rsidP="0092658A">
            <w:pPr>
              <w:jc w:val="center"/>
            </w:pPr>
            <w:r>
              <w:t>Centro-Oeste</w:t>
            </w:r>
          </w:p>
        </w:tc>
        <w:tc>
          <w:tcPr>
            <w:tcW w:w="0" w:type="auto"/>
            <w:vAlign w:val="center"/>
          </w:tcPr>
          <w:p w14:paraId="61BD25DD" w14:textId="4DD07653" w:rsidR="0092658A" w:rsidRDefault="0092658A" w:rsidP="0092658A">
            <w:pPr>
              <w:jc w:val="center"/>
            </w:pPr>
            <w:r>
              <w:t>2004</w:t>
            </w:r>
          </w:p>
        </w:tc>
        <w:tc>
          <w:tcPr>
            <w:tcW w:w="0" w:type="auto"/>
            <w:vAlign w:val="center"/>
          </w:tcPr>
          <w:p w14:paraId="3062672E" w14:textId="6CE9B6DC" w:rsidR="0092658A" w:rsidRDefault="0092658A" w:rsidP="0092658A">
            <w:pPr>
              <w:jc w:val="center"/>
            </w:pPr>
            <w:r>
              <w:t>2018</w:t>
            </w:r>
          </w:p>
        </w:tc>
      </w:tr>
      <w:tr w:rsidR="0092658A" w14:paraId="4EEB8174" w14:textId="77777777" w:rsidTr="0092658A">
        <w:trPr>
          <w:jc w:val="center"/>
        </w:trPr>
        <w:tc>
          <w:tcPr>
            <w:tcW w:w="0" w:type="auto"/>
            <w:vAlign w:val="center"/>
          </w:tcPr>
          <w:p w14:paraId="0CC722E8" w14:textId="3FF9A806" w:rsidR="0092658A" w:rsidRDefault="0092658A" w:rsidP="0092658A">
            <w:pPr>
              <w:jc w:val="center"/>
            </w:pPr>
            <w:r>
              <w:t>Nordeste</w:t>
            </w:r>
          </w:p>
        </w:tc>
        <w:tc>
          <w:tcPr>
            <w:tcW w:w="0" w:type="auto"/>
            <w:vAlign w:val="center"/>
          </w:tcPr>
          <w:p w14:paraId="4E92E157" w14:textId="1600BCCA" w:rsidR="0092658A" w:rsidRDefault="0092658A" w:rsidP="0092658A">
            <w:pPr>
              <w:jc w:val="center"/>
            </w:pPr>
            <w:r>
              <w:t>2007</w:t>
            </w:r>
          </w:p>
        </w:tc>
        <w:tc>
          <w:tcPr>
            <w:tcW w:w="0" w:type="auto"/>
            <w:vAlign w:val="center"/>
          </w:tcPr>
          <w:p w14:paraId="73DBB63F" w14:textId="1345327C" w:rsidR="0092658A" w:rsidRDefault="0092658A" w:rsidP="0092658A">
            <w:pPr>
              <w:jc w:val="center"/>
            </w:pPr>
            <w:r>
              <w:t>2000</w:t>
            </w:r>
          </w:p>
        </w:tc>
      </w:tr>
      <w:tr w:rsidR="0092658A" w14:paraId="19EA4259" w14:textId="77777777" w:rsidTr="0092658A">
        <w:trPr>
          <w:jc w:val="center"/>
        </w:trPr>
        <w:tc>
          <w:tcPr>
            <w:tcW w:w="0" w:type="auto"/>
            <w:vAlign w:val="center"/>
          </w:tcPr>
          <w:p w14:paraId="59E16E23" w14:textId="3A56A147" w:rsidR="0092658A" w:rsidRDefault="0092658A" w:rsidP="0092658A">
            <w:pPr>
              <w:jc w:val="center"/>
            </w:pPr>
            <w:r>
              <w:t>Norte</w:t>
            </w:r>
          </w:p>
        </w:tc>
        <w:tc>
          <w:tcPr>
            <w:tcW w:w="0" w:type="auto"/>
            <w:vAlign w:val="center"/>
          </w:tcPr>
          <w:p w14:paraId="384B2063" w14:textId="07EC65CA" w:rsidR="0092658A" w:rsidRDefault="0092658A" w:rsidP="0092658A">
            <w:pPr>
              <w:jc w:val="center"/>
            </w:pPr>
            <w:r>
              <w:t>2005</w:t>
            </w:r>
          </w:p>
        </w:tc>
        <w:tc>
          <w:tcPr>
            <w:tcW w:w="0" w:type="auto"/>
            <w:vAlign w:val="center"/>
          </w:tcPr>
          <w:p w14:paraId="3526507B" w14:textId="51DAD165" w:rsidR="0092658A" w:rsidRDefault="0092658A" w:rsidP="0092658A">
            <w:pPr>
              <w:jc w:val="center"/>
            </w:pPr>
            <w:r>
              <w:t>2000</w:t>
            </w:r>
          </w:p>
        </w:tc>
      </w:tr>
      <w:tr w:rsidR="0092658A" w14:paraId="4C0B78E0" w14:textId="77777777" w:rsidTr="0092658A">
        <w:trPr>
          <w:jc w:val="center"/>
        </w:trPr>
        <w:tc>
          <w:tcPr>
            <w:tcW w:w="0" w:type="auto"/>
            <w:vAlign w:val="center"/>
          </w:tcPr>
          <w:p w14:paraId="4B0004A2" w14:textId="795EFC60" w:rsidR="0092658A" w:rsidRDefault="0092658A" w:rsidP="0092658A">
            <w:pPr>
              <w:jc w:val="center"/>
            </w:pPr>
            <w:r>
              <w:t>Sudeste</w:t>
            </w:r>
          </w:p>
        </w:tc>
        <w:tc>
          <w:tcPr>
            <w:tcW w:w="0" w:type="auto"/>
            <w:vAlign w:val="center"/>
          </w:tcPr>
          <w:p w14:paraId="5ABE8C72" w14:textId="3572FA48" w:rsidR="0092658A" w:rsidRDefault="0092658A" w:rsidP="0092658A">
            <w:pPr>
              <w:jc w:val="center"/>
            </w:pPr>
            <w:r>
              <w:t>2007</w:t>
            </w:r>
          </w:p>
        </w:tc>
        <w:tc>
          <w:tcPr>
            <w:tcW w:w="0" w:type="auto"/>
            <w:vAlign w:val="center"/>
          </w:tcPr>
          <w:p w14:paraId="5B1EEA32" w14:textId="627DA6CC" w:rsidR="0092658A" w:rsidRDefault="0092658A" w:rsidP="0092658A">
            <w:pPr>
              <w:jc w:val="center"/>
            </w:pPr>
            <w:r>
              <w:t>2001</w:t>
            </w:r>
          </w:p>
        </w:tc>
      </w:tr>
      <w:tr w:rsidR="0092658A" w14:paraId="4A4CAC69" w14:textId="77777777" w:rsidTr="0092658A">
        <w:trPr>
          <w:jc w:val="center"/>
        </w:trPr>
        <w:tc>
          <w:tcPr>
            <w:tcW w:w="0" w:type="auto"/>
            <w:vAlign w:val="center"/>
          </w:tcPr>
          <w:p w14:paraId="6F28F4C0" w14:textId="0DCA4B8B" w:rsidR="0092658A" w:rsidRDefault="0092658A" w:rsidP="0092658A">
            <w:pPr>
              <w:jc w:val="center"/>
            </w:pPr>
            <w:r>
              <w:t>Sul</w:t>
            </w:r>
          </w:p>
        </w:tc>
        <w:tc>
          <w:tcPr>
            <w:tcW w:w="0" w:type="auto"/>
            <w:vAlign w:val="center"/>
          </w:tcPr>
          <w:p w14:paraId="11425F9E" w14:textId="649C55C0" w:rsidR="0092658A" w:rsidRDefault="0092658A" w:rsidP="0092658A">
            <w:pPr>
              <w:jc w:val="center"/>
            </w:pPr>
            <w:r>
              <w:t>2003</w:t>
            </w:r>
          </w:p>
        </w:tc>
        <w:tc>
          <w:tcPr>
            <w:tcW w:w="0" w:type="auto"/>
            <w:vAlign w:val="center"/>
          </w:tcPr>
          <w:p w14:paraId="3A5AD93C" w14:textId="2084C543" w:rsidR="0092658A" w:rsidRDefault="0092658A" w:rsidP="0092658A">
            <w:pPr>
              <w:jc w:val="center"/>
            </w:pPr>
            <w:r>
              <w:t>2001</w:t>
            </w:r>
          </w:p>
        </w:tc>
      </w:tr>
    </w:tbl>
    <w:p w14:paraId="79AE153E" w14:textId="77777777" w:rsidR="007043FE" w:rsidRDefault="007043FE" w:rsidP="00C24DA5">
      <w:pPr>
        <w:ind w:firstLine="567"/>
      </w:pPr>
    </w:p>
    <w:p w14:paraId="25C0E452" w14:textId="45117D4E" w:rsidR="0092658A" w:rsidRDefault="007043FE" w:rsidP="00C24DA5">
      <w:pPr>
        <w:ind w:firstLine="567"/>
      </w:pPr>
      <w:r>
        <w:t xml:space="preserve">Uma análise minuciosa realizada observando-se as variações dos números de focos de incêndio ano a ano para todas as regiões revelou </w:t>
      </w:r>
      <w:r w:rsidR="000C62C7">
        <w:t xml:space="preserve">alguns </w:t>
      </w:r>
      <w:r>
        <w:t>eventos</w:t>
      </w:r>
      <w:r w:rsidR="000C62C7">
        <w:t xml:space="preserve"> singulares:</w:t>
      </w:r>
    </w:p>
    <w:p w14:paraId="4B01059B" w14:textId="77777777" w:rsidR="008E3B4D" w:rsidRDefault="008E3B4D" w:rsidP="00C24DA5">
      <w:pPr>
        <w:ind w:firstLine="567"/>
      </w:pPr>
    </w:p>
    <w:p w14:paraId="574642E6" w14:textId="6DE9E271" w:rsidR="00542AFC" w:rsidRDefault="000C62C7" w:rsidP="000C62C7">
      <w:pPr>
        <w:pStyle w:val="PargrafodaLista"/>
        <w:numPr>
          <w:ilvl w:val="0"/>
          <w:numId w:val="1"/>
        </w:numPr>
      </w:pPr>
      <w:r>
        <w:t xml:space="preserve">Entre os anos 2001 e 2002, a região Sul foi caracterizada por uma elevação abrupta na quantidade de focos de incêndio, em torno de 732%. No ano de 2001 foram contabilizados 1720 focos, ao passo que no ano de 2002 foram contabilizados 14306 focos. Nenhuma outra região expos tamanho crescimento para um mesmo intervalo de tempo. </w:t>
      </w:r>
      <w:r w:rsidR="00357DD7">
        <w:t xml:space="preserve">Tal </w:t>
      </w:r>
      <w:r w:rsidR="00950A1A">
        <w:t xml:space="preserve">ocorrência </w:t>
      </w:r>
      <w:r w:rsidR="00357DD7">
        <w:t xml:space="preserve">é ainda mais intrigante pelo fato </w:t>
      </w:r>
      <w:r w:rsidR="00950A1A">
        <w:t>de a</w:t>
      </w:r>
      <w:r w:rsidR="00357DD7">
        <w:t xml:space="preserve"> região Sul ser a que </w:t>
      </w:r>
      <w:r w:rsidR="00950A1A">
        <w:t>tem menor participação no total de queimadas (4,01%) para o período avaliado, bem como as menores média e mediana anuais: 9199 focos e 8134 focos, respectivamente</w:t>
      </w:r>
      <w:r w:rsidR="00284A9E">
        <w:t>;</w:t>
      </w:r>
    </w:p>
    <w:p w14:paraId="40A0E92F" w14:textId="3B42F301" w:rsidR="003E7AC3" w:rsidRDefault="003E7AC3" w:rsidP="000C62C7">
      <w:pPr>
        <w:pStyle w:val="PargrafodaLista"/>
        <w:numPr>
          <w:ilvl w:val="0"/>
          <w:numId w:val="1"/>
        </w:numPr>
      </w:pPr>
      <w:r>
        <w:t>D</w:t>
      </w:r>
      <w:r w:rsidR="00943ACD">
        <w:t xml:space="preserve">e </w:t>
      </w:r>
      <w:r>
        <w:t>2009 para 2010, as regiões Centro-oeste e Sudeste apresentaram crescimento expressivo na quantidade de incêndios, sendo verificado aumentos de 230% e 207% respectivamente;</w:t>
      </w:r>
    </w:p>
    <w:p w14:paraId="588A3F7C" w14:textId="171745D6" w:rsidR="003E7AC3" w:rsidRDefault="003E7AC3" w:rsidP="000C62C7">
      <w:pPr>
        <w:pStyle w:val="PargrafodaLista"/>
        <w:numPr>
          <w:ilvl w:val="0"/>
          <w:numId w:val="1"/>
        </w:numPr>
      </w:pPr>
      <w:r>
        <w:t xml:space="preserve">A menor redução na quantidade de focos de incêndio entre dois anos consecutivos ocorreu na região Centro-Oeste entre os anos 2010 e 2011, quando </w:t>
      </w:r>
      <w:r w:rsidR="00E159ED">
        <w:t xml:space="preserve">o número de focos diminui de 80.401 para 27.138 focos, representando uma redução de 66,2%; </w:t>
      </w:r>
    </w:p>
    <w:p w14:paraId="02012DCC" w14:textId="5F45CF9C" w:rsidR="00446780" w:rsidRDefault="00446780" w:rsidP="000C62C7">
      <w:pPr>
        <w:pStyle w:val="PargrafodaLista"/>
        <w:numPr>
          <w:ilvl w:val="0"/>
          <w:numId w:val="1"/>
        </w:numPr>
      </w:pPr>
      <w:r>
        <w:t xml:space="preserve">Observou-se ampla </w:t>
      </w:r>
      <w:r w:rsidR="00950A1A">
        <w:t>variabilidade</w:t>
      </w:r>
      <w:r>
        <w:t xml:space="preserve"> anual das queimadas por região. Os valores obtidos para os desvios-padrões foram de no mínimo 36% do valor médio (região Nordeste) e no máximo 56% do valor médio (região Sul);</w:t>
      </w:r>
    </w:p>
    <w:p w14:paraId="6F83ED79" w14:textId="6614C96A" w:rsidR="000C62C7" w:rsidRDefault="00E159ED" w:rsidP="00E159ED">
      <w:pPr>
        <w:pStyle w:val="PargrafodaLista"/>
        <w:numPr>
          <w:ilvl w:val="0"/>
          <w:numId w:val="1"/>
        </w:numPr>
      </w:pPr>
      <w:r>
        <w:t>No período de 2007 a 2009 ocorreu redução na quantidade de focos de incêndio em todas as regiões</w:t>
      </w:r>
      <w:r w:rsidR="008273F2">
        <w:t>, ou seja, em todo o território nacional. Em nenhum outro momento do período avaliado verificou-se tal ocorrência em intervalo de amplitude semelhante</w:t>
      </w:r>
      <w:r w:rsidR="00921A21">
        <w:t>;</w:t>
      </w:r>
    </w:p>
    <w:p w14:paraId="467FE337" w14:textId="79D33835" w:rsidR="00921A21" w:rsidRPr="00AA3C67" w:rsidRDefault="00943ACD" w:rsidP="00E159ED">
      <w:pPr>
        <w:pStyle w:val="PargrafodaLista"/>
        <w:numPr>
          <w:ilvl w:val="0"/>
          <w:numId w:val="1"/>
        </w:numPr>
      </w:pPr>
      <w:r>
        <w:t>No âmbito nacional, o</w:t>
      </w:r>
      <w:r w:rsidR="00921A21">
        <w:t xml:space="preserve"> ano 2007 apresentou o maior número de queimadas no período </w:t>
      </w:r>
      <w:r>
        <w:t xml:space="preserve">compreendido entre os anos </w:t>
      </w:r>
      <w:r w:rsidR="00921A21">
        <w:t xml:space="preserve">2000 </w:t>
      </w:r>
      <w:r>
        <w:t>e</w:t>
      </w:r>
      <w:r w:rsidR="00921A21">
        <w:t xml:space="preserve"> 2020</w:t>
      </w:r>
      <w:r>
        <w:t>.</w:t>
      </w:r>
      <w:r w:rsidR="00921A21">
        <w:t xml:space="preserve"> </w:t>
      </w:r>
      <w:r>
        <w:t>Por outro lado,</w:t>
      </w:r>
      <w:r w:rsidR="00921A21">
        <w:t xml:space="preserve"> o ano </w:t>
      </w:r>
      <w:r>
        <w:t>2000 apresentou o menor número de queimadas no mesmo período.</w:t>
      </w:r>
    </w:p>
    <w:sectPr w:rsidR="00921A21" w:rsidRPr="00AA3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B460E"/>
    <w:multiLevelType w:val="hybridMultilevel"/>
    <w:tmpl w:val="7CCAC0CC"/>
    <w:lvl w:ilvl="0" w:tplc="79D43D2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67"/>
    <w:rsid w:val="000C62C7"/>
    <w:rsid w:val="0012209E"/>
    <w:rsid w:val="00284A9E"/>
    <w:rsid w:val="00357DD7"/>
    <w:rsid w:val="003A7FD3"/>
    <w:rsid w:val="003E7AC3"/>
    <w:rsid w:val="00446780"/>
    <w:rsid w:val="00542AFC"/>
    <w:rsid w:val="006C56DE"/>
    <w:rsid w:val="00701F89"/>
    <w:rsid w:val="007043FE"/>
    <w:rsid w:val="00794DB5"/>
    <w:rsid w:val="007B4A57"/>
    <w:rsid w:val="008273F2"/>
    <w:rsid w:val="008E3B4D"/>
    <w:rsid w:val="00921A21"/>
    <w:rsid w:val="0092658A"/>
    <w:rsid w:val="00943ACD"/>
    <w:rsid w:val="00950A1A"/>
    <w:rsid w:val="009D3564"/>
    <w:rsid w:val="00AA3C67"/>
    <w:rsid w:val="00B1617F"/>
    <w:rsid w:val="00B55734"/>
    <w:rsid w:val="00C24DA5"/>
    <w:rsid w:val="00C559F1"/>
    <w:rsid w:val="00E159ED"/>
    <w:rsid w:val="00EC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2518"/>
  <w15:chartTrackingRefBased/>
  <w15:docId w15:val="{0E6FB89C-E8F6-49FC-B621-CD42EC7B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67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3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3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3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A3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6C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D35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C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F2360-CAB7-4BB6-89A3-572D3C15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Soares</dc:creator>
  <cp:keywords/>
  <dc:description/>
  <cp:lastModifiedBy>David Soares</cp:lastModifiedBy>
  <cp:revision>11</cp:revision>
  <dcterms:created xsi:type="dcterms:W3CDTF">2021-10-30T23:25:00Z</dcterms:created>
  <dcterms:modified xsi:type="dcterms:W3CDTF">2021-11-01T01:37:00Z</dcterms:modified>
</cp:coreProperties>
</file>