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rPr>
          <w:lang w:val="pt-BR"/>
        </w:rPr>
      </w:pPr>
      <w:r>
        <w:rPr>
          <w:lang w:val="pt-BR"/>
        </w:rPr>
        <w:t xml:space="preserve">Análise</w:t>
      </w:r>
      <w:r>
        <w:rPr>
          <w:lang w:val="pt-BR"/>
        </w:rPr>
        <w:t xml:space="preserve"> da Distribuição </w:t>
      </w:r>
      <w:r>
        <w:rPr>
          <w:lang w:val="pt-BR"/>
        </w:rPr>
        <w:t xml:space="preserve">Temporal </w:t>
      </w:r>
      <w:r>
        <w:rPr>
          <w:lang w:val="pt-BR"/>
        </w:rPr>
        <w:t xml:space="preserve">dos Focos de Queimadas por Regiões Brasileiras entre os Anos 2000 e 2020</w:t>
      </w:r>
      <w:r/>
    </w:p>
    <w:p>
      <w:pPr>
        <w:pStyle w:val="804"/>
        <w:rPr>
          <w:lang w:val="pt-BR"/>
        </w:rPr>
      </w:pPr>
      <w:r>
        <w:rPr>
          <w:lang w:val="pt-BR"/>
        </w:rPr>
        <w:t xml:space="preserve">David</w:t>
      </w:r>
      <w:r>
        <w:rPr>
          <w:lang w:val="pt-BR"/>
        </w:rPr>
        <w:t xml:space="preserve"> </w:t>
      </w:r>
      <w:r>
        <w:rPr>
          <w:lang w:val="pt-BR"/>
        </w:rPr>
        <w:t xml:space="preserve">S</w:t>
      </w:r>
      <w:r>
        <w:rPr>
          <w:lang w:val="pt-BR"/>
        </w:rPr>
        <w:t xml:space="preserve">. </w:t>
      </w:r>
      <w:r>
        <w:rPr>
          <w:lang w:val="pt-BR"/>
        </w:rPr>
        <w:t xml:space="preserve">Monte</w:t>
      </w:r>
      <w:r>
        <w:rPr>
          <w:lang w:val="pt-BR"/>
        </w:rPr>
        <w:t xml:space="preserve">, </w:t>
      </w:r>
      <w:r>
        <w:rPr>
          <w:lang w:val="pt-BR"/>
        </w:rPr>
        <w:t xml:space="preserve">Gabriel</w:t>
      </w:r>
      <w:r>
        <w:rPr>
          <w:lang w:val="pt-BR"/>
        </w:rPr>
        <w:t xml:space="preserve"> </w:t>
      </w:r>
      <w:r>
        <w:rPr>
          <w:lang w:val="pt-BR"/>
        </w:rPr>
        <w:t xml:space="preserve">A</w:t>
      </w:r>
      <w:r>
        <w:rPr>
          <w:lang w:val="pt-BR"/>
        </w:rPr>
        <w:t xml:space="preserve">.</w:t>
      </w:r>
      <w:r>
        <w:rPr>
          <w:lang w:val="pt-BR"/>
        </w:rPr>
        <w:t xml:space="preserve"> M.</w:t>
      </w:r>
      <w:r>
        <w:rPr>
          <w:lang w:val="pt-BR"/>
        </w:rPr>
        <w:t xml:space="preserve"> </w:t>
      </w:r>
      <w:r>
        <w:rPr>
          <w:lang w:val="pt-BR"/>
        </w:rPr>
        <w:t xml:space="preserve">Fragoso</w:t>
      </w:r>
      <w:r>
        <w:rPr>
          <w:lang w:val="pt-BR"/>
        </w:rPr>
        <w:t xml:space="preserve">, </w:t>
      </w:r>
      <w:r>
        <w:rPr>
          <w:lang w:val="pt-BR"/>
        </w:rPr>
        <w:t xml:space="preserve">Priscila A. </w:t>
      </w:r>
      <w:r>
        <w:rPr>
          <w:lang w:val="pt-BR"/>
        </w:rPr>
        <w:t xml:space="preserve">Lima</w:t>
      </w:r>
      <w:r>
        <w:rPr>
          <w:lang w:val="pt-BR"/>
        </w:rPr>
        <w:t xml:space="preserve">, </w:t>
      </w:r>
      <w:r>
        <w:rPr>
          <w:lang w:val="pt-BR"/>
        </w:rPr>
        <w:t xml:space="preserve">Wanderson</w:t>
      </w:r>
      <w:r>
        <w:rPr>
          <w:lang w:val="pt-BR"/>
        </w:rPr>
        <w:t xml:space="preserve"> </w:t>
      </w:r>
      <w:r>
        <w:rPr>
          <w:lang w:val="pt-BR"/>
        </w:rPr>
        <w:t xml:space="preserve">R</w:t>
      </w:r>
      <w:r>
        <w:rPr>
          <w:lang w:val="pt-BR"/>
        </w:rPr>
        <w:t xml:space="preserve">. </w:t>
      </w:r>
      <w:r>
        <w:rPr>
          <w:lang w:val="pt-BR"/>
        </w:rPr>
        <w:t xml:space="preserve">Marques</w:t>
      </w:r>
      <w:r/>
    </w:p>
    <w:p>
      <w:pPr>
        <w:jc w:val="center"/>
        <w:spacing w:before="240"/>
        <w:rPr>
          <w:rStyle w:val="806"/>
        </w:rPr>
      </w:pPr>
      <w:r>
        <w:rPr>
          <w:rStyle w:val="806"/>
        </w:rPr>
        <w:t xml:space="preserve">Centro</w:t>
      </w:r>
      <w:r>
        <w:rPr>
          <w:rStyle w:val="806"/>
        </w:rPr>
        <w:t xml:space="preserve"> de Informática – Universidade Federal d</w:t>
      </w:r>
      <w:r>
        <w:rPr>
          <w:rStyle w:val="806"/>
        </w:rPr>
        <w:t xml:space="preserve">e Pernambuco</w:t>
      </w:r>
      <w:r>
        <w:rPr>
          <w:rStyle w:val="806"/>
        </w:rPr>
        <w:t xml:space="preserve"> (UF</w:t>
      </w:r>
      <w:r>
        <w:rPr>
          <w:rStyle w:val="806"/>
        </w:rPr>
        <w:t xml:space="preserve">PE</w:t>
      </w:r>
      <w:r>
        <w:rPr>
          <w:rStyle w:val="806"/>
        </w:rPr>
        <w:t xml:space="preserve">)</w:t>
      </w:r>
      <w:r>
        <w:rPr>
          <w:rStyle w:val="806"/>
        </w:rPr>
        <w:br/>
        <w:t xml:space="preserve">Caixa Postal </w:t>
      </w:r>
      <w:r>
        <w:rPr>
          <w:rStyle w:val="806"/>
        </w:rPr>
        <w:t xml:space="preserve">50670-901</w:t>
      </w:r>
      <w:r>
        <w:rPr>
          <w:rStyle w:val="806"/>
        </w:rPr>
        <w:t xml:space="preserve"> – </w:t>
      </w:r>
      <w:r>
        <w:rPr>
          <w:rStyle w:val="806"/>
        </w:rPr>
        <w:t xml:space="preserve">Recife</w:t>
      </w:r>
      <w:r>
        <w:rPr>
          <w:rStyle w:val="806"/>
        </w:rPr>
        <w:t xml:space="preserve"> – </w:t>
      </w:r>
      <w:r>
        <w:rPr>
          <w:rStyle w:val="806"/>
        </w:rPr>
        <w:t xml:space="preserve">PE</w:t>
      </w:r>
      <w:r>
        <w:rPr>
          <w:rStyle w:val="806"/>
        </w:rPr>
        <w:t xml:space="preserve"> – Brazil</w:t>
      </w:r>
      <w:r/>
    </w:p>
    <w:p>
      <w:pPr>
        <w:pStyle w:val="807"/>
        <w:rPr>
          <w:lang w:val="pt-BR"/>
        </w:rPr>
      </w:pPr>
      <w:r>
        <w:rPr>
          <w:lang w:val="pt-BR"/>
        </w:rPr>
        <w:t xml:space="preserve">{</w:t>
      </w:r>
      <w:r>
        <w:rPr>
          <w:lang w:val="pt-BR"/>
        </w:rPr>
        <w:t xml:space="preserve">dsm3,gamf,pal4,wrm</w:t>
      </w:r>
      <w:r>
        <w:rPr>
          <w:lang w:val="pt-BR"/>
        </w:rPr>
        <w:t xml:space="preserve">}@</w:t>
      </w:r>
      <w:r>
        <w:rPr>
          <w:lang w:val="pt-BR"/>
        </w:rPr>
        <w:t xml:space="preserve">cin.ufpe.br</w:t>
      </w:r>
      <w:r/>
    </w:p>
    <w:p>
      <w:pPr>
        <w:pStyle w:val="807"/>
        <w:rPr>
          <w:lang w:val="pt-BR"/>
        </w:rPr>
        <w:sectPr>
          <w:headerReference w:type="default" r:id="rId9"/>
          <w:headerReference w:type="even" r:id="rId10"/>
          <w:footerReference w:type="even" r:id="rId13"/>
          <w:footerReference w:type="first" r:id="rId14"/>
          <w:footnotePr/>
          <w:endnotePr/>
          <w:type w:val="continuous"/>
          <w:pgSz w:w="11907" w:h="16840" w:orient="portrait"/>
          <w:pgMar w:top="1985" w:right="1701" w:bottom="1418" w:left="1701" w:header="964" w:footer="964" w:gutter="0"/>
          <w:pgNumType w:start="101"/>
          <w:cols w:num="1" w:sep="0" w:space="454" w:equalWidth="1"/>
          <w:docGrid w:linePitch="360"/>
        </w:sectPr>
      </w:pPr>
      <w:r>
        <w:rPr>
          <w:lang w:val="pt-BR"/>
        </w:rPr>
      </w:r>
      <w:r/>
    </w:p>
    <w:p>
      <w:pPr>
        <w:pStyle w:val="808"/>
      </w:pPr>
      <w:r>
        <w:rPr>
          <w:b/>
        </w:rPr>
        <w:t xml:space="preserve">Resumo.</w:t>
      </w:r>
      <w:r>
        <w:t xml:space="preserve"> </w:t>
      </w:r>
      <w:r>
        <w:t xml:space="preserve">O </w:t>
      </w:r>
      <w:r>
        <w:t xml:space="preserve">presente artigo tem </w:t>
      </w:r>
      <w:r>
        <w:t xml:space="preserve">p</w:t>
      </w:r>
      <w:r>
        <w:t xml:space="preserve">o</w:t>
      </w:r>
      <w:r>
        <w:t xml:space="preserve">r</w:t>
      </w:r>
      <w:r>
        <w:t xml:space="preserve"> objetivo analisar os padrões de distribuição temporal dos focos de queimadas detectados por regiões brasileiras entre os anos de 2000 </w:t>
      </w:r>
      <w:r>
        <w:t xml:space="preserve">e</w:t>
      </w:r>
      <w:r>
        <w:t xml:space="preserve"> 2020. </w:t>
      </w:r>
      <w:r>
        <w:t xml:space="preserve">A</w:t>
      </w:r>
      <w:r>
        <w:t xml:space="preserve"> fonte de dados foi o programa Queimadas do INPE, que monitora a ocorrência e classificação de queimadas ativas na vegetação, incluindo seu risco, abrangência e severidade. </w:t>
      </w:r>
      <w:r>
        <w:t xml:space="preserve">Para </w:t>
      </w:r>
      <w:r>
        <w:t xml:space="preserve">cada uma das regiões</w:t>
      </w:r>
      <w:r>
        <w:t xml:space="preserve">, o </w:t>
      </w:r>
      <w:r>
        <w:t xml:space="preserve">estudo apontou</w:t>
      </w:r>
      <w:r>
        <w:t xml:space="preserve"> seus piores e melhores anos, bem como singularidades dignas de atenção das autoridades competentes</w:t>
      </w:r>
      <w:r>
        <w:t xml:space="preserve">. </w:t>
      </w:r>
      <w:r>
        <w:t xml:space="preserve">O panorama nacional também foi avaliado. </w:t>
      </w:r>
      <w:r>
        <w:t xml:space="preserve">Os resultados deste trabalho demonstraram que a região Norte </w:t>
      </w:r>
      <w:r>
        <w:t xml:space="preserve">deteve a</w:t>
      </w:r>
      <w:r>
        <w:t xml:space="preserve"> maior participação na quantidade de focos de queimadas em todo o Brasil,</w:t>
      </w:r>
      <w:r>
        <w:t xml:space="preserve"> enquanto </w:t>
      </w:r>
      <w:r>
        <w:t xml:space="preserve">as </w:t>
      </w:r>
      <w:r>
        <w:t xml:space="preserve">regiões Nordeste e Centro-Oeste responderam po</w:t>
      </w:r>
      <w:r>
        <w:t xml:space="preserve">r quase metade</w:t>
      </w:r>
      <w:r>
        <w:t xml:space="preserve"> do </w:t>
      </w:r>
      <w:r>
        <w:t xml:space="preserve">total</w:t>
      </w:r>
      <w:r>
        <w:t xml:space="preserve"> de queimadas no território nacional</w:t>
      </w:r>
      <w:r>
        <w:t xml:space="preserve"> dentro do período avaliado</w:t>
      </w:r>
      <w:r>
        <w:t xml:space="preserve">.</w:t>
      </w:r>
      <w:r/>
    </w:p>
    <w:p>
      <w:pPr>
        <w:pStyle w:val="795"/>
        <w:rPr>
          <w:lang w:val="pt-BR"/>
        </w:rPr>
      </w:pPr>
      <w:r>
        <w:rPr>
          <w:lang w:val="pt-BR"/>
        </w:rPr>
        <w:t xml:space="preserve">1. </w:t>
      </w:r>
      <w:r>
        <w:rPr>
          <w:lang w:val="pt-BR"/>
        </w:rPr>
        <w:t xml:space="preserve">Introdução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No contexto das mudanças ambientais globais o mundo tem voltado suas atenções à alta incidência de desmatamento e queimadas,</w:t>
      </w:r>
      <w:r>
        <w:rPr>
          <w:lang w:val="pt-BR"/>
        </w:rPr>
        <w:t xml:space="preserve"> </w:t>
      </w:r>
      <w:r>
        <w:rPr>
          <w:lang w:val="pt-BR"/>
        </w:rPr>
        <w:t xml:space="preserve">pois é um dos fatores que reflete a perda de serviços ecossistêmicos locais e globais. Um estudo realizado pelo MAPBIOMAS Brasil (2021) revelou um total </w:t>
      </w:r>
      <w:r>
        <w:rPr>
          <w:lang w:val="pt-BR"/>
        </w:rPr>
        <w:t xml:space="preserve">aproximado de 150.957 km² queimados por ano, 1,8% da área do país. O resultado acumulado entre os anos 1985 e 2020 atingiu quase um quinto do território nacional: 1.672.142 quilômetros quadrados, ou 19,6% do Brasil, dos quais 65% foram de vegetação nativa.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Segundo Gatti et al. (2021), a emissão de gases d</w:t>
      </w:r>
      <w:r>
        <w:rPr>
          <w:lang w:val="pt-BR"/>
        </w:rPr>
        <w:t xml:space="preserve">e efeito estufa no Brasil aumentou em 9,6% em 2019, quando comparado ao ano de 2018, de acordo com relatório do Sistema de Estimativas de Emissões e Remoções de Gases de Efeito Estufa (SEEG), elaborado pelo Observatório do Clima. O referido relatório indic</w:t>
      </w:r>
      <w:r>
        <w:rPr>
          <w:lang w:val="pt-BR"/>
        </w:rPr>
        <w:t xml:space="preserve">a que dos 2,18 bilhões de toneladas de dióxido de carbono equivalente lançados na atmosfera pelo país, 44% provêm de mudanças de uso da terra e 28% da agropecuária, seguidas pelo setor energético (19%), processos industriais (5%) e gestão de resíduos (4%).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Os números alarmantes encontrados nestes estudos demonstram a importância dos monitoramentos dos focos de queimadas ativos e a necessidade de ações governamentais e sociais de co</w:t>
      </w:r>
      <w:r>
        <w:rPr>
          <w:lang w:val="pt-BR"/>
        </w:rPr>
        <w:t xml:space="preserve">nscientização, controle e combate às queimadas, sejam elas naturais ou criminosas. Nesse cenário, o presente artigo tem o objetivo analisar os padrões de distribuição temporal dos focos de queimadas detectados por regiões brasileiras entre os anos de 2000 </w:t>
      </w:r>
      <w:r>
        <w:rPr>
          <w:lang w:val="pt-BR"/>
        </w:rPr>
        <w:t xml:space="preserve">e</w:t>
      </w:r>
      <w:r>
        <w:rPr>
          <w:lang w:val="pt-BR"/>
        </w:rPr>
        <w:t xml:space="preserve"> 2020. 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O projeto atual, aliado ao monitoramento em tempo real das queimadas, não está relacionado apenas à redução das emissões de gases de efeito estufa e da área de </w:t>
      </w:r>
      <w:r>
        <w:rPr>
          <w:lang w:val="pt-BR"/>
        </w:rPr>
        <w:t xml:space="preserve">vegetação local, mas também à extinção de algumas espécies de fauna e flora. Flora, fertilidade do solo causada pela erosão, proteção de áreas indígenas e incidentes de incêndio e poluição.</w:t>
      </w:r>
      <w:r/>
    </w:p>
    <w:p>
      <w:pPr>
        <w:pStyle w:val="795"/>
        <w:rPr>
          <w:lang w:val="pt-BR"/>
        </w:rPr>
      </w:pPr>
      <w:r>
        <w:rPr>
          <w:lang w:val="pt-BR"/>
        </w:rPr>
        <w:t xml:space="preserve">2. F</w:t>
      </w:r>
      <w:r>
        <w:rPr>
          <w:lang w:val="pt-BR"/>
        </w:rPr>
        <w:t xml:space="preserve">ocos de queimadas: Detecção e</w:t>
      </w:r>
      <w:r>
        <w:rPr>
          <w:lang w:val="pt-BR"/>
        </w:rPr>
        <w:t xml:space="preserve"> Definição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A fonte de </w:t>
      </w:r>
      <w:r>
        <w:rPr>
          <w:lang w:val="pt-BR"/>
        </w:rPr>
        <w:t xml:space="preserve">informações sobre os focos de queimadas</w:t>
      </w:r>
      <w:r>
        <w:rPr>
          <w:lang w:val="pt-BR"/>
        </w:rPr>
        <w:t xml:space="preserve"> foi o Programa Queimadas do INPE, que monitor</w:t>
      </w:r>
      <w:r>
        <w:rPr>
          <w:lang w:val="pt-BR"/>
        </w:rPr>
        <w:t xml:space="preserve">a a ocorrência e classificação de queimadas ativas na vegetação, incluindo seu risco, abrangência e severidade. Os dados fornecidos pelo programa são obtidos por imagens de satélites, ao todo são dez satélites onde são recebidas e processadas essas imagens</w:t>
      </w:r>
      <w:r>
        <w:rPr>
          <w:lang w:val="pt-BR"/>
        </w:rPr>
        <w:t xml:space="preserve">. </w:t>
      </w:r>
      <w:r>
        <w:rPr>
          <w:lang w:val="pt-BR"/>
        </w:rPr>
        <w:t xml:space="preserve">Atualmente </w:t>
      </w:r>
      <w:r>
        <w:rPr>
          <w:lang w:val="pt-BR"/>
        </w:rPr>
        <w:t xml:space="preserve">os processos operacionais acontecem na Divisão de Geração de Imagem (DGI) e na Divisão de Satélites e Sistemas Ambientais. No que se trata da capitação desses dados, cada satélite de ó</w:t>
      </w:r>
      <w:r>
        <w:rPr>
          <w:lang w:val="pt-BR"/>
        </w:rPr>
        <w:t xml:space="preserve">rbita polar produz pelo menos dois conjuntos de imagens por dia, e os geoestacionários geram seis imagens por hora, sendo que no total o INPE processa automaticamente mais de 200 imagens por dia especificamente para detectar focos de queimadas em vegetação</w:t>
      </w:r>
      <w:r>
        <w:rPr>
          <w:lang w:val="pt-BR"/>
        </w:rPr>
        <w:t xml:space="preserve">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Os</w:t>
      </w:r>
      <w:r>
        <w:rPr>
          <w:lang w:val="pt-BR"/>
        </w:rPr>
        <w:t xml:space="preserve"> satélites de referência que utilizam os seus dados diários de focos detectados formam uma série temporal ao longo dos anos, de forma que a tendência do número de surtos na mesma área e em áreas diferentes pode ser analisada durante o período relevante. O </w:t>
      </w:r>
      <w:r>
        <w:rPr>
          <w:lang w:val="pt-BR"/>
        </w:rPr>
        <w:t xml:space="preserve">satélite </w:t>
      </w:r>
      <w:r>
        <w:rPr>
          <w:lang w:val="pt-BR"/>
        </w:rPr>
        <w:t xml:space="preserve">NOAA-12 foi usado de 1 de junho de 1998 </w:t>
      </w:r>
      <w:r>
        <w:rPr>
          <w:lang w:val="pt-BR"/>
        </w:rPr>
        <w:t xml:space="preserve">a</w:t>
      </w:r>
      <w:r>
        <w:rPr>
          <w:lang w:val="pt-BR"/>
        </w:rPr>
        <w:t xml:space="preserve"> 3 de julho de 2002, e o AQUA_M-T foi usado depois disso, essa mudança resultou em descontinuidades no número de focos observados na análise dos dados. Quando o satélite AQUA</w:t>
      </w:r>
      <w:r>
        <w:rPr>
          <w:lang w:val="pt-BR"/>
        </w:rPr>
        <w:t xml:space="preserve">_M-T</w:t>
      </w:r>
      <w:r>
        <w:rPr>
          <w:lang w:val="pt-BR"/>
        </w:rPr>
        <w:t xml:space="preserve"> deixar de operar, o que é esperado em futuro próximo, pois ultrapassou </w:t>
      </w:r>
      <w:r>
        <w:rPr>
          <w:lang w:val="pt-BR"/>
        </w:rPr>
        <w:t xml:space="preserve">bastante</w:t>
      </w:r>
      <w:r>
        <w:rPr>
          <w:lang w:val="pt-BR"/>
        </w:rPr>
        <w:t xml:space="preserve"> sua vida útil, o satélite de referên</w:t>
      </w:r>
      <w:r>
        <w:rPr>
          <w:lang w:val="pt-BR"/>
        </w:rPr>
        <w:t xml:space="preserve">cia passará a ser o NPP-SUOMI da NASA+NOAA DoD dos EUA, lançado em outubro de 2011, utilizado no monitoramento de focos pelo INPE desde 2012, a compatibilidade entre as séries será então ajustada cautelosamente, o novo satélite detecta 10 vezes mais focos.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O ponto focal, detectado por es</w:t>
      </w:r>
      <w:r>
        <w:rPr>
          <w:lang w:val="pt-BR"/>
        </w:rPr>
        <w:t xml:space="preserve">s</w:t>
      </w:r>
      <w:r>
        <w:rPr>
          <w:lang w:val="pt-BR"/>
        </w:rPr>
        <w:t xml:space="preserve">es satélites, indica a presença de incêndio no elemento de resolução da imagem (pixel), que varia de 375 m x 375 m à 5 km x 4 km, dependendo do satélite. </w:t>
      </w:r>
      <w:r>
        <w:rPr>
          <w:lang w:val="pt-BR"/>
        </w:rPr>
        <w:t xml:space="preserve">Vale </w:t>
      </w:r>
      <w:r>
        <w:rPr>
          <w:lang w:val="pt-BR"/>
        </w:rPr>
        <w:t xml:space="preserve">considerar que pode haver uma ou várias frentes de fogo ativas diferen</w:t>
      </w:r>
      <w:r>
        <w:rPr>
          <w:lang w:val="pt-BR"/>
        </w:rPr>
        <w:t xml:space="preserve">tes neste pixel, indicando que será um único foco ou ponto. Além disso, é comum que vários satélites detectem o mesmo evento em um dia, portanto, os mapas e tabelas que mostram o foco de todos os satélites ao longo do dia detectarão o mesmo evento, mas não</w:t>
      </w:r>
      <w:r>
        <w:rPr>
          <w:lang w:val="pt-BR"/>
        </w:rPr>
        <w:t xml:space="preserve"> repetirão o foco. Além disso, em muitos casos, devido à variação natural do tamanho do pixel entre diferentes satélites, o mesmo evento de incêndio em vegetação pode ser indicado a uma distância de vários quilômetros, dependendo do satélite que o detecta.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Entretanto, a detecção dos focos não é tão simples para a maioria das pessoas, pois apesar de ser feita com telescópios ó</w:t>
      </w:r>
      <w:r>
        <w:rPr>
          <w:lang w:val="pt-BR"/>
        </w:rPr>
        <w:t xml:space="preserve">ticos, a informação utilizada não está no intervalo de luz visível, e sim dentro da faixa de energia infravermelha. Estes princípios físicos e os algoritmos utilizados para validar o foco está intimamente ligado ao tipo de sensor responsável pela detecção.</w:t>
      </w:r>
      <w:r/>
    </w:p>
    <w:p>
      <w:pPr>
        <w:pStyle w:val="795"/>
        <w:rPr>
          <w:lang w:val="pt-BR"/>
        </w:rPr>
      </w:pPr>
      <w:r>
        <w:rPr>
          <w:lang w:val="pt-BR"/>
        </w:rPr>
        <w:t xml:space="preserve">3</w:t>
      </w:r>
      <w:r>
        <w:rPr>
          <w:lang w:val="pt-BR"/>
        </w:rPr>
        <w:t xml:space="preserve">. </w:t>
      </w:r>
      <w:r>
        <w:rPr>
          <w:lang w:val="pt-BR"/>
        </w:rPr>
        <w:t xml:space="preserve">Metodologia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O Estudo trata de uma análise exploratória dos dados de focos de queimada entre os anos de 2000 e 2020, os </w:t>
      </w:r>
      <w:r>
        <w:rPr>
          <w:i/>
          <w:iCs/>
          <w:lang w:val="pt-BR"/>
        </w:rPr>
        <w:t xml:space="preserve">datasets</w:t>
      </w:r>
      <w:r>
        <w:rPr>
          <w:lang w:val="pt-BR"/>
        </w:rPr>
        <w:t xml:space="preserve"> em questão foram retirados do programa de queimadas do Instituto Nacional de Pesquisas Espaciais (INPE). No total foram </w:t>
      </w:r>
      <w:r>
        <w:rPr>
          <w:lang w:val="pt-BR"/>
        </w:rPr>
        <w:t xml:space="preserve">analisados 5 </w:t>
      </w:r>
      <w:r>
        <w:rPr>
          <w:i/>
          <w:iCs/>
          <w:lang w:val="pt-BR"/>
        </w:rPr>
        <w:t xml:space="preserve">datasets</w:t>
      </w:r>
      <w:r>
        <w:rPr>
          <w:lang w:val="pt-BR"/>
        </w:rPr>
        <w:t xml:space="preserve"> referentes às regiões brasileiras, no decorrer do projeto houve a necessidade de se criar um sexto </w:t>
      </w:r>
      <w:r>
        <w:rPr>
          <w:i/>
          <w:iCs/>
          <w:lang w:val="pt-BR"/>
        </w:rPr>
        <w:t xml:space="preserve">dataset</w:t>
      </w:r>
      <w:r>
        <w:rPr>
          <w:lang w:val="pt-BR"/>
        </w:rPr>
        <w:t xml:space="preserve"> no objetivo de </w:t>
      </w:r>
      <w:r>
        <w:rPr>
          <w:lang w:val="pt-BR"/>
        </w:rPr>
        <w:t xml:space="preserve">agrupa</w:t>
      </w:r>
      <w:r>
        <w:rPr>
          <w:lang w:val="pt-BR"/>
        </w:rPr>
        <w:t xml:space="preserve">r os dados de todo o país para entender o contexto nacional.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Inicialmente, foi necessário um aprofundamento no domínio do problema, feito através de estudos bibliográficos com artigos científicos e periódicos. Em um segundo momento foi efetuado o pré-processamento dos dados, no qual fo</w:t>
      </w:r>
      <w:r>
        <w:rPr>
          <w:lang w:val="pt-BR"/>
        </w:rPr>
        <w:t xml:space="preserve">ram</w:t>
      </w:r>
      <w:r>
        <w:rPr>
          <w:lang w:val="pt-BR"/>
        </w:rPr>
        <w:t xml:space="preserve"> retirado</w:t>
      </w:r>
      <w:r>
        <w:rPr>
          <w:lang w:val="pt-BR"/>
        </w:rPr>
        <w:t xml:space="preserve">s</w:t>
      </w:r>
      <w:r>
        <w:rPr>
          <w:lang w:val="pt-BR"/>
        </w:rPr>
        <w:t xml:space="preserve"> do</w:t>
      </w:r>
      <w:r>
        <w:rPr>
          <w:lang w:val="pt-BR"/>
        </w:rPr>
        <w:t xml:space="preserve">s</w:t>
      </w:r>
      <w:r>
        <w:rPr>
          <w:lang w:val="pt-BR"/>
        </w:rPr>
        <w:t xml:space="preserve"> </w:t>
      </w:r>
      <w:r>
        <w:rPr>
          <w:i/>
          <w:iCs/>
          <w:lang w:val="pt-BR"/>
        </w:rPr>
        <w:t xml:space="preserve">data</w:t>
      </w:r>
      <w:r>
        <w:rPr>
          <w:i/>
          <w:iCs/>
          <w:lang w:val="pt-BR"/>
        </w:rPr>
        <w:t xml:space="preserve">sets</w:t>
      </w:r>
      <w:r>
        <w:rPr>
          <w:lang w:val="pt-BR"/>
        </w:rPr>
        <w:t xml:space="preserve"> os dados não desejados, repetidos e/ou ausentes, possibilitando efetuar a análise estatística desc</w:t>
      </w:r>
      <w:r>
        <w:rPr>
          <w:lang w:val="pt-BR"/>
        </w:rPr>
        <w:t xml:space="preserve">ritiva. Ademais, foram gerados gráficos e informações que possibilitaram entender a evolução histórica dos focos de queimadas nas regiões brasileiras, identificando os pontos críticos, máximos e mínimos e variações abruptas no intervalo de anos em questão.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A implementação dos códigos e algoritmos foi feita através do ambiente de desenvolvimento do </w:t>
      </w:r>
      <w:r>
        <w:rPr>
          <w:i/>
          <w:iCs/>
          <w:lang w:val="pt-BR"/>
        </w:rPr>
        <w:t xml:space="preserve">Jupyter Notebook</w:t>
      </w:r>
      <w:r>
        <w:rPr>
          <w:lang w:val="pt-BR"/>
        </w:rPr>
        <w:t xml:space="preserve"> com a utilização da linguagem</w:t>
      </w:r>
      <w:r>
        <w:rPr>
          <w:lang w:val="pt-BR"/>
        </w:rPr>
        <w:t xml:space="preserve"> de programação</w:t>
      </w:r>
      <w:r>
        <w:rPr>
          <w:lang w:val="pt-BR"/>
        </w:rPr>
        <w:t xml:space="preserve"> Python</w:t>
      </w:r>
      <w:r>
        <w:rPr>
          <w:lang w:val="pt-BR"/>
        </w:rPr>
        <w:t xml:space="preserve"> e</w:t>
      </w:r>
      <w:r>
        <w:rPr>
          <w:lang w:val="pt-BR"/>
        </w:rPr>
        <w:t xml:space="preserve"> para compartilhamento de dados e informações foi usado um repositório no GitHub.</w:t>
      </w:r>
      <w:r>
        <w:rPr>
          <w:lang w:val="pt-BR"/>
        </w:rPr>
        <w:t xml:space="preserve"> </w:t>
      </w:r>
      <w:r/>
    </w:p>
    <w:p>
      <w:pPr>
        <w:pStyle w:val="795"/>
        <w:rPr>
          <w:lang w:val="pt-BR"/>
        </w:rPr>
      </w:pPr>
      <w:r>
        <w:rPr>
          <w:lang w:val="pt-BR"/>
        </w:rPr>
        <w:t xml:space="preserve">4</w:t>
      </w:r>
      <w:r>
        <w:rPr>
          <w:lang w:val="pt-BR"/>
        </w:rPr>
        <w:t xml:space="preserve">. </w:t>
      </w:r>
      <w:r>
        <w:rPr>
          <w:lang w:val="pt-BR"/>
        </w:rPr>
        <w:t xml:space="preserve">Resultados e Discussões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Os resultados obtidos a partir das análises dos </w:t>
      </w:r>
      <w:r>
        <w:rPr>
          <w:i/>
          <w:iCs/>
          <w:lang w:val="pt-BR"/>
        </w:rPr>
        <w:t xml:space="preserve">datasets</w:t>
      </w:r>
      <w:r>
        <w:rPr>
          <w:lang w:val="pt-BR"/>
        </w:rPr>
        <w:t xml:space="preserve"> foram agrupados em seis tópicos, sendo assim divididos:</w:t>
      </w:r>
      <w:r/>
    </w:p>
    <w:p>
      <w:pPr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Um tópico para cada região brasileira, totalizando cinco tópicos, sendo distribuídos na seguinte ordem: região Nordeste, </w:t>
      </w:r>
      <w:r>
        <w:rPr>
          <w:lang w:val="pt-BR"/>
        </w:rPr>
        <w:t xml:space="preserve">região Norte, região Centro-Oeste, região Sudeste e região Sul. Cada tópico apresenta uma avaliação estatística da distribuição temporal dos focos de queimadas ocorridos entre os anos 2000 e 2020, bem como uma perspectiva do último ano da série histórica; </w:t>
      </w:r>
      <w:r/>
    </w:p>
    <w:p>
      <w:pPr>
        <w:numPr>
          <w:ilvl w:val="0"/>
          <w:numId w:val="21"/>
        </w:numPr>
        <w:rPr>
          <w:b/>
          <w:lang w:val="pt-BR"/>
        </w:rPr>
      </w:pPr>
      <w:r>
        <w:rPr>
          <w:lang w:val="pt-BR"/>
        </w:rPr>
        <w:t xml:space="preserve">Um tópico final contendo uma síntese comparativa entre as regiões, bem como uma análise geral da distribuição temporal dos focos de queimadas em todo o território brasileiro. </w:t>
      </w:r>
      <w:r/>
    </w:p>
    <w:p>
      <w:pPr>
        <w:pStyle w:val="796"/>
        <w:rPr>
          <w:lang w:val="pt-BR"/>
        </w:rPr>
      </w:pPr>
      <w:r>
        <w:rPr>
          <w:lang w:val="pt-BR"/>
        </w:rPr>
        <w:t xml:space="preserve">4.1. Distribuição Temporal dos Focos de Queimadas na Região Nordeste</w:t>
      </w:r>
      <w:r/>
    </w:p>
    <w:p>
      <w:pPr>
        <w:pStyle w:val="815"/>
        <w:ind w:firstLine="567"/>
        <w:jc w:val="both"/>
        <w:spacing w:after="240" w:afterAutospacing="0" w:before="240" w:beforeAutospacing="0"/>
      </w:pPr>
      <w:r>
        <w:rPr>
          <w:color w:val="000000"/>
        </w:rPr>
        <w:t xml:space="preserve">Segundo dados do IBGE, a região nordeste é a terceira maior do Brasil, constituída de 9 estados e ocupa cerca de 18,2% de todo o território nacional, sendo uma área de aproximadamente 1.552.175,412 km²</w:t>
      </w:r>
      <w:r>
        <w:rPr>
          <w:color w:val="000000"/>
        </w:rPr>
        <w:t xml:space="preserve"> </w:t>
      </w:r>
      <w:r>
        <w:t xml:space="preserve">[</w:t>
      </w:r>
      <w:r>
        <w:t xml:space="preserve">IBGE 2021</w:t>
      </w:r>
      <w:r>
        <w:t xml:space="preserve">]</w:t>
      </w:r>
      <w:r>
        <w:rPr>
          <w:color w:val="000000"/>
        </w:rPr>
        <w:t xml:space="preserve">. No que </w:t>
      </w:r>
      <w:r>
        <w:rPr>
          <w:color w:val="000000"/>
        </w:rPr>
        <w:t xml:space="preserve">se </w:t>
      </w:r>
      <w:r>
        <w:rPr>
          <w:color w:val="000000"/>
        </w:rPr>
        <w:t xml:space="preserve">refere às queimadas, devido às suas grandes dimensões, apresenta o segundo maior número de focos no período analisado (1.198.958 focos), o equivalente a 24.86% do valor total do país. </w:t>
      </w:r>
      <w:r/>
    </w:p>
    <w:p>
      <w:pPr>
        <w:pStyle w:val="815"/>
        <w:ind w:firstLine="567"/>
        <w:jc w:val="both"/>
        <w:spacing w:after="240" w:afterAutospacing="0" w:before="0" w:beforeAutospacing="0"/>
        <w:rPr>
          <w:color w:val="000000"/>
        </w:rPr>
      </w:pPr>
      <w:r>
        <w:rPr>
          <w:color w:val="000000"/>
        </w:rPr>
        <w:t xml:space="preserve">A média do número de focos de queimadas anuais no Nordeste é 57.093, bem próximo a m</w:t>
      </w:r>
      <w:r>
        <w:rPr>
          <w:color w:val="000000"/>
        </w:rPr>
        <w:t xml:space="preserve">ediana (51.555). Apesar da pequena diferença entre os valores, a região tem um desvio padrão de 20.357, aproximadamente 36% do valor médio, o que demonstra uma grande variabilidade anual, que pode ser notado no histograma com os números de focos anuais da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_Ref87367821 \h </w:instrText>
      </w:r>
      <w:r>
        <w:rPr>
          <w:color w:val="000000"/>
        </w:rPr>
        <w:fldChar w:fldCharType="separate"/>
      </w:r>
      <w:r>
        <w:t xml:space="preserve">Figura </w:t>
      </w:r>
      <w:r>
        <w:t xml:space="preserve">1</w:t>
      </w:r>
      <w:r>
        <w:rPr>
          <w:color w:val="000000"/>
        </w:rPr>
        <w:fldChar w:fldCharType="end"/>
      </w:r>
      <w:r>
        <w:rPr>
          <w:color w:val="000000"/>
        </w:rPr>
        <w:t xml:space="preserve">.</w:t>
      </w:r>
      <w:r/>
    </w:p>
    <w:tbl>
      <w:tblPr>
        <w:tblW w:w="0" w:type="auto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834"/>
      </w:tblGrid>
      <w:tr>
        <w:trPr>
          <w:jc w:val="center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815"/>
              <w:keepNext/>
              <w:spacing w:after="0" w:afterAutospacing="0" w:before="0" w:beforeAutospacing="0"/>
            </w:pPr>
            <w:r/>
            <w:bookmarkStart w:id="0" w:name="_Hlk87369596"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835525" cy="2523490"/>
                      <wp:effectExtent l="0" t="0" r="0" b="0"/>
                      <wp:docPr id="1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hidden="0"/>
                              <pic:cNvPicPr/>
                              <pic:nvPr isPhoto="0" userDrawn="0"/>
                            </pic:nvPicPr>
                            <pic:blipFill>
                              <a:blip r:embed="rId18"/>
                              <a:srcRect l="0" t="9477" r="6007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35525" cy="2523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80.8pt;height:198.7pt;" stroked="f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3"/>
        <w:rPr>
          <w:lang w:val="pt-BR"/>
        </w:rPr>
      </w:pPr>
      <w:r/>
      <w:bookmarkStart w:id="1" w:name="_Ref87367821"/>
      <w:r>
        <w:rPr>
          <w:lang w:val="pt-BR"/>
        </w:rPr>
        <w:t xml:space="preserve">Figura </w:t>
      </w:r>
      <w:r>
        <w:fldChar w:fldCharType="begin"/>
      </w:r>
      <w:r>
        <w:rPr>
          <w:lang w:val="pt-BR"/>
        </w:rPr>
        <w:instrText xml:space="preserve"> SEQ Figura \* ARABIC </w:instrText>
      </w:r>
      <w:r>
        <w:fldChar w:fldCharType="separate"/>
      </w:r>
      <w:r>
        <w:rPr>
          <w:lang w:val="pt-BR"/>
        </w:rPr>
        <w:t xml:space="preserve">1</w:t>
      </w:r>
      <w:r>
        <w:fldChar w:fldCharType="end"/>
      </w:r>
      <w:bookmarkEnd w:id="1"/>
      <w:r>
        <w:rPr>
          <w:lang w:val="pt-BR"/>
        </w:rPr>
        <w:t xml:space="preserve">. </w:t>
      </w:r>
      <w:r>
        <w:rPr>
          <w:lang w:val="pt-BR"/>
        </w:rPr>
        <w:t xml:space="preserve">Série histórica do total de focos de incêndios para a região Nordeste no período de 2000 a 2020</w:t>
      </w:r>
      <w:r/>
    </w:p>
    <w:p>
      <w:pPr>
        <w:rPr>
          <w:lang w:val="pt-BR"/>
        </w:rPr>
      </w:pPr>
      <w:r>
        <w:rPr>
          <w:lang w:val="pt-BR"/>
        </w:rPr>
        <w:t xml:space="preserve">Al</w:t>
      </w:r>
      <w:bookmarkEnd w:id="0"/>
      <w:r>
        <w:rPr>
          <w:lang w:val="pt-BR"/>
        </w:rPr>
        <w:t xml:space="preserve">guns dados do gráfico devem receber atenção especial, entre eles podemos citar:</w:t>
      </w:r>
      <w:r/>
    </w:p>
    <w:p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O ano de 2007 teve o maior número de focos no período analisado, 104.109 focos, cerca de 403% do ano com menor valor, a amplitude máxima é de 79.907, valor consideravelmente acima da média anual da região</w:t>
      </w:r>
      <w:r>
        <w:rPr>
          <w:lang w:val="pt-BR"/>
        </w:rPr>
        <w:t xml:space="preserve">;</w:t>
      </w:r>
      <w:r/>
    </w:p>
    <w:p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Doze anos apresentaram valores menores do que a média, sendo 2000 o ano com menor número em toda a série, cerca de 24.202 focos.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Analisando a série em intervalos de 5 anos em busca dos meses que apresentaram</w:t>
      </w:r>
      <w:r>
        <w:rPr>
          <w:lang w:val="pt-BR"/>
        </w:rPr>
        <w:t xml:space="preserve"> as maiores e menores concentrações de focos de incêndio, tem-se o resumo apresentado 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_Ref87368786 \h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Tabela </w:t>
      </w:r>
      <w:r>
        <w:rPr>
          <w:lang w:val="pt-BR"/>
        </w:rPr>
        <w:t xml:space="preserve">1</w:t>
      </w:r>
      <w:r>
        <w:rPr>
          <w:lang w:val="pt-BR"/>
        </w:rPr>
        <w:fldChar w:fldCharType="end"/>
      </w:r>
      <w:r>
        <w:rPr>
          <w:lang w:val="pt-BR"/>
        </w:rPr>
        <w:t xml:space="preserve">.</w:t>
      </w:r>
      <w:r>
        <w:rPr>
          <w:lang w:val="pt-BR"/>
        </w:rPr>
        <w:t xml:space="preserve"> Note que o mês de setembro de 2007 ostenta o máximo de histórico ocorrido (27403 focos), enquanto o mês de março de 2001 ostenta o mínimo histórico (7 focos).</w:t>
      </w:r>
      <w:r/>
    </w:p>
    <w:p>
      <w:pPr>
        <w:ind w:firstLine="567"/>
        <w:rPr>
          <w:lang w:val="pt-BR"/>
        </w:rPr>
      </w:pPr>
      <w:r>
        <w:rPr>
          <w:lang w:val="pt-BR"/>
        </w:rPr>
      </w:r>
      <w:r/>
    </w:p>
    <w:p>
      <w:pPr>
        <w:pStyle w:val="813"/>
        <w:keepNext/>
        <w:rPr>
          <w:lang w:val="pt-BR"/>
        </w:rPr>
      </w:pPr>
      <w:r/>
      <w:bookmarkStart w:id="2" w:name="_Ref87368786"/>
      <w:r>
        <w:rPr>
          <w:lang w:val="pt-BR"/>
        </w:rPr>
        <w:t xml:space="preserve">Tabela </w:t>
      </w:r>
      <w:r>
        <w:fldChar w:fldCharType="begin"/>
      </w:r>
      <w:r>
        <w:rPr>
          <w:lang w:val="pt-BR"/>
        </w:rPr>
        <w:instrText xml:space="preserve"> SEQ Tabela \* ARABIC </w:instrText>
      </w:r>
      <w:r>
        <w:fldChar w:fldCharType="separate"/>
      </w:r>
      <w:r>
        <w:rPr>
          <w:lang w:val="pt-BR"/>
        </w:rPr>
        <w:t xml:space="preserve">1</w:t>
      </w:r>
      <w:r>
        <w:fldChar w:fldCharType="end"/>
      </w:r>
      <w:bookmarkEnd w:id="2"/>
      <w:r>
        <w:rPr>
          <w:lang w:val="pt-BR"/>
        </w:rPr>
        <w:t xml:space="preserve">. </w:t>
      </w:r>
      <w:r>
        <w:rPr>
          <w:lang w:val="pt-BR"/>
        </w:rPr>
        <w:t xml:space="preserve">Comparativo dos valores m</w:t>
      </w:r>
      <w:r>
        <w:rPr>
          <w:lang w:val="pt-BR"/>
        </w:rPr>
        <w:t xml:space="preserve">áximos e mínimos observados em intervalos de 5 anos para a região Nordeste</w:t>
      </w:r>
      <w:r/>
    </w:p>
    <w:tbl>
      <w:tblPr>
        <w:tblW w:w="0" w:type="auto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1683"/>
        <w:gridCol w:w="1856"/>
        <w:gridCol w:w="1683"/>
        <w:gridCol w:w="1816"/>
      </w:tblGrid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Intervalos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Mês/Ano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Focos</w:t>
            </w:r>
            <w:r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 xml:space="preserve">- Máximo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Mês/Ano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</w:rPr>
              <w:t xml:space="preserve">F</w:t>
            </w:r>
            <w:r>
              <w:rPr>
                <w:b/>
                <w:bCs/>
              </w:rPr>
              <w:t xml:space="preserve">ocos</w:t>
            </w:r>
            <w:r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 xml:space="preserve">- Mínimo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2000-2005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Outubro/2005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23891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Março/2001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7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2005-2010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Setembro/2007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27403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Maio/2009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87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2010-2015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Setembro/2012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19031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Fevereiro/2014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196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2015-2020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Setembro/2017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13025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Fevereiro/2018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124</w:t>
            </w:r>
            <w:r/>
          </w:p>
        </w:tc>
      </w:tr>
    </w:tbl>
    <w:p>
      <w:pPr>
        <w:rPr>
          <w:lang w:val="pt-BR"/>
        </w:rPr>
      </w:pPr>
      <w:r>
        <w:rPr>
          <w:lang w:val="pt-BR"/>
        </w:rPr>
      </w:r>
      <w:r/>
    </w:p>
    <w:p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 xml:space="preserve">O gráfico representado na Figura 2 mostra os máxi</w:t>
      </w:r>
      <w:r>
        <w:rPr>
          <w:lang w:val="pt-BR"/>
        </w:rPr>
        <w:t xml:space="preserve">mos mínimos e médias do intervalo do estudo em comparação com o ano de 2020. É possível observar que para a região nordeste todos os meses ficaram abaixo da média, com a concentração do número de focos no segundo semestre, devido ao baixo índice de chuvas.</w:t>
      </w:r>
      <w:r/>
    </w:p>
    <w:p>
      <w:pPr>
        <w:rPr>
          <w:lang w:val="pt-BR"/>
        </w:rPr>
      </w:pPr>
      <w:r>
        <w:rPr>
          <w:lang w:val="pt-BR"/>
        </w:rPr>
      </w:r>
      <w:r/>
    </w:p>
    <w:tbl>
      <w:tblPr>
        <w:tblW w:w="0" w:type="auto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708"/>
      </w:tblGrid>
      <w:tr>
        <w:trPr>
          <w:jc w:val="center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815"/>
              <w:keepNext/>
              <w:spacing w:after="0" w:afterAutospacing="0" w:before="0" w:beforeAutospacing="0"/>
            </w:pPr>
            <w:r>
              <w:rPr>
                <w:color w:val="00000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391150" cy="2523490"/>
                      <wp:effectExtent l="0" t="0" r="0" b="0"/>
                      <wp:docPr id="2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hidden="0"/>
                              <pic:cNvPicPr/>
                              <pic:nvPr isPhoto="0" userDrawn="0"/>
                            </pic:nvPicPr>
                            <pic:blipFill>
                              <a:blip r:embed="rId19"/>
                              <a:srcRect l="0" t="13902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391150" cy="2523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424.5pt;height:198.7pt;" stroked="f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3"/>
        <w:rPr>
          <w:lang w:val="pt-BR"/>
        </w:rPr>
      </w:pPr>
      <w:r/>
      <w:bookmarkStart w:id="3" w:name="_Ref87369434"/>
      <w:r>
        <w:rPr>
          <w:lang w:val="pt-BR"/>
        </w:rPr>
        <w:t xml:space="preserve">Figura </w:t>
      </w:r>
      <w:r>
        <w:fldChar w:fldCharType="begin"/>
      </w:r>
      <w:r>
        <w:rPr>
          <w:lang w:val="pt-BR"/>
        </w:rPr>
        <w:instrText xml:space="preserve"> SEQ Figura \* ARABIC </w:instrText>
      </w:r>
      <w:r>
        <w:fldChar w:fldCharType="separate"/>
      </w:r>
      <w:r>
        <w:rPr>
          <w:lang w:val="pt-BR"/>
        </w:rPr>
        <w:t xml:space="preserve">2</w:t>
      </w:r>
      <w:r>
        <w:fldChar w:fldCharType="end"/>
      </w:r>
      <w:bookmarkEnd w:id="3"/>
      <w:r>
        <w:rPr>
          <w:lang w:val="pt-BR"/>
        </w:rPr>
        <w:t xml:space="preserve">. </w:t>
      </w:r>
      <w:r>
        <w:rPr>
          <w:lang w:val="pt-BR"/>
        </w:rPr>
        <w:t xml:space="preserve">Comparativo dos dados do ano 2020 com os valores máximos, médios e mínimos, no período de 2000 a 2020 para região Nordeste</w:t>
      </w:r>
      <w:r/>
    </w:p>
    <w:p>
      <w:pPr>
        <w:pStyle w:val="796"/>
        <w:rPr>
          <w:lang w:val="pt-BR"/>
        </w:rPr>
      </w:pPr>
      <w:r>
        <w:rPr>
          <w:lang w:val="pt-BR"/>
        </w:rPr>
        <w:t xml:space="preserve">4.2. </w:t>
      </w:r>
      <w:r>
        <w:rPr>
          <w:lang w:val="pt-BR"/>
        </w:rPr>
        <w:t xml:space="preserve">Distribuição temporal dos focos de queimadas na região Norte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O Norte é a maior região do país e é onde está localizada a maior parte da Amazônia atual, por esse motivo requer um cuidado maior com relação às queimadas. Com área total de 3.850.516,282 km²</w:t>
      </w:r>
      <w:r>
        <w:rPr>
          <w:lang w:val="pt-BR"/>
        </w:rPr>
        <w:t xml:space="preserve"> [</w:t>
      </w:r>
      <w:r>
        <w:rPr>
          <w:lang w:val="pt-BR"/>
        </w:rPr>
        <w:t xml:space="preserve">IBGE 2021</w:t>
      </w:r>
      <w:r>
        <w:rPr>
          <w:lang w:val="pt-BR"/>
        </w:rPr>
        <w:t xml:space="preserve">]</w:t>
      </w:r>
      <w:r>
        <w:rPr>
          <w:lang w:val="pt-BR"/>
        </w:rPr>
        <w:t xml:space="preserve">, a região norte ocupa cerca de 45,2% do território nacional e consequentemente é responsável por 40,66% do número de focos de queimadas no país, 1.961.282 focos distribuídos entre os anos 2000 e 2020.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Os dados de focos de queimadas para esta região devem receber atenção especial no que se refere a captação por satélite, pois, segundo o INPE (Instituto Nacional de Pesquisas Espaciais) o satélite</w:t>
      </w:r>
      <w:r>
        <w:rPr>
          <w:lang w:val="pt-BR"/>
        </w:rPr>
        <w:t xml:space="preserve"> de referência utilizado até o ano de 2012 havia limitações operacionais quanto a cobertura de monitoramento nas partes norte e noroeste do país, resultando em quantidade inferiores ao ocorrido. Os dados históricos anuais podem ser vistos no histograma da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_Ref87369630 \h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Figura </w:t>
      </w:r>
      <w:r>
        <w:rPr>
          <w:lang w:val="pt-BR"/>
        </w:rPr>
        <w:t xml:space="preserve">3</w:t>
      </w:r>
      <w:r>
        <w:rPr>
          <w:lang w:val="pt-BR"/>
        </w:rPr>
        <w:fldChar w:fldCharType="end"/>
      </w:r>
      <w:r>
        <w:rPr>
          <w:lang w:val="pt-BR"/>
        </w:rPr>
        <w:t xml:space="preserve">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 </w:t>
      </w:r>
      <w:r/>
    </w:p>
    <w:tbl>
      <w:tblPr>
        <w:tblW w:w="0" w:type="auto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747"/>
      </w:tblGrid>
      <w:tr>
        <w:trPr>
          <w:jc w:val="center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815"/>
              <w:keepNext/>
              <w:spacing w:after="0" w:afterAutospacing="0" w:before="0" w:beforeAutospacing="0"/>
            </w:pPr>
            <w:r>
              <w:rPr>
                <w:color w:val="00000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4090" cy="2523490"/>
                      <wp:effectExtent l="0" t="0" r="0" b="0"/>
                      <wp:docPr id="3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 hidden="0"/>
                              <pic:cNvPicPr/>
                              <pic:nvPr isPhoto="0" userDrawn="0"/>
                            </pic:nvPicPr>
                            <pic:blipFill>
                              <a:blip r:embed="rId20"/>
                              <a:srcRect l="0" t="8496" r="6183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784090" cy="2523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376.7pt;height:198.7pt;" stroked="f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3"/>
        <w:rPr>
          <w:lang w:val="pt-BR"/>
        </w:rPr>
      </w:pPr>
      <w:r/>
      <w:bookmarkStart w:id="4" w:name="_Ref87369630"/>
      <w:r>
        <w:rPr>
          <w:lang w:val="pt-BR"/>
        </w:rPr>
        <w:t xml:space="preserve">Figura </w:t>
      </w:r>
      <w:r>
        <w:fldChar w:fldCharType="begin"/>
      </w:r>
      <w:r>
        <w:rPr>
          <w:lang w:val="pt-BR"/>
        </w:rPr>
        <w:instrText xml:space="preserve"> SEQ Figura \* ARABIC </w:instrText>
      </w:r>
      <w:r>
        <w:fldChar w:fldCharType="separate"/>
      </w:r>
      <w:r>
        <w:rPr>
          <w:lang w:val="pt-BR"/>
        </w:rPr>
        <w:t xml:space="preserve">3</w:t>
      </w:r>
      <w:r>
        <w:fldChar w:fldCharType="end"/>
      </w:r>
      <w:bookmarkEnd w:id="4"/>
      <w:r>
        <w:rPr>
          <w:lang w:val="pt-BR"/>
        </w:rPr>
        <w:t xml:space="preserve">. Série histórica do total de focos de incêndios para a região Norte no período de 2000 a 2020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A média do número de focos anuais para o norte é aproximadamente 93.394, com desvio pa</w:t>
      </w:r>
      <w:r>
        <w:rPr>
          <w:lang w:val="pt-BR"/>
        </w:rPr>
        <w:t xml:space="preserve">drão de 35.879,22, demonstrando grande valores com alta variabilidade. Os anos de maior e menor incidência foram respectivamente 2005 e 2000, com máximo de 164.458 e mínimo 32.162 focos de queimadas, sendo observado um aumento de 511,34% entre os extremos.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_Ref87517949 \h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Tabela </w:t>
      </w:r>
      <w:r>
        <w:rPr>
          <w:lang w:val="pt-BR"/>
        </w:rPr>
        <w:t xml:space="preserve">2</w:t>
      </w:r>
      <w:r>
        <w:rPr>
          <w:lang w:val="pt-BR"/>
        </w:rPr>
        <w:fldChar w:fldCharType="end"/>
      </w:r>
      <w:r>
        <w:rPr>
          <w:lang w:val="pt-BR"/>
        </w:rPr>
        <w:t xml:space="preserve"> apresenta um</w:t>
      </w:r>
      <w:r>
        <w:rPr>
          <w:lang w:val="pt-BR"/>
        </w:rPr>
        <w:t xml:space="preserve"> comparativo dos valores mensais</w:t>
      </w:r>
      <w:r>
        <w:rPr>
          <w:lang w:val="pt-BR"/>
        </w:rPr>
        <w:t xml:space="preserve">, máximos e mínimos,</w:t>
      </w:r>
      <w:r>
        <w:rPr>
          <w:lang w:val="pt-BR"/>
        </w:rPr>
        <w:t xml:space="preserve"> o</w:t>
      </w:r>
      <w:r>
        <w:rPr>
          <w:lang w:val="pt-BR"/>
        </w:rPr>
        <w:t xml:space="preserve">btidos em intervalos de 5 anos dentro de todo o período </w:t>
      </w:r>
      <w:r>
        <w:rPr>
          <w:lang w:val="pt-BR"/>
        </w:rPr>
        <w:t xml:space="preserve">(2000-2020) e </w:t>
      </w:r>
      <w:r>
        <w:rPr>
          <w:lang w:val="pt-BR"/>
        </w:rPr>
        <w:t xml:space="preserve">alguns pontos podem ser destacados</w:t>
      </w:r>
      <w:r>
        <w:rPr>
          <w:lang w:val="pt-BR"/>
        </w:rPr>
        <w:t xml:space="preserve">,</w:t>
      </w:r>
      <w:r>
        <w:rPr>
          <w:lang w:val="pt-BR"/>
        </w:rPr>
        <w:t xml:space="preserve"> são eles</w:t>
      </w:r>
      <w:r>
        <w:rPr>
          <w:lang w:val="pt-BR"/>
        </w:rPr>
        <w:t xml:space="preserve">:</w:t>
      </w:r>
      <w:r/>
    </w:p>
    <w:p>
      <w:pPr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O m</w:t>
      </w:r>
      <w:r>
        <w:rPr>
          <w:lang w:val="pt-BR"/>
        </w:rPr>
        <w:t xml:space="preserve">ês</w:t>
      </w:r>
      <w:r>
        <w:rPr>
          <w:lang w:val="pt-BR"/>
        </w:rPr>
        <w:t xml:space="preserve"> de</w:t>
      </w:r>
      <w:r>
        <w:rPr>
          <w:lang w:val="pt-BR"/>
        </w:rPr>
        <w:t xml:space="preserve"> </w:t>
      </w:r>
      <w:r>
        <w:rPr>
          <w:lang w:val="pt-BR"/>
        </w:rPr>
        <w:t xml:space="preserve">setembro predomina com valores elevados, com máximo em setembro de 2007, 55.304 focos de queimadas</w:t>
      </w:r>
      <w:r>
        <w:rPr>
          <w:lang w:val="pt-BR"/>
        </w:rPr>
        <w:t xml:space="preserve">;</w:t>
      </w:r>
      <w:r/>
    </w:p>
    <w:p>
      <w:pPr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O m</w:t>
      </w:r>
      <w:r>
        <w:rPr>
          <w:lang w:val="pt-BR"/>
        </w:rPr>
        <w:t xml:space="preserve">ês</w:t>
      </w:r>
      <w:r>
        <w:rPr>
          <w:lang w:val="pt-BR"/>
        </w:rPr>
        <w:t xml:space="preserve"> de fevereiro predomina com números baixos, </w:t>
      </w:r>
      <w:r>
        <w:rPr>
          <w:lang w:val="pt-BR"/>
        </w:rPr>
        <w:t xml:space="preserve">porém o mês de abril </w:t>
      </w:r>
      <w:r>
        <w:rPr>
          <w:lang w:val="pt-BR"/>
        </w:rPr>
        <w:t xml:space="preserve">de 2000</w:t>
      </w:r>
      <w:r>
        <w:rPr>
          <w:lang w:val="pt-BR"/>
        </w:rPr>
        <w:t xml:space="preserve"> foi o que concentrou o menor número de focos</w:t>
      </w:r>
      <w:r>
        <w:rPr>
          <w:lang w:val="pt-BR"/>
        </w:rPr>
        <w:t xml:space="preserve">,</w:t>
      </w:r>
      <w:r>
        <w:rPr>
          <w:lang w:val="pt-BR"/>
        </w:rPr>
        <w:t xml:space="preserve"> apenas</w:t>
      </w:r>
      <w:r>
        <w:rPr>
          <w:lang w:val="pt-BR"/>
        </w:rPr>
        <w:t xml:space="preserve"> 59 focos de queimadas</w:t>
      </w:r>
      <w:r>
        <w:rPr>
          <w:lang w:val="pt-BR"/>
        </w:rPr>
        <w:t xml:space="preserve">;</w:t>
      </w:r>
      <w:r/>
    </w:p>
    <w:p>
      <w:pPr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Variação de</w:t>
      </w:r>
      <w:r>
        <w:rPr>
          <w:lang w:val="pt-BR"/>
        </w:rPr>
        <w:t xml:space="preserve"> </w:t>
      </w:r>
      <w:r>
        <w:rPr>
          <w:lang w:val="pt-BR"/>
        </w:rPr>
        <w:t xml:space="preserve">93.375,59 % entre o mês de maior e de menor valor entre os </w:t>
      </w:r>
      <w:r>
        <w:rPr>
          <w:lang w:val="pt-BR"/>
        </w:rPr>
        <w:t xml:space="preserve">ano</w:t>
      </w:r>
      <w:r>
        <w:rPr>
          <w:lang w:val="pt-BR"/>
        </w:rPr>
        <w:t xml:space="preserve">s de estudo.</w:t>
      </w:r>
      <w:r/>
    </w:p>
    <w:p>
      <w:pPr>
        <w:ind w:firstLine="567"/>
        <w:rPr>
          <w:lang w:val="pt-BR"/>
        </w:rPr>
      </w:pPr>
      <w:r>
        <w:rPr>
          <w:lang w:val="pt-BR"/>
        </w:rPr>
      </w:r>
      <w:r/>
    </w:p>
    <w:p>
      <w:pPr>
        <w:pStyle w:val="813"/>
        <w:keepNext/>
        <w:rPr>
          <w:lang w:val="pt-BR"/>
        </w:rPr>
      </w:pPr>
      <w:r/>
      <w:bookmarkStart w:id="5" w:name="_Ref87517949"/>
      <w:r>
        <w:rPr>
          <w:lang w:val="pt-BR"/>
        </w:rPr>
        <w:t xml:space="preserve">Tabela </w:t>
      </w:r>
      <w:r>
        <w:fldChar w:fldCharType="begin"/>
      </w:r>
      <w:r>
        <w:rPr>
          <w:lang w:val="pt-BR"/>
        </w:rPr>
        <w:instrText xml:space="preserve"> SEQ Tabela \* ARABIC </w:instrText>
      </w:r>
      <w:r>
        <w:fldChar w:fldCharType="separate"/>
      </w:r>
      <w:r>
        <w:rPr>
          <w:lang w:val="pt-BR"/>
        </w:rPr>
        <w:t xml:space="preserve">2</w:t>
      </w:r>
      <w:r>
        <w:fldChar w:fldCharType="end"/>
      </w:r>
      <w:bookmarkEnd w:id="5"/>
      <w:r>
        <w:rPr>
          <w:lang w:val="pt-BR"/>
        </w:rPr>
        <w:t xml:space="preserve">. </w:t>
      </w:r>
      <w:r>
        <w:rPr>
          <w:lang w:val="pt-BR"/>
        </w:rPr>
        <w:t xml:space="preserve">Comparativo dos valores m</w:t>
      </w:r>
      <w:r>
        <w:rPr>
          <w:lang w:val="pt-BR"/>
        </w:rPr>
        <w:t xml:space="preserve">áximos e mínimos observados em intervalos de 5 anos para a região Norte</w:t>
      </w:r>
      <w:r/>
    </w:p>
    <w:tbl>
      <w:tblPr>
        <w:tblW w:w="0" w:type="auto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1683"/>
        <w:gridCol w:w="1856"/>
        <w:gridCol w:w="1683"/>
        <w:gridCol w:w="1816"/>
      </w:tblGrid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Intervalos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Mês/Ano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Focos</w:t>
            </w:r>
            <w:r>
              <w:rPr>
                <w:b/>
                <w:bCs/>
                <w:lang w:val="pt-BR"/>
              </w:rPr>
              <w:t xml:space="preserve"> - Máximo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Mês/Ano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</w:rPr>
              <w:t xml:space="preserve">Focos</w:t>
            </w:r>
            <w:r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 xml:space="preserve">- Mínimo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2000-2005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Agosto</w:t>
            </w:r>
            <w:r>
              <w:t xml:space="preserve">/2005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5</w:t>
            </w:r>
            <w:r>
              <w:t xml:space="preserve">2</w:t>
            </w:r>
            <w:r>
              <w:t xml:space="preserve">898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Abril</w:t>
            </w:r>
            <w:r>
              <w:t xml:space="preserve">/200</w:t>
            </w:r>
            <w:r>
              <w:t xml:space="preserve">0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59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2005-2010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Setembro/2007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55304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Fevereiro</w:t>
            </w:r>
            <w:r>
              <w:t xml:space="preserve">/2009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283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2010-2015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Setembro/201</w:t>
            </w:r>
            <w:r>
              <w:t xml:space="preserve">5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27301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Fevereiro/201</w:t>
            </w:r>
            <w:r>
              <w:t xml:space="preserve">3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1</w:t>
            </w:r>
            <w:r>
              <w:t xml:space="preserve">69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2015-2020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Setembro/2017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33341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Fevereiro/201</w:t>
            </w:r>
            <w:r>
              <w:t xml:space="preserve">7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202</w:t>
            </w:r>
            <w:r/>
          </w:p>
        </w:tc>
      </w:tr>
    </w:tbl>
    <w:p>
      <w:pPr>
        <w:ind w:firstLine="567"/>
        <w:rPr>
          <w:lang w:val="pt-BR"/>
        </w:rPr>
      </w:pPr>
      <w:r>
        <w:rPr>
          <w:lang w:val="pt-BR"/>
        </w:rPr>
      </w:r>
      <w:r/>
    </w:p>
    <w:p>
      <w:pPr>
        <w:rPr>
          <w:lang w:val="pt-BR"/>
        </w:rPr>
      </w:pPr>
      <w:r>
        <w:rPr>
          <w:lang w:val="pt-BR"/>
        </w:rPr>
        <w:tab/>
        <w:t xml:space="preserve">A partir do gráfico ilustrado na Figura 4 é possível perceber que os meses de  ju</w:t>
      </w:r>
      <w:r>
        <w:rPr>
          <w:lang w:val="pt-BR"/>
        </w:rPr>
        <w:t xml:space="preserve">lho, agosto e outubro tiveram núme</w:t>
      </w:r>
      <w:r>
        <w:rPr>
          <w:lang w:val="pt-BR"/>
        </w:rPr>
        <w:t xml:space="preserve">ro de focos acima da média para a região, isso ocorre devido ao fato de que é no terceiro trimestre do ano o intervalo de tempo no qual se predominam os maiores números de queimadas, pois o clima equatorial da região apresenta clima mais seco nesses meses.</w:t>
      </w:r>
      <w:r>
        <w:rPr>
          <w:highlight w:val="cyan"/>
          <w:lang w:val="pt-BR"/>
        </w:rPr>
        <w:t xml:space="preserve"> </w:t>
      </w:r>
      <w:r/>
    </w:p>
    <w:p>
      <w:pPr>
        <w:ind w:firstLine="567"/>
        <w:rPr>
          <w:lang w:val="pt-BR"/>
        </w:rPr>
      </w:pPr>
      <w:r>
        <w:rPr>
          <w:lang w:val="pt-BR"/>
        </w:rPr>
      </w:r>
      <w:r/>
    </w:p>
    <w:tbl>
      <w:tblPr>
        <w:tblW w:w="0" w:type="auto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985"/>
      </w:tblGrid>
      <w:tr>
        <w:trPr>
          <w:jc w:val="center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815"/>
              <w:keepNext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567045" cy="2523490"/>
                      <wp:effectExtent l="0" t="0" r="0" b="0"/>
                      <wp:docPr id="4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hidden="0"/>
                              <pic:cNvPicPr/>
                              <pic:nvPr isPhoto="0" userDrawn="0"/>
                            </pic:nvPicPr>
                            <pic:blipFill>
                              <a:blip r:embed="rId21"/>
                              <a:srcRect l="0" t="16338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567045" cy="2523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438.3pt;height:198.7pt;" stroked="f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3"/>
        <w:rPr>
          <w:lang w:val="pt-BR"/>
        </w:rPr>
      </w:pPr>
      <w:r>
        <w:rPr>
          <w:lang w:val="pt-BR"/>
        </w:rPr>
        <w:t xml:space="preserve">Figura </w:t>
      </w:r>
      <w:r>
        <w:fldChar w:fldCharType="begin"/>
      </w:r>
      <w:r>
        <w:rPr>
          <w:lang w:val="pt-BR"/>
        </w:rPr>
        <w:instrText xml:space="preserve"> SEQ Figura \* ARABIC </w:instrText>
      </w:r>
      <w:r>
        <w:fldChar w:fldCharType="separate"/>
      </w:r>
      <w:r>
        <w:rPr>
          <w:lang w:val="pt-BR"/>
        </w:rPr>
        <w:t xml:space="preserve">4</w:t>
      </w:r>
      <w:r>
        <w:fldChar w:fldCharType="end"/>
      </w:r>
      <w:r>
        <w:rPr>
          <w:lang w:val="pt-BR"/>
        </w:rPr>
        <w:t xml:space="preserve">. </w:t>
      </w:r>
      <w:r>
        <w:rPr>
          <w:lang w:val="pt-BR"/>
        </w:rPr>
        <w:t xml:space="preserve">Comparativo dos dados do ano 2020 com os valores máximos, médios e mínimos, no período de 2000 a 2020 para região Norte</w:t>
      </w:r>
      <w:r/>
    </w:p>
    <w:p>
      <w:pPr>
        <w:pStyle w:val="796"/>
        <w:rPr>
          <w:rFonts w:ascii="Arial" w:hAnsi="Arial" w:cs="Arial"/>
          <w:color w:val="000000"/>
          <w:sz w:val="22"/>
          <w:szCs w:val="22"/>
          <w:lang w:val="pt-BR"/>
        </w:rPr>
      </w:pPr>
      <w:r>
        <w:rPr>
          <w:lang w:val="pt-BR"/>
        </w:rPr>
        <w:t xml:space="preserve">4.3. </w:t>
      </w:r>
      <w:r>
        <w:rPr>
          <w:rFonts w:ascii="Arial" w:hAnsi="Arial" w:cs="Arial"/>
          <w:color w:val="000000"/>
          <w:sz w:val="22"/>
          <w:szCs w:val="22"/>
          <w:lang w:val="pt-BR"/>
        </w:rPr>
        <w:t xml:space="preserve">Distribuição Temporal dos Focos de Queimadas na Região Centro</w:t>
      </w:r>
      <w:r>
        <w:rPr>
          <w:rFonts w:ascii="Arial" w:hAnsi="Arial" w:cs="Arial"/>
          <w:color w:val="000000"/>
          <w:sz w:val="22"/>
          <w:szCs w:val="22"/>
          <w:lang w:val="pt-BR"/>
        </w:rPr>
        <w:t xml:space="preserve">-</w:t>
      </w:r>
      <w:r>
        <w:rPr>
          <w:rFonts w:ascii="Arial" w:hAnsi="Arial" w:cs="Arial"/>
          <w:color w:val="000000"/>
          <w:sz w:val="22"/>
          <w:szCs w:val="22"/>
          <w:lang w:val="pt-BR"/>
        </w:rPr>
        <w:t xml:space="preserve">Oeste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A região Centro-Oeste ocupa cerca de 19% do território brasileiro equivalente a uma área territorial de 1.612.000 km² </w:t>
      </w:r>
      <w:r>
        <w:rPr>
          <w:lang w:val="pt-BR"/>
        </w:rPr>
        <w:t xml:space="preserve">[</w:t>
      </w:r>
      <w:r>
        <w:rPr>
          <w:lang w:val="pt-BR"/>
        </w:rPr>
        <w:t xml:space="preserve">IBGE 2021</w:t>
      </w:r>
      <w:r>
        <w:rPr>
          <w:lang w:val="pt-BR"/>
        </w:rPr>
        <w:t xml:space="preserve">]</w:t>
      </w:r>
      <w:r>
        <w:rPr>
          <w:lang w:val="pt-BR"/>
        </w:rPr>
        <w:t xml:space="preserve">. É composta por 4 estados: Goiás, Mato Grosso, Mato Grosso do Sul e Distri</w:t>
      </w:r>
      <w:r>
        <w:rPr>
          <w:lang w:val="pt-BR"/>
        </w:rPr>
        <w:t xml:space="preserve">to Federal não são muito povoados, tendo uma das menores densidades demográficas do Brasil. No que se refere ao número de focos de queimadas durante o período analisado, a região centro oeste apresenta um total 1.148.614, equivale a 23.81% do volume total.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Co</w:t>
      </w:r>
      <w:r>
        <w:rPr>
          <w:lang w:val="pt-BR"/>
        </w:rPr>
        <w:t xml:space="preserve">m relação aos focos de queimadas na vegetação presente no Centro-Oeste, como podemos citar: Cerrado, Pantanal e uma pequena faixa da Floresta Amazônica estão relacionados com o desmatamento, principalmente destacamos o cerrado. Segundo Dados do Projeto Map</w:t>
      </w:r>
      <w:r>
        <w:rPr>
          <w:lang w:val="pt-BR"/>
        </w:rPr>
        <w:t xml:space="preserve">Biomas (2019) apontam para taxas de desmatamento no Cerrado historicamente superiores às da Mata Atlântica e da Floresta Amazônica, tendo em vista que no ano de 2018, cerca de 41,3% de sua cobertura natural já se encontrava convertida para usos antrópicos.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A média do número de focos de queimadas anuais no Centro Oeste é 54.695, e mediana de 43.043, possui um desvio padrão de 28.404, aproxi</w:t>
      </w:r>
      <w:r>
        <w:rPr>
          <w:lang w:val="pt-BR"/>
        </w:rPr>
        <w:t xml:space="preserve">madamente 52% do valor da média, o que caracteriza uma grande variabilidade ao longo dos anos sendo o percentual um pouco elevado comparado com outras regiões. A região possui um valor percentual significativo devido às queimadas possuírem estreita relação</w:t>
      </w:r>
      <w:r>
        <w:rPr>
          <w:lang w:val="pt-BR"/>
        </w:rPr>
        <w:t xml:space="preserve"> </w:t>
      </w:r>
      <w:r>
        <w:rPr>
          <w:lang w:val="pt-BR"/>
        </w:rPr>
        <w:t xml:space="preserve">com o desmatamento e as atividades agropecuárias no Cerrado Brasileiro </w:t>
      </w:r>
      <w:r>
        <w:rPr>
          <w:lang w:val="pt-BR"/>
        </w:rPr>
        <w:t xml:space="preserve">[</w:t>
      </w:r>
      <w:r>
        <w:rPr>
          <w:lang w:val="pt-BR"/>
        </w:rPr>
        <w:t xml:space="preserve">Rocha</w:t>
      </w:r>
      <w:r>
        <w:rPr>
          <w:lang w:val="pt-BR"/>
        </w:rPr>
        <w:t xml:space="preserve"> e Nascimento</w:t>
      </w:r>
      <w:r>
        <w:rPr>
          <w:lang w:val="pt-BR"/>
        </w:rPr>
        <w:t xml:space="preserve"> </w:t>
      </w:r>
      <w:r>
        <w:rPr>
          <w:lang w:val="pt-BR"/>
        </w:rPr>
        <w:t xml:space="preserve">2021</w:t>
      </w:r>
      <w:r>
        <w:rPr>
          <w:lang w:val="pt-BR"/>
        </w:rPr>
        <w:t xml:space="preserve">]</w:t>
      </w:r>
      <w:r>
        <w:rPr>
          <w:lang w:val="pt-BR"/>
        </w:rPr>
        <w:t xml:space="preserve">. 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_Ref87370846 \h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Figura </w:t>
      </w:r>
      <w:r>
        <w:rPr>
          <w:lang w:val="pt-BR"/>
        </w:rPr>
        <w:t xml:space="preserve">5</w:t>
      </w:r>
      <w:r>
        <w:rPr>
          <w:lang w:val="pt-BR"/>
        </w:rPr>
        <w:fldChar w:fldCharType="end"/>
      </w:r>
      <w:r>
        <w:rPr>
          <w:lang w:val="pt-BR"/>
        </w:rPr>
        <w:t xml:space="preserve"> representa o núme</w:t>
      </w:r>
      <w:r>
        <w:rPr>
          <w:lang w:val="pt-BR"/>
        </w:rPr>
        <w:t xml:space="preserve">ro total de focos de queimadas que a região Centro-oeste apresentou entre 2000 e 2020. Percebemos que o ano de 2004, com 114.952 focos apresentou o maior número de ocorrências, enquanto o ano de 2018, com 23.610 focos demonstrou o menor registro da região.</w:t>
      </w:r>
      <w:r/>
    </w:p>
    <w:p>
      <w:pPr>
        <w:ind w:firstLine="567"/>
        <w:rPr>
          <w:lang w:val="pt-BR"/>
        </w:rPr>
      </w:pPr>
      <w:r>
        <w:rPr>
          <w:lang w:val="pt-BR"/>
        </w:rPr>
      </w:r>
      <w:r/>
    </w:p>
    <w:tbl>
      <w:tblPr>
        <w:tblW w:w="0" w:type="auto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761"/>
      </w:tblGrid>
      <w:tr>
        <w:trPr>
          <w:jc w:val="center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815"/>
              <w:keepNext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91710" cy="2523490"/>
                      <wp:effectExtent l="0" t="0" r="0" b="0"/>
                      <wp:docPr id="5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" hidden="0"/>
                              <pic:cNvPicPr/>
                              <pic:nvPr isPhoto="0" userDrawn="0"/>
                            </pic:nvPicPr>
                            <pic:blipFill>
                              <a:blip r:embed="rId22"/>
                              <a:srcRect l="0" t="8496" r="6007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791710" cy="2523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mso-wrap-distance-left:0.0pt;mso-wrap-distance-top:0.0pt;mso-wrap-distance-right:0.0pt;mso-wrap-distance-bottom:0.0pt;width:377.3pt;height:198.7pt;" stroked="f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3"/>
        <w:rPr>
          <w:lang w:val="pt-BR"/>
        </w:rPr>
      </w:pPr>
      <w:r/>
      <w:bookmarkStart w:id="6" w:name="_Ref87370846"/>
      <w:r>
        <w:rPr>
          <w:lang w:val="pt-BR"/>
        </w:rPr>
        <w:t xml:space="preserve">Figura </w:t>
      </w:r>
      <w:r>
        <w:fldChar w:fldCharType="begin"/>
      </w:r>
      <w:r>
        <w:rPr>
          <w:lang w:val="pt-BR"/>
        </w:rPr>
        <w:instrText xml:space="preserve"> SEQ Figura \* ARABIC </w:instrText>
      </w:r>
      <w:r>
        <w:fldChar w:fldCharType="separate"/>
      </w:r>
      <w:r>
        <w:rPr>
          <w:lang w:val="pt-BR"/>
        </w:rPr>
        <w:t xml:space="preserve">5</w:t>
      </w:r>
      <w:r>
        <w:fldChar w:fldCharType="end"/>
      </w:r>
      <w:bookmarkEnd w:id="6"/>
      <w:r>
        <w:rPr>
          <w:lang w:val="pt-BR"/>
        </w:rPr>
        <w:t xml:space="preserve">. Série histórica do total de focos de incêndios para a região </w:t>
      </w:r>
      <w:r>
        <w:rPr>
          <w:lang w:val="pt-BR"/>
        </w:rPr>
        <w:t xml:space="preserve">Centro-Oeste</w:t>
      </w:r>
      <w:r>
        <w:rPr>
          <w:lang w:val="pt-BR"/>
        </w:rPr>
        <w:t xml:space="preserve"> no período de 2000 a 2020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Vale a pena destacar o motivo pelo qual o ano de 2004 apresenta </w:t>
      </w:r>
      <w:r>
        <w:rPr>
          <w:lang w:val="pt-BR"/>
        </w:rPr>
        <w:t xml:space="preserve">a</w:t>
      </w:r>
      <w:r>
        <w:rPr>
          <w:lang w:val="pt-BR"/>
        </w:rPr>
        <w:t xml:space="preserve"> maior </w:t>
      </w:r>
      <w:r>
        <w:rPr>
          <w:lang w:val="pt-BR"/>
        </w:rPr>
        <w:t xml:space="preserve">quantidade de </w:t>
      </w:r>
      <w:r>
        <w:rPr>
          <w:lang w:val="pt-BR"/>
        </w:rPr>
        <w:t xml:space="preserve">foco</w:t>
      </w:r>
      <w:r>
        <w:rPr>
          <w:lang w:val="pt-BR"/>
        </w:rPr>
        <w:t xml:space="preserve">s</w:t>
      </w:r>
      <w:r>
        <w:rPr>
          <w:lang w:val="pt-BR"/>
        </w:rPr>
        <w:t xml:space="preserve"> de que</w:t>
      </w:r>
      <w:r>
        <w:rPr>
          <w:lang w:val="pt-BR"/>
        </w:rPr>
        <w:t xml:space="preserve">imadas. No estado do Mato Grosso, maior estado produtor de soja, a área de floresta desmatada correspondeu, entre 2003 e 2004, a um crescimento percentual de 6% em relação ao período anterior, ou seja, cerca de 26.130 quilômetros quadrados de desmatamento </w:t>
      </w:r>
      <w:r>
        <w:rPr>
          <w:lang w:val="pt-BR"/>
        </w:rPr>
        <w:t xml:space="preserve">[</w:t>
      </w:r>
      <w:r>
        <w:rPr>
          <w:lang w:val="pt-BR"/>
        </w:rPr>
        <w:t xml:space="preserve">Schlesinger e Noronha, 2006</w:t>
      </w:r>
      <w:r>
        <w:rPr>
          <w:lang w:val="pt-BR"/>
        </w:rPr>
        <w:t xml:space="preserve">]</w:t>
      </w:r>
      <w:r>
        <w:rPr>
          <w:lang w:val="pt-BR"/>
        </w:rPr>
        <w:t xml:space="preserve">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Em 2003 e 2004, o Brasil se configurou como o maior exportador mundial de soja, representando cerca de 8%</w:t>
      </w:r>
      <w:r>
        <w:rPr>
          <w:lang w:val="pt-BR"/>
        </w:rPr>
        <w:t xml:space="preserve"> das exportações do país. Os estados do Paraná, Mato Grosso e Mato Grosso do Sul são os principais produtores de soja do país, sendo o estado do Mato Grosso o maior produtor de soja do país, responsável por 27% da produção nacional, de acordo com dados de </w:t>
      </w:r>
      <w:r>
        <w:rPr>
          <w:lang w:val="pt-BR"/>
        </w:rPr>
        <w:t xml:space="preserve">MAPA (</w:t>
      </w:r>
      <w:r>
        <w:rPr>
          <w:lang w:val="pt-BR"/>
        </w:rPr>
        <w:t xml:space="preserve">2007</w:t>
      </w:r>
      <w:r>
        <w:rPr>
          <w:lang w:val="pt-BR"/>
        </w:rPr>
        <w:t xml:space="preserve">).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Um</w:t>
      </w:r>
      <w:r>
        <w:rPr>
          <w:lang w:val="pt-BR"/>
        </w:rPr>
        <w:t xml:space="preserve"> estudo comparativo mensal pode ser observado n</w:t>
      </w:r>
      <w:r>
        <w:rPr>
          <w:lang w:val="pt-BR"/>
        </w:rPr>
        <w:t xml:space="preserve">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_Ref87519787 \h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Tabela </w:t>
      </w:r>
      <w:r>
        <w:rPr>
          <w:lang w:val="pt-BR"/>
        </w:rPr>
        <w:t xml:space="preserve">3</w:t>
      </w:r>
      <w:r>
        <w:rPr>
          <w:lang w:val="pt-BR"/>
        </w:rPr>
        <w:fldChar w:fldCharType="end"/>
      </w:r>
      <w:r>
        <w:rPr>
          <w:lang w:val="pt-BR"/>
        </w:rPr>
        <w:t xml:space="preserve"> que apresenta o</w:t>
      </w:r>
      <w:r>
        <w:rPr>
          <w:lang w:val="pt-BR"/>
        </w:rPr>
        <w:t xml:space="preserve"> número de focos de queimadas</w:t>
      </w:r>
      <w:r>
        <w:rPr>
          <w:lang w:val="pt-BR"/>
        </w:rPr>
        <w:t xml:space="preserve">, máximos e mínimos,</w:t>
      </w:r>
      <w:r>
        <w:rPr>
          <w:lang w:val="pt-BR"/>
        </w:rPr>
        <w:t xml:space="preserve"> ao lon</w:t>
      </w:r>
      <w:r>
        <w:rPr>
          <w:lang w:val="pt-BR"/>
        </w:rPr>
        <w:t xml:space="preserve">go dos anos</w:t>
      </w:r>
      <w:r>
        <w:rPr>
          <w:lang w:val="pt-BR"/>
        </w:rPr>
        <w:t xml:space="preserve">. O m</w:t>
      </w:r>
      <w:r>
        <w:rPr>
          <w:lang w:val="pt-BR"/>
        </w:rPr>
        <w:t xml:space="preserve">ê</w:t>
      </w:r>
      <w:r>
        <w:rPr>
          <w:lang w:val="pt-BR"/>
        </w:rPr>
        <w:t xml:space="preserve">s que predomina </w:t>
      </w:r>
      <w:r>
        <w:rPr>
          <w:lang w:val="pt-BR"/>
        </w:rPr>
        <w:t xml:space="preserve">para a maior incidência de focos é </w:t>
      </w:r>
      <w:r>
        <w:rPr>
          <w:lang w:val="pt-BR"/>
        </w:rPr>
        <w:t xml:space="preserve">setembro</w:t>
      </w:r>
      <w:r>
        <w:rPr>
          <w:lang w:val="pt-BR"/>
        </w:rPr>
        <w:t xml:space="preserve">, tendo seu maior expoente sido no ano de 2007. </w:t>
      </w:r>
      <w:r>
        <w:rPr>
          <w:lang w:val="pt-BR"/>
        </w:rPr>
        <w:t xml:space="preserve">Em contrapartida os meses de </w:t>
      </w:r>
      <w:r>
        <w:rPr>
          <w:lang w:val="pt-BR"/>
        </w:rPr>
        <w:t xml:space="preserve">março, </w:t>
      </w:r>
      <w:r>
        <w:rPr>
          <w:lang w:val="pt-BR"/>
        </w:rPr>
        <w:t xml:space="preserve">janeiro</w:t>
      </w:r>
      <w:r>
        <w:rPr>
          <w:lang w:val="pt-BR"/>
        </w:rPr>
        <w:t xml:space="preserve"> e</w:t>
      </w:r>
      <w:r>
        <w:rPr>
          <w:lang w:val="pt-BR"/>
        </w:rPr>
        <w:t xml:space="preserve"> fevereiro</w:t>
      </w:r>
      <w:r>
        <w:rPr>
          <w:lang w:val="pt-BR"/>
        </w:rPr>
        <w:t xml:space="preserve"> </w:t>
      </w:r>
      <w:r>
        <w:rPr>
          <w:lang w:val="pt-BR"/>
        </w:rPr>
        <w:t xml:space="preserve">apresentaram predominantemente valores baixos</w:t>
      </w:r>
      <w:r>
        <w:rPr>
          <w:lang w:val="pt-BR"/>
        </w:rPr>
        <w:t xml:space="preserve">, o ano 2001 se sobressai com um mínimo de 73 focos</w:t>
      </w:r>
      <w:r>
        <w:rPr>
          <w:lang w:val="pt-BR"/>
        </w:rPr>
        <w:t xml:space="preserve">.</w:t>
      </w:r>
      <w:r/>
    </w:p>
    <w:p>
      <w:pPr>
        <w:ind w:firstLine="567"/>
        <w:rPr>
          <w:lang w:val="pt-BR"/>
        </w:rPr>
      </w:pPr>
      <w:r>
        <w:rPr>
          <w:lang w:val="pt-BR"/>
        </w:rPr>
      </w:r>
      <w:r/>
    </w:p>
    <w:p>
      <w:pPr>
        <w:pStyle w:val="813"/>
        <w:keepNext/>
        <w:rPr>
          <w:lang w:val="pt-BR"/>
        </w:rPr>
      </w:pPr>
      <w:r/>
      <w:bookmarkStart w:id="7" w:name="_Ref87519787"/>
      <w:r>
        <w:rPr>
          <w:lang w:val="pt-BR"/>
        </w:rPr>
        <w:t xml:space="preserve">Tabela </w:t>
      </w:r>
      <w:r>
        <w:fldChar w:fldCharType="begin"/>
      </w:r>
      <w:r>
        <w:rPr>
          <w:lang w:val="pt-BR"/>
        </w:rPr>
        <w:instrText xml:space="preserve"> SEQ Tabela \* ARABIC </w:instrText>
      </w:r>
      <w:r>
        <w:fldChar w:fldCharType="separate"/>
      </w:r>
      <w:r>
        <w:rPr>
          <w:lang w:val="pt-BR"/>
        </w:rPr>
        <w:t xml:space="preserve">3</w:t>
      </w:r>
      <w:r>
        <w:fldChar w:fldCharType="end"/>
      </w:r>
      <w:bookmarkEnd w:id="7"/>
      <w:r>
        <w:rPr>
          <w:lang w:val="pt-BR"/>
        </w:rPr>
        <w:t xml:space="preserve">. Comparativo dos valores m</w:t>
      </w:r>
      <w:r>
        <w:rPr>
          <w:lang w:val="pt-BR"/>
        </w:rPr>
        <w:t xml:space="preserve">áximos e mínimos observados em intervalos de 5 anos para a região Centro-Oeste</w:t>
      </w:r>
      <w:r/>
    </w:p>
    <w:tbl>
      <w:tblPr>
        <w:tblW w:w="0" w:type="auto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1683"/>
        <w:gridCol w:w="1856"/>
        <w:gridCol w:w="1683"/>
        <w:gridCol w:w="1816"/>
      </w:tblGrid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Intervalos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Mês/Ano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Focos</w:t>
            </w:r>
            <w:r>
              <w:rPr>
                <w:b/>
                <w:bCs/>
                <w:lang w:val="pt-BR"/>
              </w:rPr>
              <w:t xml:space="preserve"> - Máximo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Mês/Ano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</w:rPr>
              <w:t xml:space="preserve">Focos</w:t>
            </w:r>
            <w:r>
              <w:rPr>
                <w:b/>
                <w:bCs/>
              </w:rPr>
              <w:t xml:space="preserve"> - Mínimo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2000-2005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Setembro</w:t>
            </w:r>
            <w:r>
              <w:t xml:space="preserve">/200</w:t>
            </w:r>
            <w:r>
              <w:t xml:space="preserve">4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40818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Março</w:t>
            </w:r>
            <w:r>
              <w:t xml:space="preserve">/200</w:t>
            </w:r>
            <w:r>
              <w:t xml:space="preserve">1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73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2005-2010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Setembro/2007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47688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Janeiro</w:t>
            </w:r>
            <w:r>
              <w:t xml:space="preserve">/200</w:t>
            </w:r>
            <w:r>
              <w:t xml:space="preserve">8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324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2010-2015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Setembro/201</w:t>
            </w:r>
            <w:r>
              <w:t xml:space="preserve">2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15187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Fevereiro/201</w:t>
            </w:r>
            <w:r>
              <w:t xml:space="preserve">1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271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2015-2020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Setembro/20</w:t>
            </w:r>
            <w:r>
              <w:t xml:space="preserve">20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25317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Fevereiro/201</w:t>
            </w:r>
            <w:r>
              <w:t xml:space="preserve">8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357</w:t>
            </w:r>
            <w:r/>
          </w:p>
        </w:tc>
      </w:tr>
    </w:tbl>
    <w:p>
      <w:pPr>
        <w:ind w:firstLine="567"/>
        <w:rPr>
          <w:lang w:val="pt-BR"/>
        </w:rPr>
      </w:pPr>
      <w:r>
        <w:rPr>
          <w:lang w:val="pt-BR"/>
        </w:rPr>
        <w:t xml:space="preserve">O gráfico ilustrado 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_Ref87371248 \h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Figura </w:t>
      </w:r>
      <w:r>
        <w:rPr>
          <w:lang w:val="pt-BR"/>
        </w:rPr>
        <w:t xml:space="preserve">6</w:t>
      </w:r>
      <w:r>
        <w:rPr>
          <w:lang w:val="pt-BR"/>
        </w:rPr>
        <w:fldChar w:fldCharType="end"/>
      </w:r>
      <w:r>
        <w:rPr>
          <w:lang w:val="pt-BR"/>
        </w:rPr>
        <w:t xml:space="preserve"> é possível observar que todos os meses encontra-se abaixo da média, exceto no trimestre agosto, setembro e outubro onde há uma expressiva concentração das queimadas durante o período seco.</w:t>
      </w:r>
      <w:r/>
    </w:p>
    <w:p>
      <w:pPr>
        <w:ind w:firstLine="567"/>
        <w:rPr>
          <w:lang w:val="pt-BR"/>
        </w:rPr>
      </w:pPr>
      <w:r>
        <w:rPr>
          <w:lang w:val="pt-BR"/>
        </w:rPr>
      </w:r>
      <w:r/>
    </w:p>
    <w:tbl>
      <w:tblPr>
        <w:tblW w:w="0" w:type="auto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955"/>
      </w:tblGrid>
      <w:tr>
        <w:trPr>
          <w:jc w:val="center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815"/>
              <w:keepNext/>
              <w:spacing w:after="0" w:afterAutospacing="0" w:before="0" w:beforeAutospacing="0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552440" cy="2523490"/>
                      <wp:effectExtent l="0" t="0" r="0" b="0"/>
                      <wp:docPr id="6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" hidden="0"/>
                              <pic:cNvPicPr/>
                              <pic:nvPr isPhoto="0" userDrawn="0"/>
                            </pic:nvPicPr>
                            <pic:blipFill>
                              <a:blip r:embed="rId23"/>
                              <a:srcRect l="0" t="16013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552440" cy="2523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437.2pt;height:198.7pt;" stroked="f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3"/>
        <w:rPr>
          <w:lang w:val="pt-BR"/>
        </w:rPr>
      </w:pPr>
      <w:r/>
      <w:bookmarkStart w:id="8" w:name="_Ref87371248"/>
      <w:r>
        <w:rPr>
          <w:lang w:val="pt-BR"/>
        </w:rPr>
        <w:t xml:space="preserve">Figura </w:t>
      </w:r>
      <w:r>
        <w:fldChar w:fldCharType="begin"/>
      </w:r>
      <w:r>
        <w:rPr>
          <w:lang w:val="pt-BR"/>
        </w:rPr>
        <w:instrText xml:space="preserve"> SEQ Figura \* ARABIC </w:instrText>
      </w:r>
      <w:r>
        <w:fldChar w:fldCharType="separate"/>
      </w:r>
      <w:r>
        <w:rPr>
          <w:lang w:val="pt-BR"/>
        </w:rPr>
        <w:t xml:space="preserve">6</w:t>
      </w:r>
      <w:r>
        <w:fldChar w:fldCharType="end"/>
      </w:r>
      <w:bookmarkEnd w:id="8"/>
      <w:r>
        <w:rPr>
          <w:lang w:val="pt-BR"/>
        </w:rPr>
        <w:t xml:space="preserve">. </w:t>
      </w:r>
      <w:r>
        <w:rPr>
          <w:lang w:val="pt-BR"/>
        </w:rPr>
        <w:t xml:space="preserve">Comparativo dos dados do ano 2020 com os valores máximos, médios e mínimos, no período de 2000 a 2020 para região </w:t>
      </w:r>
      <w:r>
        <w:rPr>
          <w:lang w:val="pt-BR"/>
        </w:rPr>
        <w:t xml:space="preserve">Centro-Oeste</w:t>
      </w:r>
      <w:r/>
    </w:p>
    <w:p>
      <w:pPr>
        <w:pStyle w:val="796"/>
        <w:rPr>
          <w:lang w:val="pt-BR"/>
        </w:rPr>
      </w:pPr>
      <w:r>
        <w:rPr>
          <w:lang w:val="pt-BR"/>
        </w:rPr>
        <w:t xml:space="preserve">4.4. </w:t>
      </w:r>
      <w:r>
        <w:rPr>
          <w:lang w:val="pt-BR"/>
        </w:rPr>
        <w:t xml:space="preserve">Distribuição Temporal dos Focos de Queimadas na Região Sudeste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A região sudeste ocupa 10,85% do território brasileiro, possui uma extensão de aproximadamente 924.620,678 km² </w:t>
      </w:r>
      <w:r>
        <w:rPr>
          <w:lang w:val="pt-BR"/>
        </w:rPr>
        <w:t xml:space="preserve">[</w:t>
      </w:r>
      <w:r>
        <w:rPr>
          <w:lang w:val="pt-BR"/>
        </w:rPr>
        <w:t xml:space="preserve">IBGE 2021</w:t>
      </w:r>
      <w:r>
        <w:rPr>
          <w:lang w:val="pt-BR"/>
        </w:rPr>
        <w:t xml:space="preserve">]</w:t>
      </w:r>
      <w:r>
        <w:rPr>
          <w:lang w:val="pt-BR"/>
        </w:rPr>
        <w:t xml:space="preserve">. É composta pelos e</w:t>
      </w:r>
      <w:r>
        <w:rPr>
          <w:lang w:val="pt-BR"/>
        </w:rPr>
        <w:t xml:space="preserve">stados de São Paulo, Minas Gerais, Rio de Janeiro e Espírito Santo. Possui elevada concentração populacional devido a concentração das atividades econômicas como a indústria e o comércio, destaque para os estados: São Paulo, Rio de Janeiro e Minas Gerais. 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No que se refere ao número de focos de queimadas durante o período analisado, a região sudeste apresenta um total 321.323, eq</w:t>
      </w:r>
      <w:r>
        <w:rPr>
          <w:lang w:val="pt-BR"/>
        </w:rPr>
        <w:t xml:space="preserve">uivalente a 6.66% do valor total. A média do número de focos de queimadas anuais no Sudeste é 15.301, e mediana de 15.686, possui um desvio padrão de 6.009, aproximadamente 39% do valor da média, o que caracteriza uma grande variabilidade para esta região.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A região sudeste faz parte da chamada "fronteira consolidada do desmatamento" são aqueles que têm a maior participação n</w:t>
      </w:r>
      <w:r>
        <w:rPr>
          <w:lang w:val="pt-BR"/>
        </w:rPr>
        <w:t xml:space="preserve">a faixa de desmatamento devido à pecuária. No Brasil, a maioria dos estudos já têm demonstrado que o desmatamento tem sido causado pela conversão de floresta, principalmente para pecuária, agricultura de corte e queima ou associada à exploração madeireira </w:t>
      </w:r>
      <w:r>
        <w:rPr>
          <w:lang w:val="pt-BR"/>
        </w:rPr>
        <w:t xml:space="preserve">[</w:t>
      </w:r>
      <w:r>
        <w:rPr>
          <w:lang w:val="pt-BR"/>
        </w:rPr>
        <w:t xml:space="preserve">Arima et al. 2005; Veríssimo et al.</w:t>
      </w:r>
      <w:r>
        <w:rPr>
          <w:lang w:val="pt-BR"/>
        </w:rPr>
        <w:t xml:space="preserve"> </w:t>
      </w:r>
      <w:r>
        <w:rPr>
          <w:lang w:val="pt-BR"/>
        </w:rPr>
        <w:t xml:space="preserve">1996; Ferreira et al.</w:t>
      </w:r>
      <w:r>
        <w:rPr>
          <w:lang w:val="pt-BR"/>
        </w:rPr>
        <w:t xml:space="preserve"> </w:t>
      </w:r>
      <w:r>
        <w:rPr>
          <w:lang w:val="pt-BR"/>
        </w:rPr>
        <w:t xml:space="preserve">2005</w:t>
      </w:r>
      <w:r>
        <w:rPr>
          <w:lang w:val="pt-BR"/>
        </w:rPr>
        <w:t xml:space="preserve">]</w:t>
      </w:r>
      <w:r>
        <w:rPr>
          <w:lang w:val="pt-BR"/>
        </w:rPr>
        <w:t xml:space="preserve">. 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No intervalo de anos do estudo, 2007 apresenta o maior foco de queimadas (29.116) e 2001 o ano com o menor número de focos (7.082). No histograma representado 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_Ref87371612 \h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Figura </w:t>
      </w:r>
      <w:r>
        <w:rPr>
          <w:lang w:val="pt-BR"/>
        </w:rPr>
        <w:t xml:space="preserve">7</w:t>
      </w:r>
      <w:r>
        <w:rPr>
          <w:lang w:val="pt-BR"/>
        </w:rPr>
        <w:fldChar w:fldCharType="end"/>
      </w:r>
      <w:r>
        <w:rPr>
          <w:lang w:val="pt-BR"/>
        </w:rPr>
        <w:t xml:space="preserve"> é possível verificar esses valores e ver a evolução histórica anual total entre os anos de 2000 e 2020.</w:t>
      </w:r>
      <w:r/>
    </w:p>
    <w:p>
      <w:pPr>
        <w:ind w:firstLine="567"/>
        <w:rPr>
          <w:lang w:val="pt-BR"/>
        </w:rPr>
      </w:pPr>
      <w:r>
        <w:rPr>
          <w:lang w:val="pt-BR"/>
        </w:rPr>
      </w:r>
      <w:r/>
    </w:p>
    <w:tbl>
      <w:tblPr>
        <w:tblW w:w="0" w:type="auto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776"/>
      </w:tblGrid>
      <w:tr>
        <w:trPr>
          <w:jc w:val="center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815"/>
              <w:keepNext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98695" cy="2523490"/>
                      <wp:effectExtent l="0" t="0" r="0" b="0"/>
                      <wp:docPr id="7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" hidden="0"/>
                              <pic:cNvPicPr/>
                              <pic:nvPr isPhoto="0" userDrawn="0"/>
                            </pic:nvPicPr>
                            <pic:blipFill>
                              <a:blip r:embed="rId24"/>
                              <a:srcRect l="0" t="8824" r="6183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798695" cy="2523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377.8pt;height:198.7pt;" stroked="f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3"/>
        <w:rPr>
          <w:lang w:val="pt-BR"/>
        </w:rPr>
      </w:pPr>
      <w:r/>
      <w:bookmarkStart w:id="9" w:name="_Ref87371612"/>
      <w:r>
        <w:rPr>
          <w:lang w:val="pt-BR"/>
        </w:rPr>
        <w:t xml:space="preserve">Figura </w:t>
      </w:r>
      <w:r>
        <w:fldChar w:fldCharType="begin"/>
      </w:r>
      <w:r>
        <w:rPr>
          <w:lang w:val="pt-BR"/>
        </w:rPr>
        <w:instrText xml:space="preserve"> SEQ Figura \* ARABIC </w:instrText>
      </w:r>
      <w:r>
        <w:fldChar w:fldCharType="separate"/>
      </w:r>
      <w:r>
        <w:rPr>
          <w:lang w:val="pt-BR"/>
        </w:rPr>
        <w:t xml:space="preserve">7</w:t>
      </w:r>
      <w:r>
        <w:fldChar w:fldCharType="end"/>
      </w:r>
      <w:bookmarkEnd w:id="9"/>
      <w:r>
        <w:rPr>
          <w:lang w:val="pt-BR"/>
        </w:rPr>
        <w:t xml:space="preserve">. Série histórica do total de focos de incêndios para a região </w:t>
      </w:r>
      <w:r>
        <w:rPr>
          <w:lang w:val="pt-BR"/>
        </w:rPr>
        <w:t xml:space="preserve">Sudeste</w:t>
      </w:r>
      <w:r>
        <w:rPr>
          <w:lang w:val="pt-BR"/>
        </w:rPr>
        <w:t xml:space="preserve"> no período de 2000 a 2020</w:t>
      </w:r>
      <w:r/>
    </w:p>
    <w:p>
      <w:pPr>
        <w:rPr>
          <w:lang w:val="pt-BR"/>
        </w:rPr>
      </w:pPr>
      <w:r>
        <w:rPr>
          <w:lang w:val="pt-BR"/>
        </w:rPr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Um</w:t>
      </w:r>
      <w:r>
        <w:rPr>
          <w:lang w:val="pt-BR"/>
        </w:rPr>
        <w:t xml:space="preserve"> estudo comparativo mensal pode ser observado n</w:t>
      </w:r>
      <w:r>
        <w:rPr>
          <w:lang w:val="pt-BR"/>
        </w:rPr>
        <w:t xml:space="preserve">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_Ref87520581 \h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Tabela </w:t>
      </w:r>
      <w:r>
        <w:rPr>
          <w:lang w:val="pt-BR"/>
        </w:rPr>
        <w:t xml:space="preserve">4</w:t>
      </w:r>
      <w:r>
        <w:rPr>
          <w:lang w:val="pt-BR"/>
        </w:rPr>
        <w:fldChar w:fldCharType="end"/>
      </w:r>
      <w:r>
        <w:rPr>
          <w:lang w:val="pt-BR"/>
        </w:rPr>
        <w:t xml:space="preserve"> que apresenta o</w:t>
      </w:r>
      <w:r>
        <w:rPr>
          <w:lang w:val="pt-BR"/>
        </w:rPr>
        <w:t xml:space="preserve"> número de focos de queimadas</w:t>
      </w:r>
      <w:r>
        <w:rPr>
          <w:lang w:val="pt-BR"/>
        </w:rPr>
        <w:t xml:space="preserve">, máximos e mínimos,</w:t>
      </w:r>
      <w:r>
        <w:rPr>
          <w:lang w:val="pt-BR"/>
        </w:rPr>
        <w:t xml:space="preserve"> ao lon</w:t>
      </w:r>
      <w:r>
        <w:rPr>
          <w:lang w:val="pt-BR"/>
        </w:rPr>
        <w:t xml:space="preserve">go dos anos</w:t>
      </w:r>
      <w:r>
        <w:rPr>
          <w:lang w:val="pt-BR"/>
        </w:rPr>
        <w:t xml:space="preserve">. </w:t>
      </w:r>
      <w:r>
        <w:rPr>
          <w:lang w:val="pt-BR"/>
        </w:rPr>
        <w:t xml:space="preserve">A partir das infor</w:t>
      </w:r>
      <w:r>
        <w:rPr>
          <w:lang w:val="pt-BR"/>
        </w:rPr>
        <w:t xml:space="preserve">mações apresentadas, note que, tal qual a região Centro-Oeste, o mês de setembro é o que concentra a maior quantidade de focos de queimadas. Por outro lado, os mínimos estão concentrados entre os meses de dezembro e fevereiro, com destaque para o ano 2000.</w:t>
      </w:r>
      <w:r/>
    </w:p>
    <w:p>
      <w:pPr>
        <w:ind w:firstLine="567"/>
        <w:rPr>
          <w:lang w:val="pt-BR"/>
        </w:rPr>
      </w:pPr>
      <w:r>
        <w:rPr>
          <w:lang w:val="pt-BR"/>
        </w:rPr>
      </w:r>
      <w:r/>
    </w:p>
    <w:p>
      <w:pPr>
        <w:pStyle w:val="813"/>
        <w:keepNext/>
        <w:rPr>
          <w:lang w:val="pt-BR"/>
        </w:rPr>
      </w:pPr>
      <w:r/>
      <w:bookmarkStart w:id="10" w:name="_Ref87520581"/>
      <w:r>
        <w:rPr>
          <w:lang w:val="pt-BR"/>
        </w:rPr>
        <w:t xml:space="preserve">Tabela </w:t>
      </w:r>
      <w:r>
        <w:fldChar w:fldCharType="begin"/>
      </w:r>
      <w:r>
        <w:rPr>
          <w:lang w:val="pt-BR"/>
        </w:rPr>
        <w:instrText xml:space="preserve"> SEQ Tabela \* ARABIC </w:instrText>
      </w:r>
      <w:r>
        <w:fldChar w:fldCharType="separate"/>
      </w:r>
      <w:r>
        <w:rPr>
          <w:lang w:val="pt-BR"/>
        </w:rPr>
        <w:t xml:space="preserve">4</w:t>
      </w:r>
      <w:r>
        <w:fldChar w:fldCharType="end"/>
      </w:r>
      <w:bookmarkEnd w:id="10"/>
      <w:r>
        <w:rPr>
          <w:lang w:val="pt-BR"/>
        </w:rPr>
        <w:t xml:space="preserve">. Comparativo dos valores m</w:t>
      </w:r>
      <w:r>
        <w:rPr>
          <w:lang w:val="pt-BR"/>
        </w:rPr>
        <w:t xml:space="preserve">áximos e mínimos observados em intervalos de 5 anos para a região Sudeste</w:t>
      </w:r>
      <w:r/>
    </w:p>
    <w:tbl>
      <w:tblPr>
        <w:tblW w:w="0" w:type="auto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1683"/>
        <w:gridCol w:w="1856"/>
        <w:gridCol w:w="1763"/>
        <w:gridCol w:w="1816"/>
      </w:tblGrid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Intervalos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Mês/Ano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Focos</w:t>
            </w:r>
            <w:r>
              <w:rPr>
                <w:b/>
                <w:bCs/>
                <w:lang w:val="pt-BR"/>
              </w:rPr>
              <w:t xml:space="preserve"> - Máximo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Mês/Ano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</w:rPr>
              <w:t xml:space="preserve">Focos</w:t>
            </w:r>
            <w:r>
              <w:rPr>
                <w:b/>
                <w:bCs/>
              </w:rPr>
              <w:t xml:space="preserve"> - Mínimo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2000-2005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color w:val="000000"/>
              </w:rPr>
              <w:t xml:space="preserve">Setembro/2003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color w:val="000000"/>
              </w:rPr>
              <w:t xml:space="preserve">9093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color w:val="000000"/>
              </w:rPr>
              <w:t xml:space="preserve">Dezembro/2000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color w:val="000000"/>
              </w:rPr>
              <w:t xml:space="preserve">40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2005-2010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color w:val="000000"/>
              </w:rPr>
              <w:t xml:space="preserve">Setembro/2007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color w:val="000000"/>
              </w:rPr>
              <w:t xml:space="preserve">8093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color w:val="000000"/>
              </w:rPr>
              <w:t xml:space="preserve">Janeiro/2009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color w:val="000000"/>
              </w:rPr>
              <w:t xml:space="preserve">122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2010-2015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color w:val="000000"/>
              </w:rPr>
              <w:t xml:space="preserve">Setembro/2011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color w:val="000000"/>
              </w:rPr>
              <w:t xml:space="preserve">7760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color w:val="000000"/>
              </w:rPr>
              <w:t xml:space="preserve">Dezembro/2011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color w:val="000000"/>
              </w:rPr>
              <w:t xml:space="preserve">124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t xml:space="preserve">2015-2020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color w:val="000000"/>
              </w:rPr>
              <w:t xml:space="preserve">Setembro/2020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color w:val="000000"/>
              </w:rPr>
              <w:t xml:space="preserve">6089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color w:val="000000"/>
              </w:rPr>
              <w:t xml:space="preserve">Fevereiro/2018</w:t>
            </w:r>
            <w:r/>
          </w:p>
        </w:tc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jc w:val="center"/>
              <w:rPr>
                <w:lang w:val="pt-BR"/>
              </w:rPr>
            </w:pPr>
            <w:r>
              <w:rPr>
                <w:color w:val="000000"/>
              </w:rPr>
              <w:t xml:space="preserve">87</w:t>
            </w:r>
            <w:r/>
          </w:p>
        </w:tc>
      </w:tr>
    </w:tbl>
    <w:p>
      <w:pPr>
        <w:ind w:firstLine="567"/>
        <w:rPr>
          <w:lang w:val="pt-BR"/>
        </w:rPr>
      </w:pPr>
      <w:r>
        <w:rPr>
          <w:lang w:val="pt-BR"/>
        </w:rPr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O gráfico ilustrado 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_Ref87371729 \h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Figura </w:t>
      </w:r>
      <w:r>
        <w:rPr>
          <w:lang w:val="pt-BR"/>
        </w:rPr>
        <w:t xml:space="preserve">8</w:t>
      </w:r>
      <w:r>
        <w:rPr>
          <w:lang w:val="pt-BR"/>
        </w:rPr>
        <w:fldChar w:fldCharType="end"/>
      </w:r>
      <w:r>
        <w:rPr>
          <w:lang w:val="pt-BR"/>
        </w:rPr>
        <w:t xml:space="preserve"> é possível observar que o segundo semestre</w:t>
      </w:r>
      <w:r>
        <w:rPr>
          <w:lang w:val="pt-BR"/>
        </w:rPr>
        <w:t xml:space="preserve">,</w:t>
      </w:r>
      <w:r>
        <w:rPr>
          <w:lang w:val="pt-BR"/>
        </w:rPr>
        <w:t xml:space="preserve"> principalmente os meses de setembro e outubro</w:t>
      </w:r>
      <w:r>
        <w:rPr>
          <w:lang w:val="pt-BR"/>
        </w:rPr>
        <w:t xml:space="preserve">,</w:t>
      </w:r>
      <w:r>
        <w:rPr>
          <w:lang w:val="pt-BR"/>
        </w:rPr>
        <w:t xml:space="preserve"> tiveram focos de queimadas acima da média. Além disso, pode-se notar que os maiores valores estão concentrados, entre os meses de agosto a outubro, devido à estiagem e clima seco característico deste período.</w:t>
      </w:r>
      <w:r/>
    </w:p>
    <w:p>
      <w:pPr>
        <w:ind w:firstLine="567"/>
        <w:rPr>
          <w:lang w:val="pt-BR"/>
        </w:rPr>
      </w:pPr>
      <w:r>
        <w:rPr>
          <w:lang w:val="pt-BR"/>
        </w:rPr>
      </w:r>
      <w:r/>
    </w:p>
    <w:tbl>
      <w:tblPr>
        <w:tblW w:w="0" w:type="auto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028"/>
      </w:tblGrid>
      <w:tr>
        <w:trPr>
          <w:jc w:val="center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815"/>
              <w:keepNext/>
              <w:spacing w:after="0" w:afterAutospacing="0" w:before="0" w:beforeAutospacing="0"/>
            </w:pPr>
            <w:r>
              <w:rPr>
                <w:color w:val="00000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596255" cy="2523490"/>
                      <wp:effectExtent l="0" t="0" r="0" b="0"/>
                      <wp:docPr id="8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" hidden="0"/>
                              <pic:cNvPicPr/>
                              <pic:nvPr isPhoto="0" userDrawn="0"/>
                            </pic:nvPicPr>
                            <pic:blipFill>
                              <a:blip r:embed="rId25"/>
                              <a:srcRect l="0" t="16667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596255" cy="2523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440.6pt;height:198.7pt;" stroked="f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3"/>
        <w:rPr>
          <w:lang w:val="pt-BR"/>
        </w:rPr>
      </w:pPr>
      <w:r/>
      <w:bookmarkStart w:id="11" w:name="_Ref87371729"/>
      <w:r>
        <w:rPr>
          <w:lang w:val="pt-BR"/>
        </w:rPr>
        <w:t xml:space="preserve">Figura </w:t>
      </w:r>
      <w:r>
        <w:fldChar w:fldCharType="begin"/>
      </w:r>
      <w:r>
        <w:rPr>
          <w:lang w:val="pt-BR"/>
        </w:rPr>
        <w:instrText xml:space="preserve"> SEQ Figura \* ARABIC </w:instrText>
      </w:r>
      <w:r>
        <w:fldChar w:fldCharType="separate"/>
      </w:r>
      <w:r>
        <w:rPr>
          <w:lang w:val="pt-BR"/>
        </w:rPr>
        <w:t xml:space="preserve">8</w:t>
      </w:r>
      <w:r>
        <w:fldChar w:fldCharType="end"/>
      </w:r>
      <w:bookmarkEnd w:id="11"/>
      <w:r>
        <w:rPr>
          <w:lang w:val="pt-BR"/>
        </w:rPr>
        <w:t xml:space="preserve">. </w:t>
      </w:r>
      <w:r>
        <w:rPr>
          <w:lang w:val="pt-BR"/>
        </w:rPr>
        <w:t xml:space="preserve">Comparativo dos dados do ano 2020 com os valores máximos, médios e mínimos, no período de 2000 a 2020 para região </w:t>
      </w:r>
      <w:r>
        <w:rPr>
          <w:lang w:val="pt-BR"/>
        </w:rPr>
        <w:t xml:space="preserve">Sudeste</w:t>
      </w:r>
      <w:r/>
    </w:p>
    <w:p>
      <w:pPr>
        <w:pStyle w:val="796"/>
        <w:rPr>
          <w:lang w:val="pt-BR"/>
        </w:rPr>
      </w:pPr>
      <w:r>
        <w:rPr>
          <w:lang w:val="pt-BR"/>
        </w:rPr>
        <w:t xml:space="preserve">4.5. </w:t>
      </w:r>
      <w:r>
        <w:rPr>
          <w:lang w:val="pt-BR"/>
        </w:rPr>
        <w:t xml:space="preserve">Distribuição Temporal dos Focos de Queimadas na Região Su</w:t>
      </w:r>
      <w:r>
        <w:rPr>
          <w:lang w:val="pt-BR"/>
        </w:rPr>
        <w:t xml:space="preserve">l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Segundo a última</w:t>
      </w:r>
      <w:r>
        <w:rPr>
          <w:lang w:val="pt-BR"/>
        </w:rPr>
        <w:t xml:space="preserve"> contabilização territorial publicada pelo IBGE em 2021, a região Sul brasileira possui uma área com cerca de 576.736,815 km², respondendo por aproximadamente 6,8% do território nacional. É a menor região brasileira. Devido a sua baixa extensão territorial</w:t>
      </w:r>
      <w:r>
        <w:rPr>
          <w:lang w:val="pt-BR"/>
        </w:rPr>
        <w:t xml:space="preserve"> e a predominância do clima subtropical</w:t>
      </w:r>
      <w:r>
        <w:rPr>
          <w:lang w:val="pt-BR"/>
        </w:rPr>
        <w:t xml:space="preserve">, é a região com menor participação no volume de queimadas contabilizado no período avaliado neste trabalho, aproximadamente 4% do volume total.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A região Sul, tendo por base os anos avaliados, apresentou média anual para a qua</w:t>
      </w:r>
      <w:r>
        <w:rPr>
          <w:lang w:val="pt-BR"/>
        </w:rPr>
        <w:t xml:space="preserve">ntidade de focos de incêndios de 9199 e desvio-padrão de 5176 (cerca de 56,27% da média). Um desvio-padrão tão elevado implica em alta variabilidade anual, fato que se torna evidente quando observa-se a série histórica do total de incêndios apresentada 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_Ref87372571 \h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Figura </w:t>
      </w:r>
      <w:r>
        <w:rPr>
          <w:lang w:val="pt-BR"/>
        </w:rPr>
        <w:t xml:space="preserve">9</w:t>
      </w:r>
      <w:r>
        <w:rPr>
          <w:lang w:val="pt-BR"/>
        </w:rPr>
        <w:fldChar w:fldCharType="end"/>
      </w:r>
      <w:r>
        <w:rPr>
          <w:lang w:val="pt-BR"/>
        </w:rPr>
        <w:t xml:space="preserve">. Nesta figura é possível observar algumas ocorrências singulares, destacando-se as seguintes:</w:t>
      </w:r>
      <w:r/>
    </w:p>
    <w:p>
      <w:pPr>
        <w:ind w:firstLine="567"/>
        <w:rPr>
          <w:lang w:val="pt-BR"/>
        </w:rPr>
      </w:pPr>
      <w:r>
        <w:rPr>
          <w:lang w:val="pt-BR"/>
        </w:rPr>
      </w:r>
      <w:r/>
    </w:p>
    <w:p>
      <w:pPr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No ano 2001 foi registrado o menor número de focos de incêndio de toda a série histórica, 1720 focos, quando a média anual para a região foi de 9199 focos;</w:t>
      </w:r>
      <w:r/>
    </w:p>
    <w:p>
      <w:pPr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O intervalo entre os an</w:t>
      </w:r>
      <w:r>
        <w:rPr>
          <w:lang w:val="pt-BR"/>
        </w:rPr>
        <w:t xml:space="preserve">os 2001 e 2003 foi marcado por aumento espantoso na quantidade de focos, culminando com o ano de 2003 representando o pior ano de toda a série histórica acumulando um total de 8109 focos. O crescimento foi de aproximadamente 1333% em relação ao ano de 2001</w:t>
      </w:r>
      <w:r>
        <w:rPr>
          <w:lang w:val="pt-BR"/>
        </w:rPr>
        <w:t xml:space="preserve">.</w:t>
      </w:r>
      <w:r/>
    </w:p>
    <w:p>
      <w:pPr>
        <w:rPr>
          <w:lang w:val="pt-BR"/>
        </w:rPr>
      </w:pPr>
      <w:r>
        <w:rPr>
          <w:lang w:val="pt-BR"/>
        </w:rPr>
      </w:r>
      <w:r/>
    </w:p>
    <w:tbl>
      <w:tblPr>
        <w:tblW w:w="0" w:type="auto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840"/>
      </w:tblGrid>
      <w:tr>
        <w:trPr>
          <w:jc w:val="center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815"/>
              <w:keepNext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842510" cy="2523490"/>
                      <wp:effectExtent l="0" t="0" r="0" b="0"/>
                      <wp:docPr id="9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" hidden="0"/>
                              <pic:cNvPicPr/>
                              <pic:nvPr isPhoto="0" userDrawn="0"/>
                            </pic:nvPicPr>
                            <pic:blipFill>
                              <a:blip r:embed="rId26"/>
                              <a:srcRect l="0" t="8879" r="6513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42510" cy="2523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381.3pt;height:198.7pt;" stroked="f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3"/>
        <w:rPr>
          <w:lang w:val="pt-BR"/>
        </w:rPr>
      </w:pPr>
      <w:r/>
      <w:bookmarkStart w:id="12" w:name="_Ref87372571"/>
      <w:r>
        <w:rPr>
          <w:lang w:val="pt-BR"/>
        </w:rPr>
        <w:t xml:space="preserve">Figura </w:t>
      </w:r>
      <w:r>
        <w:fldChar w:fldCharType="begin"/>
      </w:r>
      <w:r>
        <w:rPr>
          <w:lang w:val="pt-BR"/>
        </w:rPr>
        <w:instrText xml:space="preserve"> SEQ Figura \* ARABIC </w:instrText>
      </w:r>
      <w:r>
        <w:fldChar w:fldCharType="separate"/>
      </w:r>
      <w:r>
        <w:rPr>
          <w:lang w:val="pt-BR"/>
        </w:rPr>
        <w:t xml:space="preserve">9</w:t>
      </w:r>
      <w:r>
        <w:fldChar w:fldCharType="end"/>
      </w:r>
      <w:bookmarkEnd w:id="12"/>
      <w:r>
        <w:rPr>
          <w:lang w:val="pt-BR"/>
        </w:rPr>
        <w:t xml:space="preserve">. Série histórica do total de focos de incêndios para a região </w:t>
      </w:r>
      <w:r>
        <w:rPr>
          <w:lang w:val="pt-BR"/>
        </w:rPr>
        <w:t xml:space="preserve">Sul</w:t>
      </w:r>
      <w:r>
        <w:rPr>
          <w:lang w:val="pt-BR"/>
        </w:rPr>
        <w:t xml:space="preserve"> no período de 2000 a 2020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Quando comparamos a quantidade de focos mensais ocorridos no último ano da série histórica analisada (2020) com os valores máximos, mínimos e médios referentes a cada mês, percebe-se que apesar do mês de agosto ser o pior mês de 2020, ele está muit</w:t>
      </w:r>
      <w:r>
        <w:rPr>
          <w:lang w:val="pt-BR"/>
        </w:rPr>
        <w:t xml:space="preserve">o abaixo do máximo verificado para este mês. O número de focos em agosto de 2020 foi de 3182, enquanto o maior valor verificado para este mês foi de 8109. Em termos percentuais representa uma diferença de aproximadamente 60,76% em relação ao valor máximo. 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De forma geral, o mês de agosto é o que apresenta os piores resultados em relação às médias, aos máximos e aos míni</w:t>
      </w:r>
      <w:r>
        <w:rPr>
          <w:lang w:val="pt-BR"/>
        </w:rPr>
        <w:t xml:space="preserve">mos mensais. Os meses que ficaram abaixo da média foram janeiro, julho, setembro, outubro, novembro e dezembro. Note que para a metade dos meses do ano, a quantidade de focos de incêndio do ano 2020, para a região Sul, esteve abaixo da média. O gráfico da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_Ref87372778 \h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Figura </w:t>
      </w:r>
      <w:r>
        <w:rPr>
          <w:lang w:val="pt-BR"/>
        </w:rPr>
        <w:t xml:space="preserve">10</w:t>
      </w:r>
      <w:r>
        <w:rPr>
          <w:lang w:val="pt-BR"/>
        </w:rPr>
        <w:fldChar w:fldCharType="end"/>
      </w:r>
      <w:r>
        <w:rPr>
          <w:lang w:val="pt-BR"/>
        </w:rPr>
        <w:t xml:space="preserve"> ilustra essas considerações.</w:t>
      </w:r>
      <w:r/>
    </w:p>
    <w:p>
      <w:pPr>
        <w:ind w:firstLine="567"/>
        <w:rPr>
          <w:lang w:val="pt-BR"/>
        </w:rPr>
      </w:pPr>
      <w:r>
        <w:rPr>
          <w:lang w:val="pt-BR"/>
        </w:rPr>
      </w:r>
      <w:r/>
    </w:p>
    <w:tbl>
      <w:tblPr>
        <w:tblW w:w="0" w:type="auto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005"/>
      </w:tblGrid>
      <w:tr>
        <w:trPr>
          <w:jc w:val="center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815"/>
              <w:keepNext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581650" cy="2523490"/>
                      <wp:effectExtent l="0" t="0" r="0" b="0"/>
                      <wp:docPr id="10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" hidden="0"/>
                              <pic:cNvPicPr/>
                              <pic:nvPr isPhoto="0" userDrawn="0"/>
                            </pic:nvPicPr>
                            <pic:blipFill>
                              <a:blip r:embed="rId27"/>
                              <a:srcRect l="0" t="15532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581649" cy="2523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439.5pt;height:198.7pt;" stroked="f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3"/>
        <w:rPr>
          <w:lang w:val="pt-BR"/>
        </w:rPr>
      </w:pPr>
      <w:r/>
      <w:bookmarkStart w:id="13" w:name="_Ref87372778"/>
      <w:r>
        <w:rPr>
          <w:lang w:val="pt-BR"/>
        </w:rPr>
        <w:t xml:space="preserve">Figura </w:t>
      </w:r>
      <w:r>
        <w:fldChar w:fldCharType="begin"/>
      </w:r>
      <w:r>
        <w:rPr>
          <w:lang w:val="pt-BR"/>
        </w:rPr>
        <w:instrText xml:space="preserve"> SEQ Figura \* ARABIC </w:instrText>
      </w:r>
      <w:r>
        <w:fldChar w:fldCharType="separate"/>
      </w:r>
      <w:r>
        <w:rPr>
          <w:lang w:val="pt-BR"/>
        </w:rPr>
        <w:t xml:space="preserve">10</w:t>
      </w:r>
      <w:r>
        <w:fldChar w:fldCharType="end"/>
      </w:r>
      <w:bookmarkEnd w:id="13"/>
      <w:r>
        <w:rPr>
          <w:lang w:val="pt-BR"/>
        </w:rPr>
        <w:t xml:space="preserve">. </w:t>
      </w:r>
      <w:r>
        <w:rPr>
          <w:lang w:val="pt-BR"/>
        </w:rPr>
        <w:t xml:space="preserve">Comparativo dos dados do ano 2020 com os valores máximos, médios e mínimos, no período de 2000 a 2020 para região </w:t>
      </w:r>
      <w:r>
        <w:rPr>
          <w:lang w:val="pt-BR"/>
        </w:rPr>
        <w:t xml:space="preserve">Sul</w:t>
      </w:r>
      <w:r/>
    </w:p>
    <w:p>
      <w:pPr>
        <w:pStyle w:val="796"/>
        <w:rPr>
          <w:lang w:val="pt-BR"/>
        </w:rPr>
      </w:pPr>
      <w:r>
        <w:rPr>
          <w:lang w:val="pt-BR"/>
        </w:rPr>
        <w:t xml:space="preserve">4.6. </w:t>
      </w:r>
      <w:r>
        <w:rPr>
          <w:lang w:val="pt-BR"/>
        </w:rPr>
        <w:t xml:space="preserve">Panorama Nacional</w:t>
      </w:r>
      <w:r>
        <w:rPr>
          <w:lang w:val="pt-BR"/>
        </w:rPr>
        <w:t xml:space="preserve"> - </w:t>
      </w:r>
      <w:r>
        <w:rPr>
          <w:rFonts w:ascii="Arial" w:hAnsi="Arial" w:cs="Arial"/>
          <w:color w:val="000000"/>
          <w:sz w:val="22"/>
          <w:szCs w:val="22"/>
          <w:lang w:val="pt-BR"/>
        </w:rPr>
        <w:t xml:space="preserve">Avaliação Geral das Regiões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A análise comparativa dos dados, levando em conta o número total de focos de incêndio a cada ano por região dentro do período avaliado (2000 a 2020), aponta a região Norte como aquela que concentrou maior participação na quantidade de focos de incêndio</w:t>
      </w:r>
      <w:r>
        <w:rPr>
          <w:lang w:val="pt-BR"/>
        </w:rPr>
        <w:t xml:space="preserve">. Foram aproximadamente 1.961.282 focos de incêndio representando 40,66% do total contabilizado para o período. Em contrapartida, a região Sul apresentou a menor concentração, aproximadamente 193.180 focos de incêndio, respondendo por 4% do total nacional.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A região Sudeste também se destaca por sua baixa contribuição na quantidade total de focos de incêndio, em torno de 321.323 focos, o que corresponde a 6</w:t>
      </w:r>
      <w:r>
        <w:rPr>
          <w:lang w:val="pt-BR"/>
        </w:rPr>
        <w:t xml:space="preserve">,66% do total nacional. Por outro lado, as regiões Centro-Oeste e Nordeste apresentaram contribuições muito próximas: 23,81% e 24,86%, respectivamente. Note que, somadas, essas duas regiões arcaram com cerca de 50% do total de focos de incêndio no Brasil. </w:t>
      </w:r>
      <w:r>
        <w:rPr>
          <w:lang w:val="pt-BR"/>
        </w:rPr>
        <w:t xml:space="preserve">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_Ref87373039 \h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Figura </w:t>
      </w:r>
      <w:r>
        <w:rPr>
          <w:lang w:val="pt-BR"/>
        </w:rPr>
        <w:t xml:space="preserve">11</w:t>
      </w:r>
      <w:r>
        <w:rPr>
          <w:lang w:val="pt-BR"/>
        </w:rPr>
        <w:fldChar w:fldCharType="end"/>
      </w:r>
      <w:r>
        <w:rPr>
          <w:lang w:val="pt-BR"/>
        </w:rPr>
        <w:t xml:space="preserve"> resume essas considerações.</w:t>
      </w:r>
      <w:r/>
    </w:p>
    <w:p>
      <w:pPr>
        <w:ind w:firstLine="567"/>
        <w:rPr>
          <w:lang w:val="pt-BR"/>
        </w:rPr>
      </w:pPr>
      <w:r>
        <w:rPr>
          <w:lang w:val="pt-BR"/>
        </w:rPr>
      </w:r>
      <w:r/>
    </w:p>
    <w:tbl>
      <w:tblPr>
        <w:tblW w:w="0" w:type="auto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766"/>
      </w:tblGrid>
      <w:tr>
        <w:trPr>
          <w:jc w:val="center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815"/>
              <w:keepNext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91710" cy="2523490"/>
                      <wp:effectExtent l="0" t="0" r="0" b="0"/>
                      <wp:docPr id="11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" hidden="0"/>
                              <pic:cNvPicPr/>
                              <pic:nvPr isPhoto="0" userDrawn="0"/>
                            </pic:nvPicPr>
                            <pic:blipFill>
                              <a:blip r:embed="rId28"/>
                              <a:srcRect l="0" t="8394" r="6784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791710" cy="2523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mso-wrap-distance-left:0.0pt;mso-wrap-distance-top:0.0pt;mso-wrap-distance-right:0.0pt;mso-wrap-distance-bottom:0.0pt;width:377.3pt;height:198.7pt;" stroked="f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3"/>
        <w:rPr>
          <w:lang w:val="pt-BR"/>
        </w:rPr>
      </w:pPr>
      <w:r/>
      <w:bookmarkStart w:id="14" w:name="_Ref87373039"/>
      <w:r>
        <w:rPr>
          <w:lang w:val="pt-BR"/>
        </w:rPr>
        <w:t xml:space="preserve">Figura </w:t>
      </w:r>
      <w:r>
        <w:fldChar w:fldCharType="begin"/>
      </w:r>
      <w:r>
        <w:rPr>
          <w:lang w:val="pt-BR"/>
        </w:rPr>
        <w:instrText xml:space="preserve"> SEQ Figura \* ARABIC </w:instrText>
      </w:r>
      <w:r>
        <w:fldChar w:fldCharType="separate"/>
      </w:r>
      <w:r>
        <w:rPr>
          <w:lang w:val="pt-BR"/>
        </w:rPr>
        <w:t xml:space="preserve">11</w:t>
      </w:r>
      <w:r>
        <w:fldChar w:fldCharType="end"/>
      </w:r>
      <w:bookmarkEnd w:id="14"/>
      <w:r>
        <w:rPr>
          <w:lang w:val="pt-BR"/>
        </w:rPr>
        <w:t xml:space="preserve">. </w:t>
      </w:r>
      <w:r>
        <w:rPr>
          <w:lang w:val="pt-BR"/>
        </w:rPr>
        <w:t xml:space="preserve">Distribuição percentual dos focos de queimadas por regiões brasileiras no período compreendido entre os anos 2000 e 2020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Do ponto de vista dos anos atípicos, ou seja, aqueles que reuniram a maior ou a menor quantidade de focos de incêndio por região, tem-se a síntese apresentada 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_Ref87374177 \h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Tabela </w:t>
      </w:r>
      <w:r>
        <w:rPr>
          <w:lang w:val="pt-BR"/>
        </w:rPr>
        <w:fldChar w:fldCharType="end"/>
      </w:r>
      <w:r>
        <w:rPr>
          <w:lang w:val="pt-BR"/>
        </w:rPr>
        <w:t xml:space="preserve">3</w:t>
      </w:r>
      <w:r>
        <w:rPr>
          <w:lang w:val="pt-BR"/>
        </w:rPr>
        <w:t xml:space="preserve">. Observe que, excetuando-se a região Centro-Oeste, os dois anos iniciais do período avaliado são os que apresentaram as menores concentrações de focos de incêndio.</w:t>
      </w:r>
      <w:r/>
    </w:p>
    <w:p>
      <w:pPr>
        <w:ind w:firstLine="567"/>
        <w:rPr>
          <w:lang w:val="pt-BR"/>
        </w:rPr>
      </w:pPr>
      <w:r>
        <w:rPr>
          <w:lang w:val="pt-BR"/>
        </w:rPr>
      </w:r>
      <w:r/>
    </w:p>
    <w:p>
      <w:pPr>
        <w:pStyle w:val="813"/>
        <w:keepNext/>
        <w:rPr>
          <w:lang w:val="pt-BR"/>
        </w:rPr>
      </w:pPr>
      <w:r/>
      <w:bookmarkStart w:id="15" w:name="_Ref87374177"/>
      <w:r>
        <w:rPr>
          <w:lang w:val="pt-BR"/>
        </w:rPr>
        <w:t xml:space="preserve">Tabela </w:t>
      </w:r>
      <w:r>
        <w:fldChar w:fldCharType="begin"/>
      </w:r>
      <w:r>
        <w:rPr>
          <w:lang w:val="pt-BR"/>
        </w:rPr>
        <w:instrText xml:space="preserve"> SEQ Tabela \* ARABIC </w:instrText>
      </w:r>
      <w:r>
        <w:fldChar w:fldCharType="separate"/>
      </w:r>
      <w:r>
        <w:rPr>
          <w:lang w:val="pt-BR"/>
        </w:rPr>
        <w:t xml:space="preserve">3</w:t>
      </w:r>
      <w:r>
        <w:fldChar w:fldCharType="end"/>
      </w:r>
      <w:bookmarkEnd w:id="15"/>
      <w:r>
        <w:rPr>
          <w:lang w:val="pt-BR"/>
        </w:rPr>
        <w:t xml:space="preserve">. Síntese dos anos com maior e menor quantidade de focos de incêndio por região entre os anos 2000 e 2020</w:t>
      </w:r>
      <w:r/>
    </w:p>
    <w:tbl>
      <w:tblPr>
        <w:tblW w:w="0" w:type="auto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856"/>
        <w:gridCol w:w="910"/>
      </w:tblGrid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="0"/>
              <w:rPr>
                <w:b/>
                <w:bCs/>
                <w:lang w:val="pt-BR"/>
              </w:rPr>
            </w:pPr>
            <w:r>
              <w:rPr>
                <w:b/>
                <w:bCs/>
              </w:rPr>
              <w:t xml:space="preserve">Região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="0"/>
              <w:rPr>
                <w:b/>
                <w:bCs/>
                <w:lang w:val="pt-BR"/>
              </w:rPr>
            </w:pPr>
            <w:r>
              <w:rPr>
                <w:b/>
                <w:bCs/>
              </w:rPr>
              <w:t xml:space="preserve">Maior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="0"/>
              <w:rPr>
                <w:b/>
                <w:bCs/>
                <w:lang w:val="pt-BR"/>
              </w:rPr>
            </w:pPr>
            <w:r>
              <w:rPr>
                <w:b/>
                <w:bCs/>
              </w:rPr>
              <w:t xml:space="preserve">Menor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="0"/>
              <w:rPr>
                <w:lang w:val="pt-BR"/>
              </w:rPr>
            </w:pPr>
            <w:r>
              <w:t xml:space="preserve">Centro-Oeste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="0"/>
              <w:rPr>
                <w:lang w:val="pt-BR"/>
              </w:rPr>
            </w:pPr>
            <w:r>
              <w:t xml:space="preserve">2004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="0"/>
              <w:rPr>
                <w:lang w:val="pt-BR"/>
              </w:rPr>
            </w:pPr>
            <w:r>
              <w:t xml:space="preserve">2018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="0"/>
              <w:rPr>
                <w:lang w:val="pt-BR"/>
              </w:rPr>
            </w:pPr>
            <w:r>
              <w:t xml:space="preserve">Nordeste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="0"/>
              <w:rPr>
                <w:lang w:val="pt-BR"/>
              </w:rPr>
            </w:pPr>
            <w:r>
              <w:t xml:space="preserve">2007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="0"/>
              <w:rPr>
                <w:lang w:val="pt-BR"/>
              </w:rPr>
            </w:pPr>
            <w:r>
              <w:t xml:space="preserve">2000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="0"/>
              <w:rPr>
                <w:lang w:val="pt-BR"/>
              </w:rPr>
            </w:pPr>
            <w:r>
              <w:t xml:space="preserve">Norte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="0"/>
              <w:rPr>
                <w:lang w:val="pt-BR"/>
              </w:rPr>
            </w:pPr>
            <w:r>
              <w:t xml:space="preserve">2005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="0"/>
              <w:rPr>
                <w:lang w:val="pt-BR"/>
              </w:rPr>
            </w:pPr>
            <w:r>
              <w:t xml:space="preserve">2000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="0"/>
              <w:rPr>
                <w:lang w:val="pt-BR"/>
              </w:rPr>
            </w:pPr>
            <w:r>
              <w:t xml:space="preserve">Sudeste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="0"/>
              <w:rPr>
                <w:lang w:val="pt-BR"/>
              </w:rPr>
            </w:pPr>
            <w:r>
              <w:t xml:space="preserve">2007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="0"/>
              <w:rPr>
                <w:lang w:val="pt-BR"/>
              </w:rPr>
            </w:pPr>
            <w:r>
              <w:t xml:space="preserve">2001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="0"/>
              <w:rPr>
                <w:lang w:val="pt-BR"/>
              </w:rPr>
            </w:pPr>
            <w:r>
              <w:t xml:space="preserve">Sul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="0"/>
              <w:rPr>
                <w:lang w:val="pt-BR"/>
              </w:rPr>
            </w:pPr>
            <w:r>
              <w:t xml:space="preserve">2003</w:t>
            </w:r>
            <w:r/>
          </w:p>
        </w:tc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="0"/>
              <w:rPr>
                <w:lang w:val="pt-BR"/>
              </w:rPr>
            </w:pPr>
            <w:r>
              <w:t xml:space="preserve">2001</w:t>
            </w:r>
            <w:r/>
          </w:p>
        </w:tc>
      </w:tr>
    </w:tbl>
    <w:p>
      <w:pPr>
        <w:ind w:firstLine="567"/>
        <w:rPr>
          <w:lang w:val="pt-BR"/>
        </w:rPr>
      </w:pPr>
      <w:r>
        <w:rPr>
          <w:lang w:val="pt-BR"/>
        </w:rPr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Uma análise minuciosa realizada observando-se as variações dos números de focos de incêndio ano a ano para todas as regiões revelou alguns eventos singulares:</w:t>
      </w:r>
      <w:r/>
    </w:p>
    <w:p>
      <w:pPr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De 2009 para 2010, as regiões Centro-oeste e Sudeste apresentaram crescimento expressivo na quantidade de incêndios, sendo verificado aumentos de 230% e 207% respectivamente;</w:t>
      </w:r>
      <w:r/>
    </w:p>
    <w:p>
      <w:pPr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A menor redução na quantidade de focos de incêndio entre dois anos consecutivos ocorreu na região Centro-Oeste entre os anos 2010 e 2011, quando o número de focos diminui de 80.401 para 27.138 focos, representando uma redução de 66,2%;</w:t>
      </w:r>
      <w:r/>
    </w:p>
    <w:p>
      <w:pPr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Observou-se ampla variabilidade anual das queimadas por região. Os valores obtidos para os desvios-padrões foram de no mínimo 36% do valor médio (região Nordeste) e no máximo 56% do valor médio (região Sul);</w:t>
      </w:r>
      <w:r/>
    </w:p>
    <w:p>
      <w:pPr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No período de 2007 a 2009 ocorreu redução na quantidade de focos de incêndio em todas as regiões, ou seja, em todo o território nacional. Em nenhum outro momento do período avaliado verificou-se tal ocorrência em intervalo de amplitude semelhante;</w:t>
      </w:r>
      <w:r/>
    </w:p>
    <w:p>
      <w:pPr>
        <w:ind w:firstLine="567"/>
        <w:rPr>
          <w:lang w:val="pt-BR"/>
        </w:rPr>
      </w:pPr>
      <w:r>
        <w:rPr>
          <w:lang w:val="pt-BR"/>
        </w:rPr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No âmbito nacional, os anos 2007 e 2004, nesta ordem, foram os anos mais críticos, pois apresent</w:t>
      </w:r>
      <w:r>
        <w:rPr>
          <w:lang w:val="pt-BR"/>
        </w:rPr>
        <w:t xml:space="preserve">aram as maiores quantidades de queimadas no período analisado. No ano de 2007 foram contabilizados 393.915 focos, evidenciando um acréscimo de aproximadamente 72% sobre a quantidade média de focos mensurada entre os anos de 2000 e 2020 que foi de 229.683. 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Por outro lado, os anos 2000 e 2013, nesta ordem, foram os anos mais amenos, apresentando as menores qu</w:t>
      </w:r>
      <w:r>
        <w:rPr>
          <w:lang w:val="pt-BR"/>
        </w:rPr>
        <w:t xml:space="preserve">antidades de focos de incêndio, exibindo decréscimos em torno de 56% e 44% em relação à média nacional para o período. De forma geral, em todo o Brasil, 7 anos apresentaram valores superiores à média do período avaliado: 2002 a 2007 e 2010. Em compensação,</w:t>
      </w:r>
      <w:r>
        <w:rPr>
          <w:lang w:val="pt-BR"/>
        </w:rPr>
        <w:t xml:space="preserve"> </w:t>
      </w:r>
      <w:r>
        <w:rPr>
          <w:lang w:val="pt-BR"/>
        </w:rPr>
        <w:t xml:space="preserve">14 anos estiveram abaixo da média do período avaliado: 2000, 2001, 2008, 2009 e 2011 a 2020. Tais resultados assemelham-se aos obtidos por [</w:t>
      </w:r>
      <w:r>
        <w:rPr>
          <w:lang w:val="pt-BR"/>
        </w:rPr>
        <w:t xml:space="preserve">Martins et al 2020</w:t>
      </w:r>
      <w:r>
        <w:rPr>
          <w:lang w:val="pt-BR"/>
        </w:rPr>
        <w:t xml:space="preserve">].</w:t>
      </w:r>
      <w:r/>
    </w:p>
    <w:p>
      <w:pPr>
        <w:pStyle w:val="795"/>
        <w:rPr>
          <w:lang w:val="pt-BR"/>
        </w:rPr>
      </w:pPr>
      <w:r>
        <w:rPr>
          <w:lang w:val="pt-BR"/>
        </w:rPr>
        <w:t xml:space="preserve">5</w:t>
      </w:r>
      <w:r>
        <w:rPr>
          <w:lang w:val="pt-BR"/>
        </w:rPr>
        <w:t xml:space="preserve">. </w:t>
      </w:r>
      <w:r>
        <w:rPr>
          <w:lang w:val="pt-BR"/>
        </w:rPr>
        <w:t xml:space="preserve">Conclusões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O presente trabalho apresentou de forma objetiva uma análise da distribuição temporal do número de focos de queimadas para as cinco regiões brasileiras, bem como uma visão geral de todo o território nacional entre os anos de 2000 e 2020. Os resultados obti</w:t>
      </w:r>
      <w:r>
        <w:rPr>
          <w:lang w:val="pt-BR"/>
        </w:rPr>
        <w:t xml:space="preserve">dos mostraram que ao longo dos anos houve ocorrências atípicas caracterizadas em sua maioria por elevações abruptas na quantidade de queimadas, a exemplo da região Sul que entre os anos 2001 e 2003 apresentou uma elevação 1333% na quantidade de incêndios. 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De forma geral, também foi verificado que, para todas as regiões, ao longo dos meses há um padrão de comportamento do número de focos de incêndio baseado nos máximos e mínimos acumulados em todos os anos, indicando sazonalidade. Assim </w:t>
      </w:r>
      <w:r>
        <w:rPr>
          <w:lang w:val="pt-BR"/>
        </w:rPr>
        <w:t xml:space="preserve">dizendo, determinados meses são sempre caracterizados por elevados índices de focos, enquanto outros apresentam comportamento inverso.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Do ponto de vista das médias anuais de focos queimadas, todas as regiões apresentaram elevada variabilidade, no mínimo 36% e no máximo 56% do valor médio. Provavel</w:t>
      </w:r>
      <w:r>
        <w:rPr>
          <w:lang w:val="pt-BR"/>
        </w:rPr>
        <w:t xml:space="preserve">mente, tal comportamento está associado à sazonalidade e a complexidade de classificação de um foco de calor como foco efetivo de incêndio. A região Nordeste foi a que apresentou menor variabilidade, ao passo que a região Sul ostenta a maior variabilidade.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Em se tratando de eventos comuns às regiões, o período entre os anos 2007 e 2009</w:t>
      </w:r>
      <w:r>
        <w:rPr>
          <w:lang w:val="pt-BR"/>
        </w:rPr>
        <w:t xml:space="preserve"> merece destaque por ser caracterizado pela redução do número de queimadas em todas as regiões. Portanto, o Brasil experimentou tal fenômeno. Ainda no âmbito nacional, os anos de 2000 e 2013 foram os que obtiveram menores índices de queimadas.</w:t>
      </w:r>
      <w:r/>
    </w:p>
    <w:p>
      <w:pPr>
        <w:ind w:firstLine="567"/>
        <w:rPr>
          <w:lang w:val="pt-BR"/>
        </w:rPr>
      </w:pPr>
      <w:r>
        <w:rPr>
          <w:lang w:val="pt-BR"/>
        </w:rPr>
        <w:t xml:space="preserve">Os resultados deste trabalho demonstraram que a região Norte, por ser a mais extensa e a menos povoada, é a que possui maior participação na quantidade de focos de queimadas em todo o Brasil, 40,66% no período avaliado</w:t>
      </w:r>
      <w:r>
        <w:rPr>
          <w:lang w:val="pt-BR"/>
        </w:rPr>
        <w:t xml:space="preserve">, </w:t>
      </w:r>
      <w:r>
        <w:rPr>
          <w:lang w:val="pt-BR"/>
        </w:rPr>
        <w:t xml:space="preserve">sendo desta forma ótima fonte de estudos para trabalhos futuros. </w:t>
      </w:r>
      <w:r>
        <w:rPr>
          <w:lang w:val="pt-BR"/>
        </w:rPr>
        <w:t xml:space="preserve">As regiões Nordeste e Centro-Oeste, que responderam por aproximadamente 50% do número de queimadas no território nacional, também são excelentes opções para trabalhos futuros mais aprofundados</w:t>
      </w:r>
      <w:r>
        <w:rPr>
          <w:color w:val="000000"/>
          <w:sz w:val="27"/>
          <w:szCs w:val="27"/>
          <w:lang w:val="pt-BR"/>
        </w:rPr>
        <w:t xml:space="preserve">.</w:t>
      </w:r>
      <w:r>
        <w:rPr>
          <w:color w:val="000000"/>
          <w:sz w:val="27"/>
          <w:szCs w:val="27"/>
          <w:lang w:val="pt-BR"/>
        </w:rPr>
        <w:t xml:space="preserve"> </w:t>
      </w:r>
      <w:r>
        <w:rPr>
          <w:lang w:val="pt-BR"/>
        </w:rPr>
        <w:t xml:space="preserve">Acrescenta-se a sugestão de um estudo detalhado das </w:t>
      </w:r>
      <w:r>
        <w:rPr>
          <w:lang w:val="pt-BR"/>
        </w:rPr>
        <w:t xml:space="preserve">políticas</w:t>
      </w:r>
      <w:r>
        <w:rPr>
          <w:lang w:val="pt-BR"/>
        </w:rPr>
        <w:t xml:space="preserve"> </w:t>
      </w:r>
      <w:r>
        <w:rPr>
          <w:lang w:val="pt-BR"/>
        </w:rPr>
        <w:t xml:space="preserve">públicas</w:t>
      </w:r>
      <w:r>
        <w:rPr>
          <w:lang w:val="pt-BR"/>
        </w:rPr>
        <w:t xml:space="preserve"> realizadas nos períodos de máximo e mínimo para cada região, afim de descobrir quais as melhores ações a serem tomadas para controle do número de focos de queimada</w:t>
      </w:r>
      <w:r>
        <w:rPr>
          <w:lang w:val="pt-BR"/>
        </w:rPr>
        <w:t xml:space="preserve">. Uma vez que o INPE possui uma extensa base de dados, tais propostas são totalmente factíveis.</w:t>
      </w:r>
      <w:r/>
    </w:p>
    <w:p>
      <w:pPr>
        <w:ind w:firstLine="567"/>
        <w:rPr>
          <w:lang w:val="pt-BR"/>
        </w:rPr>
      </w:pPr>
      <w:r>
        <w:rPr>
          <w:lang w:val="pt-BR"/>
        </w:rPr>
      </w:r>
      <w:r/>
    </w:p>
    <w:p>
      <w:pPr>
        <w:pStyle w:val="795"/>
        <w:rPr>
          <w:lang w:val="pt-BR"/>
        </w:rPr>
      </w:pPr>
      <w:r>
        <w:rPr>
          <w:lang w:val="pt-BR"/>
        </w:rPr>
        <w:t xml:space="preserve">Refer</w:t>
      </w:r>
      <w:r>
        <w:rPr>
          <w:lang w:val="pt-BR"/>
        </w:rPr>
        <w:t xml:space="preserve">ências</w:t>
      </w:r>
      <w:r/>
    </w:p>
    <w:p>
      <w:pPr>
        <w:pStyle w:val="810"/>
        <w:rPr>
          <w:lang w:val="pt-BR"/>
        </w:rPr>
      </w:pPr>
      <w:r>
        <w:rPr>
          <w:lang w:val="pt-BR"/>
        </w:rPr>
      </w:r>
      <w:r/>
    </w:p>
    <w:p>
      <w:pPr>
        <w:pStyle w:val="810"/>
        <w:rPr>
          <w:lang w:val="pt-BR"/>
        </w:rPr>
      </w:pPr>
      <w:r>
        <w:rPr>
          <w:lang w:val="pt-BR"/>
        </w:rPr>
        <w:t xml:space="preserve">Arima</w:t>
      </w:r>
      <w:r>
        <w:rPr>
          <w:lang w:val="pt-BR"/>
        </w:rPr>
        <w:t xml:space="preserve">, E.; </w:t>
      </w:r>
      <w:r>
        <w:rPr>
          <w:lang w:val="pt-BR"/>
        </w:rPr>
        <w:t xml:space="preserve">Barreto</w:t>
      </w:r>
      <w:r>
        <w:rPr>
          <w:lang w:val="pt-BR"/>
        </w:rPr>
        <w:t xml:space="preserve">, P.; </w:t>
      </w:r>
      <w:r>
        <w:rPr>
          <w:lang w:val="pt-BR"/>
        </w:rPr>
        <w:t xml:space="preserve">Brito</w:t>
      </w:r>
      <w:r>
        <w:rPr>
          <w:lang w:val="pt-BR"/>
        </w:rPr>
        <w:t xml:space="preserve">, M. </w:t>
      </w:r>
      <w:r>
        <w:rPr>
          <w:lang w:val="pt-BR"/>
        </w:rPr>
        <w:t xml:space="preserve">(2005) “</w:t>
      </w:r>
      <w:r>
        <w:rPr>
          <w:lang w:val="pt-BR"/>
        </w:rPr>
        <w:t xml:space="preserve">Pecuária na Amazônia: tendências e implicações para a conservação ambiental</w:t>
      </w:r>
      <w:r>
        <w:rPr>
          <w:lang w:val="pt-BR"/>
        </w:rPr>
        <w:t xml:space="preserve">”,</w:t>
      </w:r>
      <w:r>
        <w:rPr>
          <w:lang w:val="pt-BR"/>
        </w:rPr>
        <w:t xml:space="preserve"> </w:t>
      </w:r>
      <w:r>
        <w:rPr>
          <w:lang w:val="pt-BR"/>
        </w:rPr>
        <w:t xml:space="preserve">Instituto do Homem e Meio Ambiente da Amazônia</w:t>
      </w:r>
      <w:r>
        <w:rPr>
          <w:lang w:val="pt-BR"/>
        </w:rPr>
        <w:t xml:space="preserve">, </w:t>
      </w:r>
      <w:r>
        <w:rPr>
          <w:lang w:val="pt-BR"/>
        </w:rPr>
        <w:t xml:space="preserve">Belém.</w:t>
      </w:r>
      <w:r/>
    </w:p>
    <w:p>
      <w:pPr>
        <w:pStyle w:val="810"/>
      </w:pPr>
      <w:r>
        <w:t xml:space="preserve">Gatti, L.V., Basso, L.S., Miller, J.B. et al. (</w:t>
      </w:r>
      <w:r>
        <w:t xml:space="preserve">2021</w:t>
      </w:r>
      <w:r>
        <w:t xml:space="preserve">) “Amazonia as a carbon source linked to deforestation and climate change”, </w:t>
      </w:r>
      <w:r>
        <w:t xml:space="preserve">Nature</w:t>
      </w:r>
      <w:r>
        <w:t xml:space="preserve">,</w:t>
      </w:r>
      <w:r>
        <w:t xml:space="preserve"> v. 595, p. 388–393.</w:t>
      </w:r>
      <w:r/>
    </w:p>
    <w:p>
      <w:pPr>
        <w:pStyle w:val="810"/>
        <w:rPr>
          <w:lang w:val="pt-BR"/>
        </w:rPr>
      </w:pPr>
      <w:r>
        <w:rPr>
          <w:lang w:val="pt-BR"/>
        </w:rPr>
        <w:t xml:space="preserve">IBGE (2021) “Ár</w:t>
      </w:r>
      <w:r>
        <w:rPr>
          <w:lang w:val="pt-BR"/>
        </w:rPr>
        <w:t xml:space="preserve">eas Territoriais</w:t>
      </w:r>
      <w:r>
        <w:rPr>
          <w:lang w:val="pt-BR"/>
        </w:rPr>
        <w:t xml:space="preserve">”</w:t>
      </w:r>
      <w:r>
        <w:rPr>
          <w:lang w:val="pt-BR"/>
        </w:rPr>
        <w:t xml:space="preserve">,</w:t>
      </w:r>
      <w:r>
        <w:rPr>
          <w:lang w:val="pt-BR"/>
        </w:rPr>
        <w:t xml:space="preserve"> </w:t>
      </w:r>
      <w:r>
        <w:rPr>
          <w:lang w:val="pt-BR"/>
        </w:rPr>
        <w:t xml:space="preserve">https://www.ibge.gov.br/geociencias/organizacao-do-territorio/estrutura-territorial/15761-areas-dos-municipios.html?=&amp;t=sobre</w:t>
      </w:r>
      <w:r>
        <w:rPr>
          <w:lang w:val="pt-BR"/>
        </w:rPr>
        <w:t xml:space="preserve">, Novembro.</w:t>
      </w:r>
      <w:r/>
    </w:p>
    <w:p>
      <w:pPr>
        <w:pStyle w:val="810"/>
        <w:rPr>
          <w:lang w:val="pt-BR"/>
        </w:rPr>
      </w:pPr>
      <w:r>
        <w:rPr>
          <w:lang w:val="pt-BR"/>
        </w:rPr>
        <w:t xml:space="preserve">INPE</w:t>
      </w:r>
      <w:r>
        <w:rPr>
          <w:lang w:val="pt-BR"/>
        </w:rPr>
        <w:t xml:space="preserve"> (2021)</w:t>
      </w:r>
      <w:r>
        <w:rPr>
          <w:lang w:val="pt-BR"/>
        </w:rPr>
        <w:t xml:space="preserve"> </w:t>
      </w:r>
      <w:r>
        <w:rPr>
          <w:lang w:val="pt-BR"/>
        </w:rPr>
        <w:t xml:space="preserve">“</w:t>
      </w:r>
      <w:r>
        <w:rPr>
          <w:lang w:val="pt-BR"/>
        </w:rPr>
        <w:t xml:space="preserve">Programa de Queimadas</w:t>
      </w:r>
      <w:r>
        <w:rPr>
          <w:lang w:val="pt-BR"/>
        </w:rPr>
        <w:t xml:space="preserve"> - </w:t>
      </w:r>
      <w:r>
        <w:rPr>
          <w:lang w:val="pt-BR"/>
        </w:rPr>
        <w:t xml:space="preserve">Apresentação: Queimadas e Incêndios Florestais</w:t>
      </w:r>
      <w:r>
        <w:rPr>
          <w:lang w:val="pt-BR"/>
        </w:rPr>
        <w:t xml:space="preserve">”, </w:t>
      </w:r>
      <w:r>
        <w:rPr>
          <w:lang w:val="pt-BR"/>
        </w:rPr>
        <w:t xml:space="preserve">https://queimadas.dgi.inpe.br/queimadas/portal/informacoes/apresentacao</w:t>
      </w:r>
      <w:r>
        <w:rPr>
          <w:lang w:val="pt-BR"/>
        </w:rPr>
        <w:t xml:space="preserve">, Outubro.</w:t>
      </w:r>
      <w:r/>
    </w:p>
    <w:p>
      <w:pPr>
        <w:pStyle w:val="810"/>
        <w:rPr>
          <w:lang w:val="pt-BR"/>
        </w:rPr>
      </w:pPr>
      <w:r>
        <w:rPr>
          <w:lang w:val="pt-BR"/>
        </w:rPr>
        <w:t xml:space="preserve">MAPA </w:t>
      </w:r>
      <w:r>
        <w:rPr>
          <w:lang w:val="pt-BR"/>
        </w:rPr>
        <w:t xml:space="preserve">(2007) “</w:t>
      </w:r>
      <w:r>
        <w:rPr>
          <w:lang w:val="pt-BR"/>
        </w:rPr>
        <w:t xml:space="preserve">Ministério de Agricultura, Pecuária e Abastecimento</w:t>
      </w:r>
      <w:r>
        <w:rPr>
          <w:lang w:val="pt-BR"/>
        </w:rPr>
        <w:t xml:space="preserve"> - </w:t>
      </w:r>
      <w:r>
        <w:rPr>
          <w:lang w:val="pt-BR"/>
        </w:rPr>
        <w:t xml:space="preserve">Balanço anual da cana-de-açúcar e agroenergia</w:t>
      </w:r>
      <w:r>
        <w:rPr>
          <w:lang w:val="pt-BR"/>
        </w:rPr>
        <w:t xml:space="preserve">”, </w:t>
      </w:r>
      <w:r>
        <w:rPr>
          <w:lang w:val="pt-BR"/>
        </w:rPr>
        <w:t xml:space="preserve">http://www.agencia.cnptia.embrapa.br/gestor/cana-de-acucar/catalogo/REC000fjk9d97f02wyiv80sq98yq8ayzodp.html</w:t>
      </w:r>
      <w:r>
        <w:rPr>
          <w:lang w:val="pt-BR"/>
        </w:rPr>
        <w:t xml:space="preserve">, Novembro.</w:t>
      </w:r>
      <w:r/>
    </w:p>
    <w:p>
      <w:pPr>
        <w:pStyle w:val="810"/>
        <w:rPr>
          <w:lang w:val="pt-BR"/>
        </w:rPr>
      </w:pPr>
      <w:r>
        <w:rPr>
          <w:lang w:val="pt-BR"/>
        </w:rPr>
        <w:t xml:space="preserve">Mapbiomas Brasil</w:t>
      </w:r>
      <w:r>
        <w:rPr>
          <w:lang w:val="pt-BR"/>
        </w:rPr>
        <w:t xml:space="preserve"> (2021)</w:t>
      </w:r>
      <w:r>
        <w:rPr>
          <w:lang w:val="pt-BR"/>
        </w:rPr>
        <w:t xml:space="preserve"> </w:t>
      </w:r>
      <w:r>
        <w:rPr>
          <w:lang w:val="pt-BR"/>
        </w:rPr>
        <w:t xml:space="preserve">“</w:t>
      </w:r>
      <w:r>
        <w:rPr>
          <w:lang w:val="pt-BR"/>
        </w:rPr>
        <w:t xml:space="preserve">A cada ano, Brasil queima área maior que a Inglaterra</w:t>
      </w:r>
      <w:r>
        <w:rPr>
          <w:lang w:val="pt-BR"/>
        </w:rPr>
        <w:t xml:space="preserve">”, </w:t>
      </w:r>
      <w:r>
        <w:rPr>
          <w:lang w:val="pt-BR"/>
        </w:rPr>
        <w:t xml:space="preserve">https://mapbiomas.org/a-cada-ano-brasil-queima-area-maior-que-a-inglaterra</w:t>
      </w:r>
      <w:r>
        <w:rPr>
          <w:lang w:val="pt-BR"/>
        </w:rPr>
        <w:t xml:space="preserve">, Outubro</w:t>
      </w:r>
      <w:r>
        <w:rPr>
          <w:lang w:val="pt-BR"/>
        </w:rPr>
        <w:t xml:space="preserve">.</w:t>
      </w:r>
      <w:r/>
    </w:p>
    <w:p>
      <w:pPr>
        <w:pStyle w:val="810"/>
        <w:rPr>
          <w:lang w:val="pt-BR"/>
        </w:rPr>
      </w:pPr>
      <w:r>
        <w:rPr>
          <w:lang w:val="pt-BR"/>
        </w:rPr>
        <w:t xml:space="preserve">Martins</w:t>
      </w:r>
      <w:r>
        <w:rPr>
          <w:lang w:val="pt-BR"/>
        </w:rPr>
        <w:t xml:space="preserve">, G</w:t>
      </w:r>
      <w:r>
        <w:rPr>
          <w:lang w:val="pt-BR"/>
        </w:rPr>
        <w:t xml:space="preserve">.</w:t>
      </w:r>
      <w:r>
        <w:rPr>
          <w:lang w:val="pt-BR"/>
        </w:rPr>
        <w:t xml:space="preserve">; </w:t>
      </w:r>
      <w:r>
        <w:rPr>
          <w:lang w:val="pt-BR"/>
        </w:rPr>
        <w:t xml:space="preserve">Rosa</w:t>
      </w:r>
      <w:r>
        <w:rPr>
          <w:lang w:val="pt-BR"/>
        </w:rPr>
        <w:t xml:space="preserve">, A</w:t>
      </w:r>
      <w:r>
        <w:rPr>
          <w:lang w:val="pt-BR"/>
        </w:rPr>
        <w:t xml:space="preserve">.</w:t>
      </w:r>
      <w:r>
        <w:rPr>
          <w:lang w:val="pt-BR"/>
        </w:rPr>
        <w:t xml:space="preserve"> S</w:t>
      </w:r>
      <w:r>
        <w:rPr>
          <w:lang w:val="pt-BR"/>
        </w:rPr>
        <w:t xml:space="preserve">.</w:t>
      </w:r>
      <w:r>
        <w:rPr>
          <w:lang w:val="pt-BR"/>
        </w:rPr>
        <w:t xml:space="preserve">; </w:t>
      </w:r>
      <w:r>
        <w:rPr>
          <w:lang w:val="pt-BR"/>
        </w:rPr>
        <w:t xml:space="preserve">Setzer</w:t>
      </w:r>
      <w:r>
        <w:rPr>
          <w:lang w:val="pt-BR"/>
        </w:rPr>
        <w:t xml:space="preserve">, A</w:t>
      </w:r>
      <w:r>
        <w:rPr>
          <w:lang w:val="pt-BR"/>
        </w:rPr>
        <w:t xml:space="preserve">.</w:t>
      </w:r>
      <w:r>
        <w:rPr>
          <w:lang w:val="pt-BR"/>
        </w:rPr>
        <w:t xml:space="preserve">; </w:t>
      </w:r>
      <w:r>
        <w:rPr>
          <w:lang w:val="pt-BR"/>
        </w:rPr>
        <w:t xml:space="preserve">Rosa</w:t>
      </w:r>
      <w:r>
        <w:rPr>
          <w:lang w:val="pt-BR"/>
        </w:rPr>
        <w:t xml:space="preserve">, W</w:t>
      </w:r>
      <w:r>
        <w:rPr>
          <w:lang w:val="pt-BR"/>
        </w:rPr>
        <w:t xml:space="preserve">.</w:t>
      </w:r>
      <w:r>
        <w:rPr>
          <w:lang w:val="pt-BR"/>
        </w:rPr>
        <w:t xml:space="preserve">; </w:t>
      </w:r>
      <w:r>
        <w:rPr>
          <w:lang w:val="pt-BR"/>
        </w:rPr>
        <w:t xml:space="preserve">Morelli</w:t>
      </w:r>
      <w:r>
        <w:rPr>
          <w:lang w:val="pt-BR"/>
        </w:rPr>
        <w:t xml:space="preserve">, F</w:t>
      </w:r>
      <w:r>
        <w:rPr>
          <w:lang w:val="pt-BR"/>
        </w:rPr>
        <w:t xml:space="preserve">.</w:t>
      </w:r>
      <w:r>
        <w:rPr>
          <w:lang w:val="pt-BR"/>
        </w:rPr>
        <w:t xml:space="preserve">; </w:t>
      </w:r>
      <w:r>
        <w:rPr>
          <w:lang w:val="pt-BR"/>
        </w:rPr>
        <w:t xml:space="preserve">Bassanelli</w:t>
      </w:r>
      <w:r>
        <w:rPr>
          <w:lang w:val="pt-BR"/>
        </w:rPr>
        <w:t xml:space="preserve">, A. </w:t>
      </w:r>
      <w:r>
        <w:rPr>
          <w:lang w:val="pt-BR"/>
        </w:rPr>
        <w:t xml:space="preserve">(2020) “</w:t>
      </w:r>
      <w:r>
        <w:rPr>
          <w:lang w:val="pt-BR"/>
        </w:rPr>
        <w:t xml:space="preserve">Dinâmica Espaço-Temporal das Queimadas no Brasil no Período de 2003 a 2018</w:t>
      </w:r>
      <w:r>
        <w:rPr>
          <w:lang w:val="pt-BR"/>
        </w:rPr>
        <w:t xml:space="preserve">”,</w:t>
      </w:r>
      <w:r>
        <w:rPr>
          <w:lang w:val="pt-BR"/>
        </w:rPr>
        <w:t xml:space="preserve"> Revista Brasileira de Geografia Física, v. 13, n. 4, p. 1558-1569. </w:t>
      </w:r>
      <w:r/>
    </w:p>
    <w:p>
      <w:pPr>
        <w:pStyle w:val="810"/>
        <w:rPr>
          <w:lang w:val="pt-BR"/>
        </w:rPr>
      </w:pPr>
      <w:r>
        <w:rPr>
          <w:lang w:val="pt-BR"/>
        </w:rPr>
        <w:t xml:space="preserve">Rocha, M</w:t>
      </w:r>
      <w:r>
        <w:rPr>
          <w:lang w:val="pt-BR"/>
        </w:rPr>
        <w:t xml:space="preserve">.</w:t>
      </w:r>
      <w:r>
        <w:rPr>
          <w:lang w:val="pt-BR"/>
        </w:rPr>
        <w:t xml:space="preserve"> I</w:t>
      </w:r>
      <w:r>
        <w:rPr>
          <w:lang w:val="pt-BR"/>
        </w:rPr>
        <w:t xml:space="preserve">. </w:t>
      </w:r>
      <w:r>
        <w:rPr>
          <w:lang w:val="pt-BR"/>
        </w:rPr>
        <w:t xml:space="preserve">S</w:t>
      </w:r>
      <w:r>
        <w:rPr>
          <w:lang w:val="pt-BR"/>
        </w:rPr>
        <w:t xml:space="preserve">.</w:t>
      </w:r>
      <w:r>
        <w:rPr>
          <w:lang w:val="pt-BR"/>
        </w:rPr>
        <w:t xml:space="preserve">;</w:t>
      </w:r>
      <w:r>
        <w:rPr>
          <w:lang w:val="pt-BR"/>
        </w:rPr>
        <w:t xml:space="preserve"> </w:t>
      </w:r>
      <w:r>
        <w:rPr>
          <w:lang w:val="pt-BR"/>
        </w:rPr>
        <w:t xml:space="preserve">Nascimento</w:t>
      </w:r>
      <w:r>
        <w:rPr>
          <w:lang w:val="pt-BR"/>
        </w:rPr>
        <w:t xml:space="preserve">, D. T. F</w:t>
      </w:r>
      <w:r>
        <w:rPr>
          <w:lang w:val="pt-BR"/>
        </w:rPr>
        <w:t xml:space="preserve">. </w:t>
      </w:r>
      <w:r>
        <w:rPr>
          <w:lang w:val="pt-BR"/>
        </w:rPr>
        <w:t xml:space="preserve">(2021)</w:t>
      </w:r>
      <w:r>
        <w:rPr>
          <w:lang w:val="pt-BR"/>
        </w:rPr>
        <w:t xml:space="preserve"> “</w:t>
      </w:r>
      <w:r>
        <w:rPr>
          <w:lang w:val="pt-BR"/>
        </w:rPr>
        <w:t xml:space="preserve">Distribuição espaço-temporal das queimadas no bioma Cerrado (1999/2018) e sua ocorrência conforme os diferentes tipos de cobertura e uso do solo</w:t>
      </w:r>
      <w:r>
        <w:rPr>
          <w:lang w:val="pt-BR"/>
        </w:rPr>
        <w:t xml:space="preserve">”,</w:t>
      </w:r>
      <w:r>
        <w:rPr>
          <w:lang w:val="pt-BR"/>
        </w:rPr>
        <w:t xml:space="preserve"> Revista Brasileira de Geografia Física</w:t>
      </w:r>
      <w:r>
        <w:rPr>
          <w:lang w:val="pt-BR"/>
        </w:rPr>
        <w:t xml:space="preserve">, </w:t>
      </w:r>
      <w:r>
        <w:rPr>
          <w:lang w:val="pt-BR"/>
        </w:rPr>
        <w:t xml:space="preserve">v.14, n.03</w:t>
      </w:r>
      <w:r>
        <w:rPr>
          <w:lang w:val="pt-BR"/>
        </w:rPr>
        <w:t xml:space="preserve">, p.</w:t>
      </w:r>
      <w:r>
        <w:rPr>
          <w:lang w:val="pt-BR"/>
        </w:rPr>
        <w:t xml:space="preserve">1220-1235</w:t>
      </w:r>
      <w:r>
        <w:rPr>
          <w:lang w:val="pt-BR"/>
        </w:rPr>
        <w:t xml:space="preserve">.</w:t>
      </w:r>
      <w:r/>
    </w:p>
    <w:p>
      <w:pPr>
        <w:pStyle w:val="810"/>
        <w:rPr>
          <w:lang w:val="pt-BR"/>
        </w:rPr>
      </w:pPr>
      <w:r>
        <w:rPr>
          <w:lang w:val="pt-BR"/>
        </w:rPr>
        <w:t xml:space="preserve">Schlesinger</w:t>
      </w:r>
      <w:r>
        <w:rPr>
          <w:lang w:val="pt-BR"/>
        </w:rPr>
        <w:t xml:space="preserve">, S.; </w:t>
      </w:r>
      <w:r>
        <w:rPr>
          <w:lang w:val="pt-BR"/>
        </w:rPr>
        <w:t xml:space="preserve">Noronha</w:t>
      </w:r>
      <w:r>
        <w:rPr>
          <w:lang w:val="pt-BR"/>
        </w:rPr>
        <w:t xml:space="preserve">, S.</w:t>
      </w:r>
      <w:r>
        <w:rPr>
          <w:lang w:val="pt-BR"/>
        </w:rPr>
        <w:t xml:space="preserve"> (2006)</w:t>
      </w:r>
      <w:r>
        <w:rPr>
          <w:lang w:val="pt-BR"/>
        </w:rPr>
        <w:t xml:space="preserve"> </w:t>
      </w:r>
      <w:r>
        <w:rPr>
          <w:lang w:val="pt-BR"/>
        </w:rPr>
        <w:t xml:space="preserve">“</w:t>
      </w:r>
      <w:r>
        <w:rPr>
          <w:lang w:val="pt-BR"/>
        </w:rPr>
        <w:t xml:space="preserve">O Brasil está nu!</w:t>
      </w:r>
      <w:r>
        <w:rPr>
          <w:lang w:val="pt-BR"/>
        </w:rPr>
        <w:t xml:space="preserve"> - </w:t>
      </w:r>
      <w:r>
        <w:rPr>
          <w:lang w:val="pt-BR"/>
        </w:rPr>
        <w:t xml:space="preserve">O avanço da monocultura da soja, o grão que cresceu demais</w:t>
      </w:r>
      <w:r>
        <w:rPr>
          <w:lang w:val="pt-BR"/>
        </w:rPr>
        <w:t xml:space="preserve">”, </w:t>
      </w:r>
      <w:r>
        <w:rPr>
          <w:lang w:val="pt-BR"/>
        </w:rPr>
        <w:t xml:space="preserve">FASE</w:t>
      </w:r>
      <w:r>
        <w:rPr>
          <w:lang w:val="pt-BR"/>
        </w:rPr>
        <w:t xml:space="preserve">, </w:t>
      </w:r>
      <w:r>
        <w:rPr>
          <w:lang w:val="pt-BR"/>
        </w:rPr>
        <w:t xml:space="preserve">Rio de Janeiro.</w:t>
      </w:r>
      <w:r/>
    </w:p>
    <w:sectPr>
      <w:headerReference w:type="default" r:id="rId11"/>
      <w:headerReference w:type="even" r:id="rId12"/>
      <w:footerReference w:type="even" r:id="rId15"/>
      <w:footerReference w:type="first" r:id="rId16"/>
      <w:footnotePr/>
      <w:endnotePr/>
      <w:type w:val="continuous"/>
      <w:pgSz w:w="11907" w:h="16840" w:orient="portrait"/>
      <w:pgMar w:top="1985" w:right="1701" w:bottom="1418" w:left="1701" w:header="964" w:footer="964" w:gutter="0"/>
      <w:pgNumType w:start="101"/>
      <w:cols w:num="1" w:sep="0" w:space="454" w:equalWidth="0">
        <w:col w:w="8505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10000000000000000"/>
  </w:font>
  <w:font w:name="Courier New">
    <w:panose1 w:val="02070409020205020404"/>
  </w:font>
  <w:font w:name="helvetica">
    <w:panose1 w:val="020B0604020202020204"/>
  </w:font>
  <w:font w:name="Times">
    <w:panose1 w:val="020206030504050203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left"/>
    </w:pPr>
    <w:r>
      <w:t xml:space="preserve">Proceedings of the XII SIBGRAPI (October 1999)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t xml:space="preserve">Proceedings of the XII SIBGRAPI (October 1999) 101-104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left"/>
    </w:pPr>
    <w:r>
      <w:t xml:space="preserve">Proceedings of the XII SIBGRAPI (October 1999)</w: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t xml:space="preserve">Proceedings of the XII SIBGRAPI (October 1999) 101-104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framePr w:wrap="around" w:vAnchor="text" w:hAnchor="margin" w:xAlign="inside" w:y="1"/>
    </w:pPr>
    <w:r/>
    <w:r/>
  </w:p>
  <w:p>
    <w:pPr>
      <w:tabs>
        <w:tab w:val="right" w:pos="9356" w:leader="none"/>
      </w:tabs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rPr>
        <w:lang w:val="pt-BR"/>
      </w:rPr>
      <w:framePr w:wrap="around" w:vAnchor="text" w:hAnchor="margin" w:xAlign="inside" w:y="1"/>
    </w:pPr>
    <w:r>
      <w:fldChar w:fldCharType="begin"/>
    </w:r>
    <w:r>
      <w:rPr>
        <w:lang w:val="pt-BR"/>
      </w:rPr>
      <w:instrText xml:space="preserve">PAGE  </w:instrText>
    </w:r>
    <w:r>
      <w:fldChar w:fldCharType="separate"/>
    </w:r>
    <w:r>
      <w:rPr>
        <w:lang w:val="pt-BR"/>
      </w:rPr>
      <w:t xml:space="preserve">102</w:t>
    </w:r>
    <w:r>
      <w:fldChar w:fldCharType="end"/>
    </w:r>
    <w:r/>
  </w:p>
  <w:p>
    <w:pPr>
      <w:jc w:val="right"/>
      <w:rPr>
        <w:lang w:val="pt-BR"/>
      </w:rPr>
    </w:pPr>
    <w:r>
      <w:rPr>
        <w:lang w:val="pt-BR"/>
      </w:rPr>
      <w:t xml:space="preserve">S. Sandri, J. Stolfi, L.Velho</w: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framePr w:wrap="around" w:vAnchor="text" w:hAnchor="margin" w:xAlign="inside" w:y="1"/>
    </w:pPr>
    <w:r/>
    <w:r/>
  </w:p>
  <w:p>
    <w:pPr>
      <w:tabs>
        <w:tab w:val="right" w:pos="9356" w:leader="none"/>
      </w:tabs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rPr>
        <w:lang w:val="pt-BR"/>
      </w:rPr>
      <w:framePr w:wrap="around" w:vAnchor="text" w:hAnchor="margin" w:xAlign="inside" w:y="1"/>
    </w:pPr>
    <w:r>
      <w:fldChar w:fldCharType="begin"/>
    </w:r>
    <w:r>
      <w:rPr>
        <w:lang w:val="pt-BR"/>
      </w:rPr>
      <w:instrText xml:space="preserve">PAGE  </w:instrText>
    </w:r>
    <w:r>
      <w:fldChar w:fldCharType="separate"/>
    </w:r>
    <w:r>
      <w:rPr>
        <w:lang w:val="pt-BR"/>
      </w:rPr>
      <w:t xml:space="preserve">102</w:t>
    </w:r>
    <w:r>
      <w:fldChar w:fldCharType="end"/>
    </w:r>
    <w:r/>
  </w:p>
  <w:p>
    <w:pPr>
      <w:jc w:val="right"/>
      <w:rPr>
        <w:lang w:val="pt-BR"/>
      </w:rPr>
    </w:pPr>
    <w:r>
      <w:rPr>
        <w:lang w:val="pt-BR"/>
      </w:rPr>
      <w:t xml:space="preserve">S. Sandri, J. Stolfi, L.Velho</w:t>
    </w:r>
    <w:r/>
  </w:p>
  <w:p>
    <w:pPr>
      <w:rPr>
        <w:lang w:val="pt-BR"/>
      </w:rPr>
    </w:pPr>
    <w:r>
      <w:rPr>
        <w:lang w:val="pt-BR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92" w:hanging="360"/>
        <w:tabs>
          <w:tab w:val="num" w:pos="1492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09" w:hanging="360"/>
        <w:tabs>
          <w:tab w:val="num" w:pos="1209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926" w:hanging="360"/>
        <w:tabs>
          <w:tab w:val="num" w:pos="926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43" w:hanging="360"/>
        <w:tabs>
          <w:tab w:val="num" w:pos="643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8"/>
  </w:num>
  <w:num w:numId="4">
    <w:abstractNumId w:val="21"/>
  </w:num>
  <w:num w:numId="5">
    <w:abstractNumId w:val="11"/>
  </w:num>
  <w:num w:numId="6">
    <w:abstractNumId w:val="24"/>
  </w:num>
  <w:num w:numId="7">
    <w:abstractNumId w:val="15"/>
  </w:num>
  <w:num w:numId="8">
    <w:abstractNumId w:val="23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4"/>
  </w:num>
  <w:num w:numId="21">
    <w:abstractNumId w:val="25"/>
  </w:num>
  <w:num w:numId="22">
    <w:abstractNumId w:val="19"/>
  </w:num>
  <w:num w:numId="23">
    <w:abstractNumId w:val="20"/>
  </w:num>
  <w:num w:numId="24">
    <w:abstractNumId w:val="17"/>
  </w:num>
  <w:num w:numId="25">
    <w:abstractNumId w:val="10"/>
  </w:num>
  <w:num w:numId="26">
    <w:abstractNumId w:val="2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mirrorMargins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lang w:val="pt-BR" w:bidi="ar-SA" w:eastAsia="pt-B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801"/>
    <w:link w:val="79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801"/>
    <w:link w:val="79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801"/>
    <w:link w:val="79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801"/>
    <w:link w:val="79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801"/>
    <w:link w:val="79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801"/>
    <w:link w:val="800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94"/>
    <w:next w:val="79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8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94"/>
    <w:next w:val="79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8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94"/>
    <w:next w:val="79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8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794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801"/>
    <w:link w:val="812"/>
    <w:uiPriority w:val="10"/>
    <w:rPr>
      <w:sz w:val="48"/>
      <w:szCs w:val="48"/>
    </w:rPr>
  </w:style>
  <w:style w:type="paragraph" w:styleId="34">
    <w:name w:val="Subtitle"/>
    <w:basedOn w:val="794"/>
    <w:next w:val="79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801"/>
    <w:link w:val="34"/>
    <w:uiPriority w:val="11"/>
    <w:rPr>
      <w:sz w:val="24"/>
      <w:szCs w:val="24"/>
    </w:rPr>
  </w:style>
  <w:style w:type="paragraph" w:styleId="36">
    <w:name w:val="Quote"/>
    <w:basedOn w:val="794"/>
    <w:next w:val="79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94"/>
    <w:next w:val="794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794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801"/>
    <w:link w:val="40"/>
    <w:uiPriority w:val="99"/>
  </w:style>
  <w:style w:type="paragraph" w:styleId="42">
    <w:name w:val="Footer"/>
    <w:basedOn w:val="794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801"/>
    <w:link w:val="42"/>
    <w:uiPriority w:val="99"/>
  </w:style>
  <w:style w:type="character" w:styleId="45">
    <w:name w:val="Caption Char"/>
    <w:basedOn w:val="813"/>
    <w:link w:val="42"/>
    <w:uiPriority w:val="99"/>
  </w:style>
  <w:style w:type="table" w:styleId="47">
    <w:name w:val="Table Grid Light"/>
    <w:basedOn w:val="8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8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80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8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8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8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8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8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8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8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8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8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8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8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8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8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8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8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8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8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8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8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8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8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8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79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801"/>
    <w:uiPriority w:val="99"/>
    <w:unhideWhenUsed/>
    <w:rPr>
      <w:vertAlign w:val="superscript"/>
    </w:rPr>
  </w:style>
  <w:style w:type="paragraph" w:styleId="176">
    <w:name w:val="endnote text"/>
    <w:basedOn w:val="79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801"/>
    <w:uiPriority w:val="99"/>
    <w:semiHidden/>
    <w:unhideWhenUsed/>
    <w:rPr>
      <w:vertAlign w:val="superscript"/>
    </w:rPr>
  </w:style>
  <w:style w:type="paragraph" w:styleId="179">
    <w:name w:val="toc 1"/>
    <w:basedOn w:val="794"/>
    <w:next w:val="79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94"/>
    <w:next w:val="79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94"/>
    <w:next w:val="79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94"/>
    <w:next w:val="79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94"/>
    <w:next w:val="79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94"/>
    <w:next w:val="79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94"/>
    <w:next w:val="79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94"/>
    <w:next w:val="79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94"/>
    <w:next w:val="79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94"/>
    <w:next w:val="794"/>
    <w:uiPriority w:val="99"/>
    <w:unhideWhenUsed/>
    <w:pPr>
      <w:spacing w:after="0" w:afterAutospacing="0"/>
    </w:pPr>
  </w:style>
  <w:style w:type="paragraph" w:styleId="794" w:default="1">
    <w:name w:val="Normal"/>
    <w:qFormat/>
    <w:rPr>
      <w:rFonts w:ascii="Times" w:hAnsi="Times"/>
      <w:sz w:val="24"/>
      <w:lang w:val="en-US"/>
    </w:rPr>
    <w:pPr>
      <w:jc w:val="both"/>
      <w:spacing w:before="120"/>
      <w:tabs>
        <w:tab w:val="left" w:pos="720" w:leader="none"/>
      </w:tabs>
    </w:pPr>
  </w:style>
  <w:style w:type="paragraph" w:styleId="795">
    <w:name w:val="Heading 1"/>
    <w:basedOn w:val="794"/>
    <w:next w:val="794"/>
    <w:qFormat/>
    <w:rPr>
      <w:b/>
      <w:sz w:val="26"/>
    </w:rPr>
    <w:pPr>
      <w:jc w:val="left"/>
      <w:keepNext/>
      <w:spacing w:before="240"/>
      <w:outlineLvl w:val="0"/>
    </w:pPr>
  </w:style>
  <w:style w:type="paragraph" w:styleId="796">
    <w:name w:val="Heading 2"/>
    <w:basedOn w:val="794"/>
    <w:next w:val="794"/>
    <w:qFormat/>
    <w:rPr>
      <w:b/>
    </w:rPr>
    <w:pPr>
      <w:jc w:val="left"/>
      <w:keepNext/>
      <w:spacing w:before="240"/>
      <w:outlineLvl w:val="1"/>
    </w:pPr>
  </w:style>
  <w:style w:type="paragraph" w:styleId="797">
    <w:name w:val="Heading 3"/>
    <w:basedOn w:val="794"/>
    <w:next w:val="794"/>
    <w:qFormat/>
    <w:rPr>
      <w:rFonts w:ascii="Helvetica" w:hAnsi="Helvetica"/>
      <w:b/>
    </w:rPr>
    <w:pPr>
      <w:keepNext/>
      <w:spacing w:before="240"/>
      <w:outlineLvl w:val="2"/>
    </w:pPr>
  </w:style>
  <w:style w:type="paragraph" w:styleId="798">
    <w:name w:val="Heading 4"/>
    <w:basedOn w:val="794"/>
    <w:next w:val="794"/>
    <w:qFormat/>
    <w:rPr>
      <w:rFonts w:ascii="Arial" w:hAnsi="Arial"/>
      <w:b/>
    </w:rPr>
    <w:pPr>
      <w:keepNext/>
      <w:spacing w:before="240"/>
      <w:outlineLvl w:val="3"/>
    </w:pPr>
  </w:style>
  <w:style w:type="paragraph" w:styleId="799">
    <w:name w:val="Heading 5"/>
    <w:basedOn w:val="794"/>
    <w:next w:val="794"/>
    <w:qFormat/>
    <w:rPr>
      <w:sz w:val="22"/>
    </w:rPr>
    <w:pPr>
      <w:spacing w:before="240"/>
      <w:outlineLvl w:val="4"/>
    </w:pPr>
  </w:style>
  <w:style w:type="paragraph" w:styleId="800">
    <w:name w:val="Heading 6"/>
    <w:basedOn w:val="794"/>
    <w:next w:val="794"/>
    <w:qFormat/>
    <w:rPr>
      <w:rFonts w:ascii="Times New Roman" w:hAnsi="Times New Roman"/>
      <w:b/>
      <w:bCs/>
      <w:sz w:val="22"/>
      <w:szCs w:val="22"/>
    </w:rPr>
    <w:pPr>
      <w:spacing w:after="60" w:before="240"/>
      <w:outlineLvl w:val="5"/>
    </w:pPr>
  </w:style>
  <w:style w:type="character" w:styleId="801" w:default="1">
    <w:name w:val="Default Paragraph Font"/>
    <w:uiPriority w:val="1"/>
    <w:semiHidden/>
    <w:unhideWhenUsed/>
  </w:style>
  <w:style w:type="table" w:styleId="8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3" w:default="1">
    <w:name w:val="No List"/>
    <w:uiPriority w:val="99"/>
    <w:semiHidden/>
    <w:unhideWhenUsed/>
  </w:style>
  <w:style w:type="paragraph" w:styleId="804" w:customStyle="1">
    <w:name w:val="Author"/>
    <w:basedOn w:val="794"/>
    <w:rPr>
      <w:b/>
      <w:sz w:val="24"/>
      <w:szCs w:val="24"/>
    </w:rPr>
    <w:pPr>
      <w:jc w:val="center"/>
      <w:spacing w:before="240"/>
    </w:pPr>
  </w:style>
  <w:style w:type="paragraph" w:styleId="805" w:customStyle="1">
    <w:name w:val="Address"/>
    <w:basedOn w:val="794"/>
    <w:link w:val="806"/>
    <w:rPr>
      <w:lang w:val="pt-BR"/>
    </w:rPr>
    <w:pPr>
      <w:jc w:val="center"/>
      <w:spacing w:before="240"/>
    </w:pPr>
  </w:style>
  <w:style w:type="character" w:styleId="806" w:customStyle="1">
    <w:name w:val="Address Char"/>
    <w:link w:val="805"/>
    <w:rPr>
      <w:rFonts w:ascii="Times" w:hAnsi="Times"/>
      <w:sz w:val="24"/>
      <w:lang w:val="pt-BR" w:bidi="ar-SA" w:eastAsia="pt-BR"/>
    </w:rPr>
  </w:style>
  <w:style w:type="paragraph" w:styleId="807" w:customStyle="1">
    <w:name w:val="Email"/>
    <w:basedOn w:val="794"/>
    <w:rPr>
      <w:rFonts w:ascii="Courier New" w:hAnsi="Courier New"/>
      <w:sz w:val="20"/>
    </w:rPr>
    <w:pPr>
      <w:jc w:val="center"/>
      <w:spacing w:after="120"/>
    </w:pPr>
  </w:style>
  <w:style w:type="paragraph" w:styleId="808" w:customStyle="1">
    <w:name w:val="Abstract"/>
    <w:basedOn w:val="794"/>
    <w:rPr>
      <w:i/>
      <w:sz w:val="24"/>
      <w:szCs w:val="24"/>
      <w:lang w:val="pt-BR"/>
    </w:rPr>
    <w:pPr>
      <w:ind w:left="454" w:right="454"/>
      <w:spacing w:after="120"/>
    </w:pPr>
  </w:style>
  <w:style w:type="paragraph" w:styleId="809" w:customStyle="1">
    <w:name w:val="Figure"/>
    <w:basedOn w:val="794"/>
    <w:pPr>
      <w:jc w:val="center"/>
    </w:pPr>
  </w:style>
  <w:style w:type="paragraph" w:styleId="810" w:customStyle="1">
    <w:name w:val="Reference"/>
    <w:basedOn w:val="794"/>
    <w:pPr>
      <w:ind w:left="284" w:hanging="284"/>
    </w:pPr>
  </w:style>
  <w:style w:type="character" w:styleId="811">
    <w:name w:val="Hyperlink"/>
    <w:rPr>
      <w:color w:val="0000FF"/>
      <w:u w:val="single"/>
    </w:rPr>
  </w:style>
  <w:style w:type="paragraph" w:styleId="812">
    <w:name w:val="Title"/>
    <w:basedOn w:val="794"/>
    <w:qFormat/>
    <w:rPr>
      <w:rFonts w:cs="Arial"/>
      <w:b/>
      <w:bCs/>
      <w:sz w:val="32"/>
      <w:szCs w:val="32"/>
    </w:rPr>
    <w:pPr>
      <w:ind w:firstLine="397"/>
      <w:jc w:val="center"/>
      <w:spacing w:before="240"/>
    </w:pPr>
  </w:style>
  <w:style w:type="paragraph" w:styleId="813">
    <w:name w:val="Caption"/>
    <w:basedOn w:val="794"/>
    <w:next w:val="794"/>
    <w:qFormat/>
    <w:rPr>
      <w:rFonts w:ascii="Helvetica" w:hAnsi="Helvetica"/>
      <w:b/>
      <w:bCs/>
      <w:sz w:val="20"/>
    </w:rPr>
    <w:pPr>
      <w:ind w:left="454" w:right="454"/>
      <w:jc w:val="center"/>
      <w:spacing w:after="120"/>
    </w:pPr>
  </w:style>
  <w:style w:type="paragraph" w:styleId="814">
    <w:name w:val="HTML Preformatted"/>
    <w:basedOn w:val="794"/>
    <w:rPr>
      <w:rFonts w:ascii="Courier New" w:hAnsi="Courier New" w:cs="Courier New"/>
      <w:sz w:val="20"/>
      <w:lang w:eastAsia="en-US"/>
    </w:rPr>
    <w:pPr>
      <w:jc w:val="left"/>
      <w:spacing w:before="0"/>
      <w:tabs>
        <w:tab w:val="clear" w:pos="720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815">
    <w:name w:val="Normal (Web)"/>
    <w:basedOn w:val="794"/>
    <w:uiPriority w:val="99"/>
    <w:unhideWhenUsed/>
    <w:rPr>
      <w:rFonts w:ascii="Times New Roman" w:hAnsi="Times New Roman"/>
      <w:sz w:val="24"/>
      <w:szCs w:val="24"/>
      <w:lang w:val="pt-BR"/>
    </w:rPr>
    <w:pPr>
      <w:jc w:val="left"/>
      <w:spacing w:after="100" w:afterAutospacing="1" w:before="100" w:beforeAutospacing="1"/>
      <w:tabs>
        <w:tab w:val="clear" w:pos="720" w:leader="none"/>
      </w:tabs>
    </w:pPr>
  </w:style>
  <w:style w:type="table" w:styleId="816">
    <w:name w:val="Table Grid"/>
    <w:basedOn w:val="802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817">
    <w:name w:val="Unresolved Mention"/>
    <w:uiPriority w:val="99"/>
    <w:semiHidden/>
    <w:unhideWhenUsed/>
    <w:rPr>
      <w:color w:val="605E5C"/>
      <w:shd w:val="clear" w:fill="E1DFDD" w:color="E1DFDD"/>
    </w:rPr>
  </w:style>
  <w:style w:type="character" w:styleId="818">
    <w:name w:val="FollowedHyperlink"/>
    <w:rPr>
      <w:color w:val="954F72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footer" Target="footer4.xml" /><Relationship Id="rId17" Type="http://schemas.openxmlformats.org/officeDocument/2006/relationships/customXml" Target="../customXml/item1.xml" 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 </Company>
  <DocSecurity>0</DocSecurity>
  <HyperlinksChanged>false</HyperlinksChanged>
  <LinksUpToDate>false</LinksUpToDate>
  <ScaleCrop>false</ScaleCrop>
  <SharedDoc>false</SharedDoc>
  <Template>sbc-template.dot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revision>30</cp:revision>
  <dcterms:created xsi:type="dcterms:W3CDTF">2021-11-09T18:45:00Z</dcterms:created>
  <dcterms:modified xsi:type="dcterms:W3CDTF">2021-11-11T22:13:28Z</dcterms:modified>
</cp:coreProperties>
</file>