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Zerodha FinTech Platform and Data Analytics</w:t>
      </w:r>
    </w:p>
    <w:p>
      <w:pPr>
        <w:jc w:val="left"/>
      </w:pPr>
      <w:r>
        <w:rPr>
          <w:b/>
          <w:color w:val="1F5EA8"/>
          <w:sz w:val="24"/>
        </w:rPr>
        <w:t>Week 2 Task 5  FinTech Business Understanding</w:t>
      </w:r>
    </w:p>
    <w:p>
      <w:pPr>
        <w:spacing w:after="280"/>
      </w:pPr>
      <w:r>
        <w:rPr>
          <w:b/>
        </w:rPr>
        <w:t xml:space="preserve">Prepared by </w:t>
      </w:r>
      <w:r>
        <w:t>Efigénia Wandi Filipe Gabriel</w:t>
        <w:br/>
      </w:r>
      <w:r>
        <w:rPr>
          <w:b/>
        </w:rPr>
        <w:t xml:space="preserve">Programme </w:t>
      </w:r>
      <w:r>
        <w:t>Data Analyst Internship FinTech</w:t>
        <w:br/>
      </w:r>
      <w:r>
        <w:rPr>
          <w:b/>
        </w:rPr>
        <w:t xml:space="preserve">Date </w:t>
      </w:r>
      <w:r>
        <w:t>16 September 2026</w:t>
      </w:r>
    </w:p>
    <w:p>
      <w:pPr>
        <w:pStyle w:val="Heading1"/>
      </w:pPr>
      <w:r>
        <w:t>Executive Summary</w:t>
      </w:r>
    </w:p>
    <w:p>
      <w:r>
        <w:t>Zerodha is an Indian technology-led brokerage platform that combines market access with data-rich tools for trading, investing and portfolio review. Its public product documentation shows a clear analytics model: Kite presents streaming market data and advanced charts; Console converts trades, charges, holdings and corporate actions into reports and visualisations; and Kite Connect exposes authenticated order, portfolio and market data through HTTP and WebSocket interfaces. These capabilities improve customer experience by making decisions, performance, costs and risks easier to understand.</w:t>
      </w:r>
    </w:p>
    <w:p>
      <w:r>
        <w:t>The main conclusion is that data analytics is not a separate feature of the platform. It is the layer that connects market information, customer transactions, portfolio records and risk controls to useful customer actions. This report describes the observable customer-facing uses of data and labels operational conclusions as reasoned inferences where Zerodha does not publish its internal decision systems.</w:t>
      </w:r>
    </w:p>
    <w:p>
      <w:pPr>
        <w:pStyle w:val="Heading1"/>
      </w:pPr>
      <w:r>
        <w:t>1 Platform Overview</w:t>
      </w:r>
    </w:p>
    <w:p>
      <w:r>
        <w:t>Zerodha began operations in 2010 and describes itself as a pioneer of discount broking in India. Its official website reports more than 1.8 crore clients and states that the platform contributes more than 15 percent of Indian retail exchange volumes. Zerodha Broking Limited is a member of major Indian exchanges and publishes its SEBI broker and depository-participant registrations on its website.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1656"/>
            <w:vAlign w:val="center"/>
            <w:shd w:fill="0B1F3A"/>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b/>
                <w:color w:val="FFFFFF"/>
                <w:sz w:val="18"/>
              </w:rPr>
              <w:t>Platform component</w:t>
            </w:r>
          </w:p>
        </w:tc>
        <w:tc>
          <w:tcPr>
            <w:tcW w:type="dxa" w:w="3888"/>
            <w:vAlign w:val="center"/>
            <w:shd w:fill="0B1F3A"/>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b/>
                <w:color w:val="FFFFFF"/>
                <w:sz w:val="18"/>
              </w:rPr>
              <w:t>Primary function</w:t>
            </w:r>
          </w:p>
        </w:tc>
        <w:tc>
          <w:tcPr>
            <w:tcW w:type="dxa" w:w="4248"/>
            <w:vAlign w:val="center"/>
            <w:shd w:fill="0B1F3A"/>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b/>
                <w:color w:val="FFFFFF"/>
                <w:sz w:val="18"/>
              </w:rPr>
              <w:t>Data value for the customer</w:t>
            </w:r>
          </w:p>
        </w:tc>
      </w:tr>
      <w:tr>
        <w:trPr>
          <w:cantSplit w:val="true"/>
        </w:trPr>
        <w:tc>
          <w:tcPr>
            <w:tcW w:type="dxa" w:w="1656"/>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Kite</w:t>
            </w:r>
          </w:p>
        </w:tc>
        <w:tc>
          <w:tcPr>
            <w:tcW w:type="dxa" w:w="3888"/>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Trading interface with streaming market data, charts, orders and alerts</w:t>
            </w:r>
          </w:p>
        </w:tc>
        <w:tc>
          <w:tcPr>
            <w:tcW w:type="dxa" w:w="4248"/>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Supports market monitoring and order decisions</w:t>
            </w:r>
          </w:p>
        </w:tc>
      </w:tr>
      <w:tr>
        <w:trPr>
          <w:cantSplit w:val="true"/>
        </w:trPr>
        <w:tc>
          <w:tcPr>
            <w:tcW w:type="dxa" w:w="1656"/>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0"/>
            </w:pPr>
            <w:r>
              <w:rPr>
                <w:sz w:val="17"/>
              </w:rPr>
              <w:t>Console</w:t>
            </w:r>
          </w:p>
        </w:tc>
        <w:tc>
          <w:tcPr>
            <w:tcW w:type="dxa" w:w="3888"/>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0"/>
            </w:pPr>
            <w:r>
              <w:rPr>
                <w:sz w:val="17"/>
              </w:rPr>
              <w:t>Account dashboard with reports and analytics</w:t>
            </w:r>
          </w:p>
        </w:tc>
        <w:tc>
          <w:tcPr>
            <w:tcW w:type="dxa" w:w="4248"/>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0"/>
            </w:pPr>
            <w:r>
              <w:rPr>
                <w:sz w:val="17"/>
              </w:rPr>
              <w:t>Explains performance, charges, taxes and portfolio history</w:t>
            </w:r>
          </w:p>
        </w:tc>
      </w:tr>
      <w:tr>
        <w:trPr>
          <w:cantSplit w:val="true"/>
        </w:trPr>
        <w:tc>
          <w:tcPr>
            <w:tcW w:type="dxa" w:w="1656"/>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Coin</w:t>
            </w:r>
          </w:p>
        </w:tc>
        <w:tc>
          <w:tcPr>
            <w:tcW w:type="dxa" w:w="3888"/>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Direct mutual-fund investment platform linked to the demat account</w:t>
            </w:r>
          </w:p>
        </w:tc>
        <w:tc>
          <w:tcPr>
            <w:tcW w:type="dxa" w:w="4248"/>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Brings fund holdings into the investment ecosystem</w:t>
            </w:r>
          </w:p>
        </w:tc>
      </w:tr>
      <w:tr>
        <w:trPr>
          <w:cantSplit w:val="true"/>
        </w:trPr>
        <w:tc>
          <w:tcPr>
            <w:tcW w:type="dxa" w:w="1656"/>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0"/>
            </w:pPr>
            <w:r>
              <w:rPr>
                <w:sz w:val="17"/>
              </w:rPr>
              <w:t>Kite Connect</w:t>
            </w:r>
          </w:p>
        </w:tc>
        <w:tc>
          <w:tcPr>
            <w:tcW w:type="dxa" w:w="3888"/>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0"/>
            </w:pPr>
            <w:r>
              <w:rPr>
                <w:sz w:val="17"/>
              </w:rPr>
              <w:t>REST-like HTTP APIs and WebSocket streams</w:t>
            </w:r>
          </w:p>
        </w:tc>
        <w:tc>
          <w:tcPr>
            <w:tcW w:type="dxa" w:w="4248"/>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0"/>
            </w:pPr>
            <w:r>
              <w:rPr>
                <w:sz w:val="17"/>
              </w:rPr>
              <w:t>Allows secure applications to use order, portfolio and live-market data</w:t>
            </w:r>
          </w:p>
        </w:tc>
      </w:tr>
      <w:tr>
        <w:trPr>
          <w:cantSplit w:val="true"/>
        </w:trPr>
        <w:tc>
          <w:tcPr>
            <w:tcW w:type="dxa" w:w="1656"/>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Varsity</w:t>
            </w:r>
          </w:p>
        </w:tc>
        <w:tc>
          <w:tcPr>
            <w:tcW w:type="dxa" w:w="3888"/>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Open market education</w:t>
            </w:r>
          </w:p>
        </w:tc>
        <w:tc>
          <w:tcPr>
            <w:tcW w:type="dxa" w:w="4248"/>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Improves financial understanding and responsible platform use</w:t>
            </w:r>
          </w:p>
        </w:tc>
      </w:tr>
    </w:tbl>
    <w:p>
      <w:pPr>
        <w:spacing w:after="0"/>
      </w:pPr>
    </w:p>
    <w:p>
      <w:pPr>
        <w:pStyle w:val="Heading1"/>
      </w:pPr>
      <w:r>
        <w:t>2 Position in the Indian Securities Ecosystem</w:t>
      </w:r>
    </w:p>
    <w:p>
      <w:r>
        <w:t>An investor normally uses three linked accounts: a bank account for money, a trading account with a SEBI-registered broker for buying and selling, and a demat account with a depository participant for electronic securities. SEBI identifies NSDL and CDSL as India's two depositories. Zerodha acts as the broker and as a depository participant, while the exchange and depository infrastructure complete execution, settlement and ownership-record functions.</w:t>
      </w:r>
    </w:p>
    <w:tbl>
      <w:tblPr>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2736"/>
            <w:vAlign w:val="center"/>
            <w:shd w:fill="0B1F3A"/>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b/>
                <w:color w:val="FFFFFF"/>
                <w:sz w:val="18"/>
              </w:rPr>
              <w:t>Participant</w:t>
            </w:r>
          </w:p>
        </w:tc>
        <w:tc>
          <w:tcPr>
            <w:tcW w:type="dxa" w:w="7056"/>
            <w:vAlign w:val="center"/>
            <w:shd w:fill="0B1F3A"/>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b/>
                <w:color w:val="FFFFFF"/>
                <w:sz w:val="18"/>
              </w:rPr>
              <w:t>Role in the process</w:t>
            </w:r>
          </w:p>
        </w:tc>
      </w:tr>
      <w:tr>
        <w:trPr>
          <w:cantSplit w:val="true"/>
        </w:trPr>
        <w:tc>
          <w:tcPr>
            <w:tcW w:type="dxa" w:w="2736"/>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Investor</w:t>
            </w:r>
          </w:p>
        </w:tc>
        <w:tc>
          <w:tcPr>
            <w:tcW w:type="dxa" w:w="7056"/>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Chooses an instrument and submits a buy or sell instruction.</w:t>
            </w:r>
          </w:p>
        </w:tc>
      </w:tr>
      <w:tr>
        <w:trPr>
          <w:cantSplit w:val="true"/>
        </w:trPr>
        <w:tc>
          <w:tcPr>
            <w:tcW w:type="dxa" w:w="2736"/>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0"/>
            </w:pPr>
            <w:r>
              <w:rPr>
                <w:sz w:val="17"/>
              </w:rPr>
              <w:t>Zerodha as broker</w:t>
            </w:r>
          </w:p>
        </w:tc>
        <w:tc>
          <w:tcPr>
            <w:tcW w:type="dxa" w:w="7056"/>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0"/>
            </w:pPr>
            <w:r>
              <w:rPr>
                <w:sz w:val="17"/>
              </w:rPr>
              <w:t>Authenticates the client, applies platform and risk controls, and routes eligible orders.</w:t>
            </w:r>
          </w:p>
        </w:tc>
      </w:tr>
      <w:tr>
        <w:trPr>
          <w:cantSplit w:val="true"/>
        </w:trPr>
        <w:tc>
          <w:tcPr>
            <w:tcW w:type="dxa" w:w="2736"/>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NSE BSE or other exchange</w:t>
            </w:r>
          </w:p>
        </w:tc>
        <w:tc>
          <w:tcPr>
            <w:tcW w:type="dxa" w:w="7056"/>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Matches eligible buy and sell orders and reports execution status.</w:t>
            </w:r>
          </w:p>
        </w:tc>
      </w:tr>
      <w:tr>
        <w:trPr>
          <w:cantSplit w:val="true"/>
        </w:trPr>
        <w:tc>
          <w:tcPr>
            <w:tcW w:type="dxa" w:w="2736"/>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0"/>
            </w:pPr>
            <w:r>
              <w:rPr>
                <w:sz w:val="17"/>
              </w:rPr>
              <w:t>Clearing and settlement infrastructure</w:t>
            </w:r>
          </w:p>
        </w:tc>
        <w:tc>
          <w:tcPr>
            <w:tcW w:type="dxa" w:w="7056"/>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0"/>
            </w:pPr>
            <w:r>
              <w:rPr>
                <w:sz w:val="17"/>
              </w:rPr>
              <w:t>Determines obligations and coordinates transfer of funds and securities.</w:t>
            </w:r>
          </w:p>
        </w:tc>
      </w:tr>
      <w:tr>
        <w:trPr>
          <w:cantSplit w:val="true"/>
        </w:trPr>
        <w:tc>
          <w:tcPr>
            <w:tcW w:type="dxa" w:w="2736"/>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CDSL or NSDL and the DP</w:t>
            </w:r>
          </w:p>
        </w:tc>
        <w:tc>
          <w:tcPr>
            <w:tcW w:type="dxa" w:w="7056"/>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Maintains electronic ownership records and supports demat movements.</w:t>
            </w:r>
          </w:p>
        </w:tc>
      </w:tr>
      <w:tr>
        <w:trPr>
          <w:cantSplit w:val="true"/>
        </w:trPr>
        <w:tc>
          <w:tcPr>
            <w:tcW w:type="dxa" w:w="2736"/>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0"/>
            </w:pPr>
            <w:r>
              <w:rPr>
                <w:sz w:val="17"/>
              </w:rPr>
              <w:t>SEBI</w:t>
            </w:r>
          </w:p>
        </w:tc>
        <w:tc>
          <w:tcPr>
            <w:tcW w:type="dxa" w:w="7056"/>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0"/>
            </w:pPr>
            <w:r>
              <w:rPr>
                <w:sz w:val="17"/>
              </w:rPr>
              <w:t>Regulates securities-market intermediaries and provides investor-protection mechanisms.</w:t>
            </w:r>
          </w:p>
        </w:tc>
      </w:tr>
    </w:tbl>
    <w:p>
      <w:pPr>
        <w:spacing w:after="0"/>
      </w:pPr>
    </w:p>
    <w:p>
      <w:pPr>
        <w:pStyle w:val="Heading1"/>
      </w:pPr>
      <w:r>
        <w:t>3 Data Generated by the Platform</w:t>
      </w:r>
    </w:p>
    <w:p>
      <w:pPr>
        <w:pStyle w:val="ListBullet"/>
        <w:spacing w:after="60"/>
      </w:pPr>
      <w:r>
        <w:t>Market data includes last traded price, open, high, low, close, volume, open interest and bid-offer depth. Kite Connect documents both snapshot quotes and real-time WebSocket streams.</w:t>
      </w:r>
    </w:p>
    <w:p>
      <w:pPr>
        <w:pStyle w:val="ListBullet"/>
        <w:spacing w:after="60"/>
      </w:pPr>
      <w:r>
        <w:t>Order data includes instrument, exchange, buy or sell direction, order type, quantity, price, status, timestamps, filled quantity and execution price.</w:t>
      </w:r>
    </w:p>
    <w:p>
      <w:pPr>
        <w:pStyle w:val="ListBullet"/>
        <w:spacing w:after="60"/>
      </w:pPr>
      <w:r>
        <w:t>Portfolio data includes holdings, positions, acquisition history, corporate actions, transfers and realised or unrealised performance.</w:t>
      </w:r>
    </w:p>
    <w:p>
      <w:pPr>
        <w:pStyle w:val="ListBullet"/>
        <w:spacing w:after="60"/>
      </w:pPr>
      <w:r>
        <w:t>Cost and tax data includes brokerage, statutory charges, capital gains and tax-ready reports.</w:t>
      </w:r>
    </w:p>
    <w:p>
      <w:pPr>
        <w:pStyle w:val="ListBullet"/>
        <w:spacing w:after="60"/>
      </w:pPr>
      <w:r>
        <w:t>User-created context includes alerts, baskets and trade tags that help customers organise and review their decisions.</w:t>
      </w:r>
    </w:p>
    <w:p>
      <w:pPr>
        <w:pStyle w:val="Heading1"/>
      </w:pPr>
      <w:r>
        <w:t>4 How Zerodha Uses Data Analytics</w:t>
      </w:r>
    </w:p>
    <w:p>
      <w:pPr>
        <w:pStyle w:val="Heading2"/>
      </w:pPr>
      <w:r>
        <w:t>4.1 Market Interpretation and Timely Action</w:t>
      </w:r>
    </w:p>
    <w:p>
      <w:r>
        <w:t>Kite turns exchange data into live quotes, historical charts, indicators, option-chain measures, alerts and market-depth views. This reduces the effort required to combine raw prices manually and helps a customer move from observation to an informed platform action.</w:t>
      </w:r>
    </w:p>
    <w:p>
      <w:pPr>
        <w:pStyle w:val="Heading2"/>
      </w:pPr>
      <w:r>
        <w:t>4.2 Portfolio Performance and True Profit and Loss</w:t>
      </w:r>
    </w:p>
    <w:p>
      <w:r>
        <w:t>Console provides multi-dimensional reports and visualisations based on trades and investments. Its True P&amp;L feature accounts for trade history, corporate actions, splits and transfers. The analytical benefit is consistency: the customer sees performance calculated from transaction history rather than relying on a manually maintained spreadsheet.</w:t>
      </w:r>
    </w:p>
    <w:p>
      <w:pPr>
        <w:pStyle w:val="Heading2"/>
      </w:pPr>
      <w:r>
        <w:t>4.3 Cost and Tax Transparency</w:t>
      </w:r>
    </w:p>
    <w:p>
      <w:r>
        <w:t>Per-trade charge breakdowns make brokerage and statutory costs visible, while tax-ready reports organise capital-gains information for a financial year. These tools improve self-service and reduce the time needed to reconstruct records for tax preparation.</w:t>
      </w:r>
    </w:p>
    <w:p>
      <w:pPr>
        <w:pStyle w:val="Heading2"/>
      </w:pPr>
      <w:r>
        <w:t>4.4 Risk Awareness and Decision Support</w:t>
      </w:r>
    </w:p>
    <w:p>
      <w:r>
        <w:t>Kite documents Nudge warnings for risks such as illiquid instruments, questionable securities and significant corporate actions. The order APIs also expose status and error information, and market-protection controls can limit deviation from the current market price. These features use timely data to warn the customer before or during an action. They should be understood as decision support, not investment advice or a guarantee of execution.</w:t>
      </w:r>
    </w:p>
    <w:p>
      <w:pPr>
        <w:pStyle w:val="Heading2"/>
      </w:pPr>
      <w:r>
        <w:t>4.5 Personal Review and Learning</w:t>
      </w:r>
    </w:p>
    <w:p>
      <w:r>
        <w:t>Customers can tag trades and review tagged performance, creating a simple trading journal. A consolidated family view can combine eligible family portfolios. Both features transform separate records into patterns that are easier to compare and discuss.</w:t>
      </w:r>
    </w:p>
    <w:p>
      <w:pPr>
        <w:pStyle w:val="Heading2"/>
      </w:pPr>
      <w:r>
        <w:t>4.6 APIs and the Wider FinTech Ecosystem</w:t>
      </w:r>
    </w:p>
    <w:p>
      <w:r>
        <w:t>Kite Connect supplies authenticated REST-like APIs for orders and portfolios and WebSocket streams for live market data. This allows approved applications to build specialised analytics and investment experiences while keeping sensitive authentication work on a secure backend rather than inside a browser or mobile client.</w:t>
      </w:r>
    </w:p>
    <w:p>
      <w:pPr>
        <w:pStyle w:val="Heading1"/>
      </w:pPr>
      <w:r>
        <w:t>5 Customer and Business Impact</w:t>
      </w:r>
    </w:p>
    <w:tbl>
      <w:tblPr>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232"/>
            <w:vAlign w:val="center"/>
            <w:shd w:fill="0B1F3A"/>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b/>
                <w:color w:val="FFFFFF"/>
                <w:sz w:val="18"/>
              </w:rPr>
              <w:t>Analytics capability</w:t>
            </w:r>
          </w:p>
        </w:tc>
        <w:tc>
          <w:tcPr>
            <w:tcW w:type="dxa" w:w="3744"/>
            <w:vAlign w:val="center"/>
            <w:shd w:fill="0B1F3A"/>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b/>
                <w:color w:val="FFFFFF"/>
                <w:sz w:val="18"/>
              </w:rPr>
              <w:t>Customer-experience impact</w:t>
            </w:r>
          </w:p>
        </w:tc>
        <w:tc>
          <w:tcPr>
            <w:tcW w:type="dxa" w:w="3672"/>
            <w:vAlign w:val="center"/>
            <w:shd w:fill="0B1F3A"/>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b/>
                <w:color w:val="FFFFFF"/>
                <w:sz w:val="18"/>
              </w:rPr>
              <w:t>Reasonable business impact</w:t>
            </w:r>
          </w:p>
        </w:tc>
      </w:tr>
      <w:tr>
        <w:trPr>
          <w:cantSplit w:val="true"/>
        </w:trPr>
        <w:tc>
          <w:tcPr>
            <w:tcW w:type="dxa" w:w="2232"/>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Live data and charts</w:t>
            </w:r>
          </w:p>
        </w:tc>
        <w:tc>
          <w:tcPr>
            <w:tcW w:type="dxa" w:w="3744"/>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Faster interpretation of market conditions</w:t>
            </w:r>
          </w:p>
        </w:tc>
        <w:tc>
          <w:tcPr>
            <w:tcW w:type="dxa" w:w="3672"/>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Reliable high-volume infrastructure becomes a core product capability</w:t>
            </w:r>
          </w:p>
        </w:tc>
      </w:tr>
      <w:tr>
        <w:trPr>
          <w:cantSplit w:val="true"/>
        </w:trPr>
        <w:tc>
          <w:tcPr>
            <w:tcW w:type="dxa" w:w="2232"/>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0"/>
            </w:pPr>
            <w:r>
              <w:rPr>
                <w:sz w:val="17"/>
              </w:rPr>
              <w:t>P&amp;L and portfolio analytics</w:t>
            </w:r>
          </w:p>
        </w:tc>
        <w:tc>
          <w:tcPr>
            <w:tcW w:type="dxa" w:w="3744"/>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0"/>
            </w:pPr>
            <w:r>
              <w:rPr>
                <w:sz w:val="17"/>
              </w:rPr>
              <w:t>Clearer understanding of returns and holdings</w:t>
            </w:r>
          </w:p>
        </w:tc>
        <w:tc>
          <w:tcPr>
            <w:tcW w:type="dxa" w:w="3672"/>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0"/>
            </w:pPr>
            <w:r>
              <w:rPr>
                <w:sz w:val="17"/>
              </w:rPr>
              <w:t>Fewer manual explanations and stronger self-service</w:t>
            </w:r>
          </w:p>
        </w:tc>
      </w:tr>
      <w:tr>
        <w:trPr>
          <w:cantSplit w:val="true"/>
        </w:trPr>
        <w:tc>
          <w:tcPr>
            <w:tcW w:type="dxa" w:w="2232"/>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Charges and tax reports</w:t>
            </w:r>
          </w:p>
        </w:tc>
        <w:tc>
          <w:tcPr>
            <w:tcW w:type="dxa" w:w="3744"/>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Greater cost transparency and easier record preparation</w:t>
            </w:r>
          </w:p>
        </w:tc>
        <w:tc>
          <w:tcPr>
            <w:tcW w:type="dxa" w:w="3672"/>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Trust and lower support friction</w:t>
            </w:r>
          </w:p>
        </w:tc>
      </w:tr>
      <w:tr>
        <w:trPr>
          <w:cantSplit w:val="true"/>
        </w:trPr>
        <w:tc>
          <w:tcPr>
            <w:tcW w:type="dxa" w:w="2232"/>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0"/>
            </w:pPr>
            <w:r>
              <w:rPr>
                <w:sz w:val="17"/>
              </w:rPr>
              <w:t>Nudges and status messages</w:t>
            </w:r>
          </w:p>
        </w:tc>
        <w:tc>
          <w:tcPr>
            <w:tcW w:type="dxa" w:w="3744"/>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0"/>
            </w:pPr>
            <w:r>
              <w:rPr>
                <w:sz w:val="17"/>
              </w:rPr>
              <w:t>Earlier awareness of risk or failed actions</w:t>
            </w:r>
          </w:p>
        </w:tc>
        <w:tc>
          <w:tcPr>
            <w:tcW w:type="dxa" w:w="3672"/>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0"/>
            </w:pPr>
            <w:r>
              <w:rPr>
                <w:sz w:val="17"/>
              </w:rPr>
              <w:t>Reduced avoidable errors and clearer compliance communication</w:t>
            </w:r>
          </w:p>
        </w:tc>
      </w:tr>
      <w:tr>
        <w:trPr>
          <w:cantSplit w:val="true"/>
        </w:trPr>
        <w:tc>
          <w:tcPr>
            <w:tcW w:type="dxa" w:w="2232"/>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APIs and integrations</w:t>
            </w:r>
          </w:p>
        </w:tc>
        <w:tc>
          <w:tcPr>
            <w:tcW w:type="dxa" w:w="3744"/>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More tools and specialised experiences</w:t>
            </w:r>
          </w:p>
        </w:tc>
        <w:tc>
          <w:tcPr>
            <w:tcW w:type="dxa" w:w="3672"/>
            <w:vAlign w:val="center"/>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sz w:val="17"/>
              </w:rPr>
              <w:t>Ecosystem expansion through developers and partner products</w:t>
            </w:r>
          </w:p>
        </w:tc>
      </w:tr>
    </w:tbl>
    <w:p>
      <w:pPr>
        <w:spacing w:after="0"/>
      </w:pPr>
    </w:p>
    <w:p>
      <w:r>
        <w:t>The business impacts in the final column are analytical inferences from the documented product functions; they are not claims about Zerodha's unpublished internal metrics or algorithms.</w:t>
      </w:r>
    </w:p>
    <w:p>
      <w:pPr>
        <w:pStyle w:val="Heading1"/>
      </w:pPr>
      <w:r>
        <w:t>6 Risks and Responsible Data Use</w:t>
      </w:r>
    </w:p>
    <w:p>
      <w:pPr>
        <w:pStyle w:val="ListBullet"/>
        <w:spacing w:after="60"/>
      </w:pPr>
      <w:r>
        <w:t>Security and privacy: financial and identity data require strong authentication, access control, encryption and monitoring.</w:t>
      </w:r>
    </w:p>
    <w:p>
      <w:pPr>
        <w:pStyle w:val="ListBullet"/>
        <w:spacing w:after="60"/>
      </w:pPr>
      <w:r>
        <w:t>Data quality: incorrect prices, duplicate transactions or missed corporate actions can distort customer reports.</w:t>
      </w:r>
    </w:p>
    <w:p>
      <w:pPr>
        <w:pStyle w:val="ListBullet"/>
        <w:spacing w:after="60"/>
      </w:pPr>
      <w:r>
        <w:t>Availability: customers depend on timely market and order information, especially during volatile periods.</w:t>
      </w:r>
    </w:p>
    <w:p>
      <w:pPr>
        <w:pStyle w:val="ListBullet"/>
        <w:spacing w:after="60"/>
      </w:pPr>
      <w:r>
        <w:t>Model and interpretation risk: charts and metrics can inform a decision but cannot remove market risk.</w:t>
      </w:r>
    </w:p>
    <w:p>
      <w:pPr>
        <w:pStyle w:val="ListBullet"/>
        <w:spacing w:after="60"/>
      </w:pPr>
      <w:r>
        <w:t>Regulatory responsibility: brokerage, demat and investor-communication processes must remain aligned with SEBI and exchange requirements.</w:t>
      </w:r>
    </w:p>
    <w:p>
      <w:pPr>
        <w:pStyle w:val="Heading1"/>
      </w:pPr>
      <w:r>
        <w:t>7 Conclusion</w:t>
      </w:r>
    </w:p>
    <w:p>
      <w:r>
        <w:t>Zerodha demonstrates how a FinTech platform can use data analytics across the customer journey. Market feeds support real-time interpretation; order and trade records support execution visibility; portfolio history supports accurate performance measurement; and charges, tax reports and risk warnings improve transparency. The platform's value comes from converting large and fast-moving financial datasets into understandable actions and reports while operating within India's regulated securities-market structure.</w:t>
      </w:r>
    </w:p>
    <w:p>
      <w:pPr>
        <w:pStyle w:val="Heading1"/>
      </w:pPr>
      <w:r>
        <w:t>References</w:t>
      </w:r>
    </w:p>
    <w:p>
      <w:pPr>
        <w:spacing w:after="60"/>
      </w:pPr>
      <w:hyperlink r:id="rId9">
        <w:r>
          <w:rPr>
            <w:color w:val="1F5EA8"/>
            <w:u w:val="single"/>
          </w:rPr>
          <w:t>1  Zerodha About</w:t>
        </w:r>
      </w:hyperlink>
    </w:p>
    <w:p>
      <w:pPr>
        <w:spacing w:after="60"/>
      </w:pPr>
      <w:hyperlink r:id="rId10">
        <w:r>
          <w:rPr>
            <w:color w:val="1F5EA8"/>
            <w:u w:val="single"/>
          </w:rPr>
          <w:t>2  Zerodha Products</w:t>
        </w:r>
      </w:hyperlink>
    </w:p>
    <w:p>
      <w:pPr>
        <w:spacing w:after="60"/>
      </w:pPr>
      <w:hyperlink r:id="rId11">
        <w:r>
          <w:rPr>
            <w:color w:val="1F5EA8"/>
            <w:u w:val="single"/>
          </w:rPr>
          <w:t>3  Kite Trading Platform</w:t>
        </w:r>
      </w:hyperlink>
    </w:p>
    <w:p>
      <w:pPr>
        <w:spacing w:after="60"/>
      </w:pPr>
      <w:hyperlink r:id="rId12">
        <w:r>
          <w:rPr>
            <w:color w:val="1F5EA8"/>
            <w:u w:val="single"/>
          </w:rPr>
          <w:t>4  Console Reporting and Analytics</w:t>
        </w:r>
      </w:hyperlink>
    </w:p>
    <w:p>
      <w:pPr>
        <w:spacing w:after="60"/>
      </w:pPr>
      <w:hyperlink r:id="rId13">
        <w:r>
          <w:rPr>
            <w:color w:val="1F5EA8"/>
            <w:u w:val="single"/>
          </w:rPr>
          <w:t>5  Kite Connect API Documentation</w:t>
        </w:r>
      </w:hyperlink>
    </w:p>
    <w:p>
      <w:pPr>
        <w:spacing w:after="60"/>
      </w:pPr>
      <w:hyperlink r:id="rId14">
        <w:r>
          <w:rPr>
            <w:color w:val="1F5EA8"/>
            <w:u w:val="single"/>
          </w:rPr>
          <w:t>6  Kite Connect Order Documentation</w:t>
        </w:r>
      </w:hyperlink>
    </w:p>
    <w:p>
      <w:pPr>
        <w:spacing w:after="60"/>
      </w:pPr>
      <w:hyperlink r:id="rId15">
        <w:r>
          <w:rPr>
            <w:color w:val="1F5EA8"/>
            <w:u w:val="single"/>
          </w:rPr>
          <w:t>7  Kite Connect Market Data Documentation</w:t>
        </w:r>
      </w:hyperlink>
    </w:p>
    <w:p>
      <w:pPr>
        <w:spacing w:after="60"/>
      </w:pPr>
      <w:hyperlink r:id="rId16">
        <w:r>
          <w:rPr>
            <w:color w:val="1F5EA8"/>
            <w:u w:val="single"/>
          </w:rPr>
          <w:t>8  SEBI Securities Market Investment Guide</w:t>
        </w:r>
      </w:hyperlink>
    </w:p>
    <w:p>
      <w:pPr>
        <w:spacing w:after="60"/>
      </w:pPr>
      <w:hyperlink r:id="rId17">
        <w:r>
          <w:rPr>
            <w:color w:val="1F5EA8"/>
            <w:u w:val="single"/>
          </w:rPr>
          <w:t>9  Zerodha Depositories and Depository Participants Guide</w:t>
        </w:r>
      </w:hyperlink>
    </w:p>
    <w:p>
      <w:pPr>
        <w:spacing w:after="60"/>
      </w:pPr>
      <w:hyperlink r:id="rId18">
        <w:r>
          <w:rPr>
            <w:color w:val="1F5EA8"/>
            <w:u w:val="single"/>
          </w:rPr>
          <w:t>10  Zerodha Terms and Regulatory Registrations</w:t>
        </w:r>
      </w:hyperlink>
    </w:p>
    <w:p>
      <w:r>
        <w:rPr>
          <w:i/>
          <w:sz w:val="18"/>
        </w:rPr>
        <w:t>All sources accessed 16 September 2026.</w:t>
      </w:r>
    </w:p>
    <w:sectPr w:rsidR="00FC693F" w:rsidRPr="0006063C" w:rsidSect="00034616">
      <w:footerReference w:type="default" r:id="rId1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748B"/>
        <w:sz w:val="18"/>
      </w:rPr>
      <w:t>Bluestock FinTech  Week 2 Task 5</w:t>
    </w:r>
  </w:p>
  <w:p>
    <w:pPr>
      <w:jc w:val="right"/>
    </w:pPr>
    <w:r>
      <w:rPr>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zerodha.com/about/" TargetMode="External"/><Relationship Id="rId10" Type="http://schemas.openxmlformats.org/officeDocument/2006/relationships/hyperlink" Target="https://zerodha.com/products" TargetMode="External"/><Relationship Id="rId11" Type="http://schemas.openxmlformats.org/officeDocument/2006/relationships/hyperlink" Target="https://zerodha.com/products/kite" TargetMode="External"/><Relationship Id="rId12" Type="http://schemas.openxmlformats.org/officeDocument/2006/relationships/hyperlink" Target="https://zerodha.com/products/console" TargetMode="External"/><Relationship Id="rId13" Type="http://schemas.openxmlformats.org/officeDocument/2006/relationships/hyperlink" Target="https://kite.trade/docs/connect/v3/" TargetMode="External"/><Relationship Id="rId14" Type="http://schemas.openxmlformats.org/officeDocument/2006/relationships/hyperlink" Target="https://kite.trade/docs/connect/v3/orders/" TargetMode="External"/><Relationship Id="rId15" Type="http://schemas.openxmlformats.org/officeDocument/2006/relationships/hyperlink" Target="https://kite.trade/docs/connect/v3/market-quotes/" TargetMode="External"/><Relationship Id="rId16" Type="http://schemas.openxmlformats.org/officeDocument/2006/relationships/hyperlink" Target="https://investor.sebi.gov.in/securities-trading.html" TargetMode="External"/><Relationship Id="rId17" Type="http://schemas.openxmlformats.org/officeDocument/2006/relationships/hyperlink" Target="https://support.zerodha.com/category/account-opening/glossary/stock-markets/articles/depositories-and-dps" TargetMode="External"/><Relationship Id="rId18" Type="http://schemas.openxmlformats.org/officeDocument/2006/relationships/hyperlink" Target="https://zerodha.com/terms-and-conditions"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Zerodha FinTech Platform and Data Analytics</dc:title>
  <dc:subject>Week 2 Task 5 FinTech Business Understanding</dc:subject>
  <dc:creator>Efigénia Wandi Filipe Gabriel</dc:creator>
  <cp:keywords>Zerodha, FinTech, data analytics, brokerage, demat, SEBI</cp:keywords>
  <dc:description>generated by python-docx</dc:description>
  <cp:lastModifiedBy/>
  <cp:revision>1</cp:revision>
  <dcterms:created xsi:type="dcterms:W3CDTF">2013-12-23T23:15:00Z</dcterms:created>
  <dcterms:modified xsi:type="dcterms:W3CDTF">2013-12-23T23:15:00Z</dcterms:modified>
  <cp:category/>
</cp:coreProperties>
</file>