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百年变局与多边主义：新型大国关系对全球治理体系变革的推动作用</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百年变局下，全球治理体系深陷效能衰减与合法性危机，多边主义亟需适应性变革。新型大国关系以相互尊重、公平正义、合作共赢为内核[15]，为治理转型提供了规范性框架。本研究结合制度分析与政策溯源，考察新型大国关系重塑多边议程的机理。结果表明，该范式通过推动议题联盟、强化全球南方制度性话语权，回应了既有治理的代表性赤字[10,11]，并在人工智能等新兴领域催生了弹性软法协调[3]。然而，大国信任缺失与主权让渡敏感性仍制约变革深度。新型大国关系为竞争性合作提供了理念与工具，推动多边主义从刚性结构向弹性网络演进[1]，其持续动能取决于原则共识的制度化转换。这既是多边主义演化的关键节点，也是全球治理走向更均衡秩序的实践路径。</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centennial changes；multilateralism；new type of major-country relations；global governance reform；driving force；great power competition；international order；global challenges；China foreign policy；UN reform；hegemonic stability；international institutions；power transition</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3 概念界定与理论框架</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3.1 概念界定</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3.2 理论框架：多边主义演变中的大国角色</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4 百年变局下全球治理体系的困境与变革需求</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5 新型大国关系的理念与实践进展</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6 新型大国关系推动多边主义的机制分析</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大国协调与多边议程的重塑</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6.2 制度化合作与治理真空填补</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案例比较：中美与中俄关系的治理效应</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8 研究局限与未来展望</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9 结论与政策启示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10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21世纪第三个十年，国际秩序在多重危机的叠加冲击下加速重构，全球治理体系正经历冷战结束以来最深刻的转型。既有分析框架多着眼于权力转移的结构性后果或国际制度的功能失灵，较少追问一个前置性问题：大国关系的性质变迁本身是否构成治理体系变革的内生动力。Forman与Segaar关于全球治理新联盟的研究揭示，多边主义实践不断衍生出超越国家中心的制度形态，但大国博弈始终作为隐形坐标影响着联盟的生成与解体</w:t>
      </w:r>
      <w:r>
        <w:rPr>
          <w:rFonts w:ascii="SimSun" w:cs="SimSun" w:eastAsia="SimSun" w:hAnsi="SimSun"/>
          <w:sz w:val="24"/>
          <w:szCs w:val="24"/>
          <w:vertAlign w:val="superscript"/>
        </w:rPr>
        <w:t xml:space="preserve">[1]</w:t>
      </w:r>
      <w:r>
        <w:rPr>
          <w:rFonts w:ascii="SimSun" w:cs="SimSun" w:eastAsia="SimSun" w:hAnsi="SimSun"/>
          <w:sz w:val="24"/>
          <w:szCs w:val="24"/>
        </w:rPr>
        <w:t xml:space="preserve">。Weiss与Wilkinson进一步指出，全球治理若要拯救国际关系学科于解释力衰退的困境，必须重新定位大国在制度创设与规范扩散中的角色</w:t>
      </w:r>
      <w:r>
        <w:rPr>
          <w:rFonts w:ascii="SimSun" w:cs="SimSun" w:eastAsia="SimSun" w:hAnsi="SimSun"/>
          <w:sz w:val="24"/>
          <w:szCs w:val="24"/>
          <w:vertAlign w:val="superscript"/>
        </w:rPr>
        <w:t xml:space="preserve">[5]</w:t>
      </w:r>
      <w:r>
        <w:rPr>
          <w:rFonts w:ascii="SimSun" w:cs="SimSun" w:eastAsia="SimSun" w:hAnsi="SimSun"/>
          <w:sz w:val="24"/>
          <w:szCs w:val="24"/>
        </w:rPr>
        <w:t xml:space="preserve">。上述研究虽触及大国与多边秩序的互动，却未系统考察“新型大国关系”这一源自中国外交实践的概念框架对治理变革的潜在推动作用。Zhong Feiteng在“一带一路”研究手册中界定了新型大国关系的内涵，强调其超越传统大国对抗逻辑、以合作共赢为导向的规范取向</w:t>
      </w:r>
      <w:r>
        <w:rPr>
          <w:rFonts w:ascii="SimSun" w:cs="SimSun" w:eastAsia="SimSun" w:hAnsi="SimSun"/>
          <w:sz w:val="24"/>
          <w:szCs w:val="24"/>
          <w:vertAlign w:val="superscript"/>
        </w:rPr>
        <w:t xml:space="preserve">[15]</w:t>
      </w:r>
      <w:r>
        <w:rPr>
          <w:rFonts w:ascii="SimSun" w:cs="SimSun" w:eastAsia="SimSun" w:hAnsi="SimSun"/>
          <w:sz w:val="24"/>
          <w:szCs w:val="24"/>
        </w:rPr>
        <w:t xml:space="preserve">，但该讨论尚未与全球治理体系变革的理论议题充分对接。</w:t>
      </w:r>
    </w:p>
    <w:p>
      <w:pPr>
        <w:spacing w:after="120" w:line="360"/>
        <w:ind w:firstLine="480"/>
      </w:pPr>
      <w:r>
        <w:rPr>
          <w:rFonts w:ascii="SimSun" w:cs="SimSun" w:eastAsia="SimSun" w:hAnsi="SimSun"/>
          <w:sz w:val="24"/>
          <w:szCs w:val="24"/>
        </w:rPr>
        <w:t xml:space="preserve">这一对接的缺位在当下尤为突出。联合国体系面临来自全球南方的合法性危机</w:t>
      </w:r>
      <w:r>
        <w:rPr>
          <w:rFonts w:ascii="SimSun" w:cs="SimSun" w:eastAsia="SimSun" w:hAnsi="SimSun"/>
          <w:sz w:val="24"/>
          <w:szCs w:val="24"/>
          <w:vertAlign w:val="superscript"/>
        </w:rPr>
        <w:t xml:space="preserve">[10]</w:t>
      </w:r>
      <w:r>
        <w:rPr>
          <w:rFonts w:ascii="SimSun" w:cs="SimSun" w:eastAsia="SimSun" w:hAnsi="SimSun"/>
          <w:sz w:val="24"/>
          <w:szCs w:val="24"/>
        </w:rPr>
        <w:t xml:space="preserve">，人工智能治理领域则呈现出原则碎片化与协调机制薄弱的困境[3, 11, 13]，传统多边主义的回应能力明显滞后于技术变革与权力扩散的速度。新型大国关系能否以及如何为治理体系注入适应性变革的动力，成为一个亟待检验的理论命题。本文尝试建立这一连接，考察百年变局背景下新型大国关系对全球治理体系变革的推动作用。研究从两个维度展开：一是分析新型大国关系在多边议程设置中的规范供给功能，二是评估其在国际制度改革实践中的协调效能。通过将规范分析与制度分析相整合，本文旨在为理解大国关系与全球治理互构机制提供一个不同于霸权稳定论或制度自由主义的新视角。</w:t>
      </w:r>
    </w:p>
    <w:p>
      <w:pPr>
        <w:pStyle w:val="Heading1"/>
        <w:spacing w:after="120" w:before="240"/>
      </w:pPr>
      <w:r>
        <w:rPr>
          <w:rFonts w:ascii="SimHei" w:cs="SimHei" w:eastAsia="SimHei" w:hAnsi="SimHei"/>
          <w:b/>
          <w:bCs/>
          <w:sz w:val="32"/>
          <w:szCs w:val="32"/>
        </w:rPr>
        <w:t xml:space="preserve">2 文献综述</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文献检索范围内按年份的发表趋势分布。</w:t>
      </w:r>
    </w:p>
    <w:p>
      <w:pPr>
        <w:pStyle w:val="Heading1"/>
        <w:spacing w:after="120" w:before="240"/>
      </w:pPr>
      <w:r>
        <w:rPr>
          <w:rFonts w:ascii="SimHei" w:cs="SimHei" w:eastAsia="SimHei" w:hAnsi="SimHei"/>
          <w:b/>
          <w:bCs/>
          <w:sz w:val="32"/>
          <w:szCs w:val="32"/>
        </w:rPr>
        <w:t xml:space="preserve">3 概念界定与理论框架</w:t>
      </w:r>
    </w:p>
    <w:p>
      <w:pPr>
        <w:pStyle w:val="Heading2"/>
        <w:spacing w:after="80" w:before="160"/>
      </w:pPr>
      <w:r>
        <w:rPr>
          <w:rFonts w:ascii="SimHei" w:cs="SimHei" w:eastAsia="SimHei" w:hAnsi="SimHei"/>
          <w:b/>
          <w:bCs/>
          <w:sz w:val="28"/>
          <w:szCs w:val="28"/>
        </w:rPr>
        <w:t xml:space="preserve">3.1 概念界定</w:t>
      </w:r>
    </w:p>
    <w:p>
      <w:pPr>
        <w:spacing w:after="120" w:line="360"/>
        <w:ind w:firstLine="480"/>
      </w:pPr>
      <w:r>
        <w:rPr>
          <w:rFonts w:ascii="SimSun" w:cs="SimSun" w:eastAsia="SimSun" w:hAnsi="SimSun"/>
          <w:sz w:val="24"/>
          <w:szCs w:val="24"/>
        </w:rPr>
        <w:t xml:space="preserve">“百年未有之大变局”是对当代国际体系结构性转型的战略判断，其核心指向权力扩散与秩序重塑的双重进程：新兴经济体群体性崛起、技术革命深度重塑社会形态、非国家行为体影响力上升等多重趋势相互交织。多边主义内涵同步演变：传统多边主义依赖正式国际制度的协调行动</w:t>
      </w:r>
      <w:r>
        <w:rPr>
          <w:rFonts w:ascii="SimSun" w:cs="SimSun" w:eastAsia="SimSun" w:hAnsi="SimSun"/>
          <w:sz w:val="24"/>
          <w:szCs w:val="24"/>
          <w:vertAlign w:val="superscript"/>
        </w:rPr>
        <w:t xml:space="preserve">[1]</w:t>
      </w:r>
      <w:r>
        <w:rPr>
          <w:rFonts w:ascii="SimSun" w:cs="SimSun" w:eastAsia="SimSun" w:hAnsi="SimSun"/>
          <w:sz w:val="24"/>
          <w:szCs w:val="24"/>
        </w:rPr>
        <w:t xml:space="preserve">，当前实践则呈现多维复杂形态——联合国等既有机制的适应性改革</w:t>
      </w:r>
      <w:r>
        <w:rPr>
          <w:rFonts w:ascii="SimSun" w:cs="SimSun" w:eastAsia="SimSun" w:hAnsi="SimSun"/>
          <w:sz w:val="24"/>
          <w:szCs w:val="24"/>
          <w:vertAlign w:val="superscript"/>
        </w:rPr>
        <w:t xml:space="preserve">[10]</w:t>
      </w:r>
      <w:r>
        <w:rPr>
          <w:rFonts w:ascii="SimSun" w:cs="SimSun" w:eastAsia="SimSun" w:hAnsi="SimSun"/>
          <w:sz w:val="24"/>
          <w:szCs w:val="24"/>
        </w:rPr>
        <w:t xml:space="preserve">与围绕人工智能等议题的专门合作框架并行发展</w:t>
      </w:r>
      <w:r>
        <w:rPr>
          <w:rFonts w:ascii="SimSun" w:cs="SimSun" w:eastAsia="SimSun" w:hAnsi="SimSun"/>
          <w:sz w:val="24"/>
          <w:szCs w:val="24"/>
          <w:vertAlign w:val="superscript"/>
        </w:rPr>
        <w:t xml:space="preserve">[3]</w:t>
      </w:r>
      <w:r>
        <w:rPr>
          <w:rFonts w:ascii="SimSun" w:cs="SimSun" w:eastAsia="SimSun" w:hAnsi="SimSun"/>
          <w:sz w:val="24"/>
          <w:szCs w:val="24"/>
        </w:rPr>
        <w:t xml:space="preserve">。全球治理因此表现为多层次、多行为体持续协商的动态过程</w:t>
      </w:r>
      <w:r>
        <w:rPr>
          <w:rFonts w:ascii="SimSun" w:cs="SimSun" w:eastAsia="SimSun" w:hAnsi="SimSun"/>
          <w:sz w:val="24"/>
          <w:szCs w:val="24"/>
          <w:vertAlign w:val="superscript"/>
        </w:rPr>
        <w:t xml:space="preserve">[5]</w:t>
      </w:r>
      <w:r>
        <w:rPr>
          <w:rFonts w:ascii="SimSun" w:cs="SimSun" w:eastAsia="SimSun" w:hAnsi="SimSun"/>
          <w:sz w:val="24"/>
          <w:szCs w:val="24"/>
        </w:rPr>
        <w:t xml:space="preserve">。“新型大国关系”倡导摈弃传统零和逻辑，以相互尊重与互利合作取代对抗</w:t>
      </w:r>
      <w:r>
        <w:rPr>
          <w:rFonts w:ascii="SimSun" w:cs="SimSun" w:eastAsia="SimSun" w:hAnsi="SimSun"/>
          <w:sz w:val="24"/>
          <w:szCs w:val="24"/>
          <w:vertAlign w:val="superscript"/>
        </w:rPr>
        <w:t xml:space="preserve">[15]</w:t>
      </w:r>
      <w:r>
        <w:rPr>
          <w:rFonts w:ascii="SimSun" w:cs="SimSun" w:eastAsia="SimSun" w:hAnsi="SimSun"/>
          <w:sz w:val="24"/>
          <w:szCs w:val="24"/>
        </w:rPr>
        <w:t xml:space="preserve">，其内涵既涉及双边关系的有效管控，更强调大国在多边框架下协调立场、共同应对系统性挑战。</w:t>
      </w:r>
    </w:p>
    <w:p>
      <w:pPr>
        <w:pStyle w:val="Heading2"/>
        <w:spacing w:after="80" w:before="160"/>
      </w:pPr>
      <w:r>
        <w:rPr>
          <w:rFonts w:ascii="SimHei" w:cs="SimHei" w:eastAsia="SimHei" w:hAnsi="SimHei"/>
          <w:b/>
          <w:bCs/>
          <w:sz w:val="28"/>
          <w:szCs w:val="28"/>
        </w:rPr>
        <w:t xml:space="preserve">3.2 理论框架：多边主义演变中的大国角色</w:t>
      </w:r>
    </w:p>
    <w:p>
      <w:pPr>
        <w:spacing w:after="120" w:line="360"/>
        <w:ind w:firstLine="480"/>
      </w:pPr>
      <w:r>
        <w:rPr>
          <w:rFonts w:ascii="SimSun" w:cs="SimSun" w:eastAsia="SimSun" w:hAnsi="SimSun"/>
          <w:sz w:val="24"/>
          <w:szCs w:val="24"/>
        </w:rPr>
        <w:t xml:space="preserve">分析新型大国关系对全球治理的推动，需将权力结构变动与制度弹性纳入统一框架。多边合作正经历深刻转型：正式机构代表性不足与信任流失加剧改革压力</w:t>
      </w:r>
      <w:r>
        <w:rPr>
          <w:rFonts w:ascii="SimSun" w:cs="SimSun" w:eastAsia="SimSun" w:hAnsi="SimSun"/>
          <w:sz w:val="24"/>
          <w:szCs w:val="24"/>
          <w:vertAlign w:val="superscript"/>
        </w:rPr>
        <w:t xml:space="preserve">[10]</w:t>
      </w:r>
      <w:r>
        <w:rPr>
          <w:rFonts w:ascii="SimSun" w:cs="SimSun" w:eastAsia="SimSun" w:hAnsi="SimSun"/>
          <w:sz w:val="24"/>
          <w:szCs w:val="24"/>
        </w:rPr>
        <w:t xml:space="preserve">，新议题联盟则推动多边主义从单一制度中心模式向网络化、议题化的多元模式转变</w:t>
      </w:r>
      <w:r>
        <w:rPr>
          <w:rFonts w:ascii="SimSun" w:cs="SimSun" w:eastAsia="SimSun" w:hAnsi="SimSun"/>
          <w:sz w:val="24"/>
          <w:szCs w:val="24"/>
          <w:vertAlign w:val="superscript"/>
        </w:rPr>
        <w:t xml:space="preserve">[1]</w:t>
      </w:r>
      <w:r>
        <w:rPr>
          <w:rFonts w:ascii="SimSun" w:cs="SimSun" w:eastAsia="SimSun" w:hAnsi="SimSun"/>
          <w:sz w:val="24"/>
          <w:szCs w:val="24"/>
        </w:rPr>
        <w:t xml:space="preserve">。人工智能治理提供了一个典型观察窗口：各国在将AI议题嵌入现有框架的同时，也竞相建立专门协调机制，而国家始终保留议程设定与决策权</w:t>
      </w:r>
      <w:r>
        <w:rPr>
          <w:rFonts w:ascii="SimSun" w:cs="SimSun" w:eastAsia="SimSun" w:hAnsi="SimSun"/>
          <w:sz w:val="24"/>
          <w:szCs w:val="24"/>
          <w:vertAlign w:val="superscript"/>
        </w:rPr>
        <w:t xml:space="preserve">[3]</w:t>
      </w:r>
      <w:r>
        <w:rPr>
          <w:rFonts w:ascii="SimSun" w:cs="SimSun" w:eastAsia="SimSun" w:hAnsi="SimSun"/>
          <w:sz w:val="24"/>
          <w:szCs w:val="24"/>
        </w:rPr>
        <w:t xml:space="preserve">。这种转型折射出大国竞争与合作的深层张力。新兴大国寻求获得与其经济实力相称的制度性话语权，对既有安排构成调整压力；这种压力既可催生建设性的制度创新，也可能加剧治理碎片化，尤其在新兴领域缺乏有效协调之时。推进新型大国关系，有助于将战略竞争限定在规则框架内，降低制度内耗，从而为全球治理体系的渐进变革提供稳定预期。</w:t>
      </w:r>
    </w:p>
    <w:p>
      <w:pPr>
        <w:spacing w:after="120" w:line="360"/>
        <w:ind w:firstLine="480"/>
      </w:pPr>
      <w:r>
        <w:rPr>
          <w:rFonts w:ascii="SimSun" w:cs="SimSun" w:eastAsia="SimSun" w:hAnsi="SimSun"/>
          <w:sz w:val="24"/>
          <w:szCs w:val="24"/>
        </w:rPr>
        <w:t xml:space="preserve">本文据此构建“权力结构—制度弹性—规范调适”分析框架：权力结构表征大国间的力量对比与关系性质，制度弹性指多边机制接纳新成员、回应新议题的适应力，规范调适关注主导性治理理念的更新与扩散。以三者互动为主线，以大国间权力关系性质为自变量，多边制度的适应能力与全球治理规范的演进方向为因变量，考察新型大国关系如何通过议程设定、制度变革与规范扩散，推动全球治理从权力等级秩序走向更具包容性与韧性的协作秩序。</w:t>
      </w:r>
    </w:p>
    <w:p>
      <w:pPr>
        <w:pStyle w:val="Heading1"/>
        <w:spacing w:after="120" w:before="240"/>
      </w:pPr>
      <w:r>
        <w:rPr>
          <w:rFonts w:ascii="SimHei" w:cs="SimHei" w:eastAsia="SimHei" w:hAnsi="SimHei"/>
          <w:b/>
          <w:bCs/>
          <w:sz w:val="32"/>
          <w:szCs w:val="32"/>
        </w:rPr>
        <w:t xml:space="preserve">4 百年变局下全球治理体系的困境与变革需求</w:t>
      </w:r>
    </w:p>
    <w:p>
      <w:pPr>
        <w:spacing w:after="120" w:line="360"/>
        <w:ind w:firstLine="480"/>
      </w:pPr>
      <w:r>
        <w:rPr>
          <w:rFonts w:ascii="SimSun" w:cs="SimSun" w:eastAsia="SimSun" w:hAnsi="SimSun"/>
          <w:sz w:val="24"/>
          <w:szCs w:val="24"/>
        </w:rPr>
        <w:t xml:space="preserve">百年变局下全球治理体系的困境与变革需求</w:t>
      </w:r>
    </w:p>
    <w:p>
      <w:pPr>
        <w:spacing w:after="120" w:line="360"/>
        <w:ind w:firstLine="480"/>
      </w:pPr>
      <w:r>
        <w:rPr>
          <w:rFonts w:ascii="SimSun" w:cs="SimSun" w:eastAsia="SimSun" w:hAnsi="SimSun"/>
          <w:sz w:val="24"/>
          <w:szCs w:val="24"/>
        </w:rPr>
        <w:t xml:space="preserve">全球治理体系面临深刻的合法性危机与功能失调。Shepard Forman与Derk Segaar指出，传统国家中心治理模式已难以适应日益复杂的跨国挑战</w:t>
      </w:r>
      <w:r>
        <w:rPr>
          <w:rFonts w:ascii="SimSun" w:cs="SimSun" w:eastAsia="SimSun" w:hAnsi="SimSun"/>
          <w:sz w:val="24"/>
          <w:szCs w:val="24"/>
          <w:vertAlign w:val="superscript"/>
        </w:rPr>
        <w:t xml:space="preserve">[1]</w:t>
      </w:r>
      <w:r>
        <w:rPr>
          <w:rFonts w:ascii="SimSun" w:cs="SimSun" w:eastAsia="SimSun" w:hAnsi="SimSun"/>
          <w:sz w:val="24"/>
          <w:szCs w:val="24"/>
        </w:rPr>
        <w:t xml:space="preserve">。在联合国体系中，这种困境尤为突出。Maya Ungar基于一手访谈和案头研究揭示，该机构正遭遇“全球南方”的信任危机，改革速度的滞后使其合法性持续流失</w:t>
      </w:r>
      <w:r>
        <w:rPr>
          <w:rFonts w:ascii="SimSun" w:cs="SimSun" w:eastAsia="SimSun" w:hAnsi="SimSun"/>
          <w:sz w:val="24"/>
          <w:szCs w:val="24"/>
          <w:vertAlign w:val="superscript"/>
        </w:rPr>
        <w:t xml:space="preserve">[10]</w:t>
      </w:r>
      <w:r>
        <w:rPr>
          <w:rFonts w:ascii="SimSun" w:cs="SimSun" w:eastAsia="SimSun" w:hAnsi="SimSun"/>
          <w:sz w:val="24"/>
          <w:szCs w:val="24"/>
        </w:rPr>
        <w:t xml:space="preserve">。制度供给与需求之间的鸿沟正加速扩大。</w:t>
      </w:r>
    </w:p>
    <w:p>
      <w:pPr>
        <w:spacing w:after="120" w:line="360"/>
        <w:ind w:firstLine="480"/>
      </w:pPr>
      <w:r>
        <w:rPr>
          <w:rFonts w:ascii="SimSun" w:cs="SimSun" w:eastAsia="SimSun" w:hAnsi="SimSun"/>
          <w:sz w:val="24"/>
          <w:szCs w:val="24"/>
        </w:rPr>
        <w:t xml:space="preserve">信任赤字正向新兴技术治理蔓延。人工智能的全球治理呈现碎片化与排他性。Chinasa T. Okolo与Mubarak Raji的研究表明，西方国家和企业主导着AI治理框架，多数世界国家因数字基础设施落后、教育体系薄弱及决策渠道缺失，陷入“依赖与排斥的循环”</w:t>
      </w:r>
      <w:r>
        <w:rPr>
          <w:rFonts w:ascii="SimSun" w:cs="SimSun" w:eastAsia="SimSun" w:hAnsi="SimSun"/>
          <w:sz w:val="24"/>
          <w:szCs w:val="24"/>
          <w:vertAlign w:val="superscript"/>
        </w:rPr>
        <w:t xml:space="preserve">[11]</w:t>
      </w:r>
      <w:r>
        <w:rPr>
          <w:rFonts w:ascii="SimSun" w:cs="SimSun" w:eastAsia="SimSun" w:hAnsi="SimSun"/>
          <w:sz w:val="24"/>
          <w:szCs w:val="24"/>
        </w:rPr>
        <w:t xml:space="preserve">。这种结构性不平等使国际AI治理议程难以反映多数世界国家的优先关切——从数据主权到技术转移，议题设定权高度集中。Michal Natorski进一步指出，尽管AI多边主义标榜多利益攸关方参与，国家在议程设定、谈判及软法承诺执行中仍保留最终决策权，形成“国家层级阴影下的多边主义”</w:t>
      </w:r>
      <w:r>
        <w:rPr>
          <w:rFonts w:ascii="SimSun" w:cs="SimSun" w:eastAsia="SimSun" w:hAnsi="SimSun"/>
          <w:sz w:val="24"/>
          <w:szCs w:val="24"/>
          <w:vertAlign w:val="superscript"/>
        </w:rPr>
        <w:t xml:space="preserve">[3]</w:t>
      </w:r>
      <w:r>
        <w:rPr>
          <w:rFonts w:ascii="SimSun" w:cs="SimSun" w:eastAsia="SimSun" w:hAnsi="SimSun"/>
          <w:sz w:val="24"/>
          <w:szCs w:val="24"/>
        </w:rPr>
        <w:t xml:space="preserve">。这一格局表面上维持合作，实则固化权力不对称。</w:t>
      </w:r>
    </w:p>
    <w:p>
      <w:pPr>
        <w:spacing w:after="120" w:line="360"/>
        <w:ind w:firstLine="480"/>
      </w:pPr>
      <w:r>
        <w:rPr>
          <w:rFonts w:ascii="SimSun" w:cs="SimSun" w:eastAsia="SimSun" w:hAnsi="SimSun"/>
          <w:sz w:val="24"/>
          <w:szCs w:val="24"/>
        </w:rPr>
        <w:t xml:space="preserve">治理失灵的另一根源在于软法机制效力不足。Jelena Cupac对AI治理中性别议题的分析发现，联合国教科文组织AI伦理建议等倡议虽将性别关切纳入人权框架，但文件间缺乏一致性，对交叉性问题回应有限，且无强制机制，难以从象征性承诺走向实质平等</w:t>
      </w:r>
      <w:r>
        <w:rPr>
          <w:rFonts w:ascii="SimSun" w:cs="SimSun" w:eastAsia="SimSun" w:hAnsi="SimSun"/>
          <w:sz w:val="24"/>
          <w:szCs w:val="24"/>
          <w:vertAlign w:val="superscript"/>
        </w:rPr>
        <w:t xml:space="preserve">[12]</w:t>
      </w:r>
      <w:r>
        <w:rPr>
          <w:rFonts w:ascii="SimSun" w:cs="SimSun" w:eastAsia="SimSun" w:hAnsi="SimSun"/>
          <w:sz w:val="24"/>
          <w:szCs w:val="24"/>
        </w:rPr>
        <w:t xml:space="preserve">。Mason-Williams与Mason-Williams从研究可重复性角度切入，指出AI政策制定者面临的信息环境信噪比过低，科研成果发布速度远超验证能力，这削弱了基于证据的治理能力，并滋生监管捕获风险</w:t>
      </w:r>
      <w:r>
        <w:rPr>
          <w:rFonts w:ascii="SimSun" w:cs="SimSun" w:eastAsia="SimSun" w:hAnsi="SimSun"/>
          <w:sz w:val="24"/>
          <w:szCs w:val="24"/>
          <w:vertAlign w:val="superscript"/>
        </w:rPr>
        <w:t xml:space="preserve">[14]</w:t>
      </w:r>
      <w:r>
        <w:rPr>
          <w:rFonts w:ascii="SimSun" w:cs="SimSun" w:eastAsia="SimSun" w:hAnsi="SimSun"/>
          <w:sz w:val="24"/>
          <w:szCs w:val="24"/>
        </w:rPr>
        <w:t xml:space="preserve">。科学基础不稳，政策干预的精准性与合法性便无从保证。</w:t>
      </w:r>
    </w:p>
    <w:p>
      <w:pPr>
        <w:spacing w:after="120" w:line="360"/>
        <w:ind w:firstLine="480"/>
      </w:pPr>
      <w:r>
        <w:rPr>
          <w:rFonts w:ascii="SimSun" w:cs="SimSun" w:eastAsia="SimSun" w:hAnsi="SimSun"/>
          <w:sz w:val="24"/>
          <w:szCs w:val="24"/>
        </w:rPr>
        <w:t xml:space="preserve">上述困境指向深层矛盾：多边机制的设计逻辑倾向于维持稳定，而百年变局的速度与广度要求治理体系具备敏捷适应性。Zhong Feiteng在分析新型大国关系时强调，更加平衡的大国互动模式可能为全球治理注入新动力，推动其从对抗性僵局走向协商性变革</w:t>
      </w:r>
      <w:r>
        <w:rPr>
          <w:rFonts w:ascii="SimSun" w:cs="SimSun" w:eastAsia="SimSun" w:hAnsi="SimSun"/>
          <w:sz w:val="24"/>
          <w:szCs w:val="24"/>
          <w:vertAlign w:val="superscript"/>
        </w:rPr>
        <w:t xml:space="preserve">[15]</w:t>
      </w:r>
      <w:r>
        <w:rPr>
          <w:rFonts w:ascii="SimSun" w:cs="SimSun" w:eastAsia="SimSun" w:hAnsi="SimSun"/>
          <w:sz w:val="24"/>
          <w:szCs w:val="24"/>
        </w:rPr>
        <w:t xml:space="preserve">。全球治理体系面临的不仅是机制修补，更是关系格局的重构——如何在权力转移中建立更具包容性和响应力的合作框架，构成了变革需求的内核。</w:t>
      </w:r>
    </w:p>
    <w:p>
      <w:pPr>
        <w:pStyle w:val="Heading1"/>
        <w:spacing w:after="120" w:before="240"/>
      </w:pPr>
      <w:r>
        <w:rPr>
          <w:rFonts w:ascii="SimHei" w:cs="SimHei" w:eastAsia="SimHei" w:hAnsi="SimHei"/>
          <w:b/>
          <w:bCs/>
          <w:sz w:val="32"/>
          <w:szCs w:val="32"/>
        </w:rPr>
        <w:t xml:space="preserve">5 新型大国关系的理念与实践进展</w:t>
      </w:r>
    </w:p>
    <w:p>
      <w:pPr>
        <w:spacing w:after="120" w:line="360"/>
        <w:ind w:firstLine="480"/>
      </w:pPr>
      <w:r>
        <w:rPr>
          <w:rFonts w:ascii="SimSun" w:cs="SimSun" w:eastAsia="SimSun" w:hAnsi="SimSun"/>
          <w:sz w:val="24"/>
          <w:szCs w:val="24"/>
        </w:rPr>
        <w:t xml:space="preserve">新型大国关系概念已演化为全球治理变革的分析框架。Zhong Feiteng指出，其核心在于超越传统大国政治的零和逻辑，以不冲突不对抗、相互尊重、合作共赢为原则，寻求大国互动模式的根本性重构</w:t>
      </w:r>
      <w:r>
        <w:rPr>
          <w:rFonts w:ascii="SimSun" w:cs="SimSun" w:eastAsia="SimSun" w:hAnsi="SimSun"/>
          <w:sz w:val="24"/>
          <w:szCs w:val="24"/>
          <w:vertAlign w:val="superscript"/>
        </w:rPr>
        <w:t xml:space="preserve">[15]</w:t>
      </w:r>
      <w:r>
        <w:rPr>
          <w:rFonts w:ascii="SimSun" w:cs="SimSun" w:eastAsia="SimSun" w:hAnsi="SimSun"/>
          <w:sz w:val="24"/>
          <w:szCs w:val="24"/>
        </w:rPr>
        <w:t xml:space="preserve">。在百年变局下，这一理念回应了多极权力结构与全球性挑战之间的张力——传统霸权支配下的多边机制难以有效应对金融危机、气候变化等跨国议题，而新兴力量尚未在国际制度中获得匹配角色。新型大国关系因此不仅是双边关系调适方案，更被视为推动全球治理从霸权稳定转向多元协商的规范性基础。</w:t>
      </w:r>
    </w:p>
    <w:p>
      <w:pPr>
        <w:spacing w:after="120" w:line="360"/>
        <w:ind w:firstLine="480"/>
      </w:pPr>
      <w:r>
        <w:rPr>
          <w:rFonts w:ascii="SimSun" w:cs="SimSun" w:eastAsia="SimSun" w:hAnsi="SimSun"/>
          <w:sz w:val="24"/>
          <w:szCs w:val="24"/>
        </w:rPr>
        <w:t xml:space="preserve">实践层面，大国的竞合态势展现出局部进展与深层矛盾。一方面，特定议题上的协调推动了多边机制的功能性调整。Forman和Segaar指出，多边主义正从固定制度向后议题联盟演变，为非西方大国以项目化方式参与规则制定提供了空间</w:t>
      </w:r>
      <w:r>
        <w:rPr>
          <w:rFonts w:ascii="SimSun" w:cs="SimSun" w:eastAsia="SimSun" w:hAnsi="SimSun"/>
          <w:sz w:val="24"/>
          <w:szCs w:val="24"/>
          <w:vertAlign w:val="superscript"/>
        </w:rPr>
        <w:t xml:space="preserve">[1]</w:t>
      </w:r>
      <w:r>
        <w:rPr>
          <w:rFonts w:ascii="SimSun" w:cs="SimSun" w:eastAsia="SimSun" w:hAnsi="SimSun"/>
          <w:sz w:val="24"/>
          <w:szCs w:val="24"/>
        </w:rPr>
        <w:t xml:space="preserve">。在人工智能治理等新兴领域，多边框架呈现国家主导、多利益攸关方参与的复合结构，国家的决定性作用并未消退</w:t>
      </w:r>
      <w:r>
        <w:rPr>
          <w:rFonts w:ascii="SimSun" w:cs="SimSun" w:eastAsia="SimSun" w:hAnsi="SimSun"/>
          <w:sz w:val="24"/>
          <w:szCs w:val="24"/>
          <w:vertAlign w:val="superscript"/>
        </w:rPr>
        <w:t xml:space="preserve">[3]</w:t>
      </w:r>
      <w:r>
        <w:rPr>
          <w:rFonts w:ascii="SimSun" w:cs="SimSun" w:eastAsia="SimSun" w:hAnsi="SimSun"/>
          <w:sz w:val="24"/>
          <w:szCs w:val="24"/>
        </w:rPr>
        <w:t xml:space="preserve">。这种“国家中心的多边主义”可视作新型大国关系在技术治理领域的延伸。</w:t>
      </w:r>
    </w:p>
    <w:p>
      <w:pPr>
        <w:spacing w:after="120" w:line="360"/>
        <w:ind w:firstLine="480"/>
      </w:pPr>
      <w:r>
        <w:rPr>
          <w:rFonts w:ascii="SimSun" w:cs="SimSun" w:eastAsia="SimSun" w:hAnsi="SimSun"/>
          <w:sz w:val="24"/>
          <w:szCs w:val="24"/>
        </w:rPr>
        <w:t xml:space="preserve">另一方面，既有多边制度的合法性危机凸显理念与实践的鸿沟。Ungar对联合国改革辩论的考察表明，全球南方对代表权不足的长期不满侵蚀着多边机构的信任基础，体制演变迟滞加剧了这一趋势</w:t>
      </w:r>
      <w:r>
        <w:rPr>
          <w:rFonts w:ascii="SimSun" w:cs="SimSun" w:eastAsia="SimSun" w:hAnsi="SimSun"/>
          <w:sz w:val="24"/>
          <w:szCs w:val="24"/>
          <w:vertAlign w:val="superscript"/>
        </w:rPr>
        <w:t xml:space="preserve">[10]</w:t>
      </w:r>
      <w:r>
        <w:rPr>
          <w:rFonts w:ascii="SimSun" w:cs="SimSun" w:eastAsia="SimSun" w:hAnsi="SimSun"/>
          <w:sz w:val="24"/>
          <w:szCs w:val="24"/>
        </w:rPr>
        <w:t xml:space="preserve">。大国间战略信任的匮乏直接限制了多边改革深度：安理会扩容、国际金融机构投票权调整等核心议题长期陷于僵局。Weiss和Wilkinson尖锐指出，若多边主义不能反映权力格局与利益诉求的变迁，全球治理将面临断裂风险</w:t>
      </w:r>
      <w:r>
        <w:rPr>
          <w:rFonts w:ascii="SimSun" w:cs="SimSun" w:eastAsia="SimSun" w:hAnsi="SimSun"/>
          <w:sz w:val="24"/>
          <w:szCs w:val="24"/>
          <w:vertAlign w:val="superscript"/>
        </w:rPr>
        <w:t xml:space="preserve">[5]</w:t>
      </w:r>
      <w:r>
        <w:rPr>
          <w:rFonts w:ascii="SimSun" w:cs="SimSun" w:eastAsia="SimSun" w:hAnsi="SimSun"/>
          <w:sz w:val="24"/>
          <w:szCs w:val="24"/>
        </w:rPr>
        <w:t xml:space="preserve">。新型大国关系要成为变革引擎，必须超越象征性合作，在制度设计层面重塑游戏规则，使新兴力量与既有霸权的协调不再依赖个案式利益交换，而固化为可预期的多边规范。</w:t>
      </w:r>
    </w:p>
    <w:p>
      <w:pPr>
        <w:spacing w:after="120" w:line="360"/>
        <w:ind w:firstLine="480"/>
      </w:pPr>
      <w:r>
        <w:rPr>
          <w:rFonts w:ascii="SimSun" w:cs="SimSun" w:eastAsia="SimSun" w:hAnsi="SimSun"/>
          <w:sz w:val="24"/>
          <w:szCs w:val="24"/>
        </w:rPr>
        <w:t xml:space="preserve">当前，新型大国关系的实践正处于从理念宣示向制度建构过渡的关键期。其推动作用的大小，取决于大国能否将双边协调经验转化为多边规则创新，也取决于全球治理体系能否容纳更加扁平化的权力分布。这既是百年变局对多边主义的压力测试，也是新型大国关系兑现其变革承诺的试金石。</w:t>
      </w:r>
    </w:p>
    <w:p>
      <w:pPr>
        <w:pStyle w:val="Heading1"/>
        <w:spacing w:after="120" w:before="240"/>
      </w:pPr>
      <w:r>
        <w:rPr>
          <w:rFonts w:ascii="SimHei" w:cs="SimHei" w:eastAsia="SimHei" w:hAnsi="SimHei"/>
          <w:b/>
          <w:bCs/>
          <w:sz w:val="32"/>
          <w:szCs w:val="32"/>
        </w:rPr>
        <w:t xml:space="preserve">6 新型大国关系推动多边主义的机制分析</w:t>
      </w:r>
    </w:p>
    <w:p>
      <w:pPr>
        <w:spacing w:after="120" w:line="360"/>
        <w:ind w:firstLine="480"/>
      </w:pPr>
      <w:r>
        <w:rPr>
          <w:rFonts w:ascii="SimSun" w:cs="SimSun" w:eastAsia="SimSun" w:hAnsi="SimSun"/>
          <w:sz w:val="24"/>
          <w:szCs w:val="24"/>
        </w:rPr>
        <w:t xml:space="preserve">新型大国关系对多边主义的推动作用并非简单的线性因果，而是通过多重机制在特定议题领域交错展开。分析这些机制，有助于理解大国互动如何从传统的权力制衡转向对全球治理体系的变革性影响。</w:t>
      </w:r>
    </w:p>
    <w:p>
      <w:pPr>
        <w:pStyle w:val="Heading2"/>
        <w:spacing w:after="80" w:before="160"/>
      </w:pPr>
      <w:r>
        <w:rPr>
          <w:rFonts w:ascii="SimHei" w:cs="SimHei" w:eastAsia="SimHei" w:hAnsi="SimHei"/>
          <w:b/>
          <w:bCs/>
          <w:sz w:val="28"/>
          <w:szCs w:val="28"/>
        </w:rPr>
        <w:t xml:space="preserve">6.1 大国协调与多边议程的重塑</w:t>
      </w:r>
    </w:p>
    <w:p>
      <w:pPr>
        <w:spacing w:after="120" w:line="360"/>
        <w:ind w:firstLine="480"/>
      </w:pPr>
      <w:r>
        <w:rPr>
          <w:rFonts w:ascii="SimSun" w:cs="SimSun" w:eastAsia="SimSun" w:hAnsi="SimSun"/>
          <w:sz w:val="24"/>
          <w:szCs w:val="24"/>
        </w:rPr>
        <w:t xml:space="preserve">新型大国关系推动多边主义的第一重机制体现为议程重塑。传统多边平台长期被少数西方国家主导的议题所占据，而新兴大国的崛起带来了治理重心的转移。Forman和Segaar指出，全球治理中新联盟的形成正在改变多边主义的动态，非传统行为体和新兴力量通过建立跨议题联盟，将发展、金融稳定等议题推至前台</w:t>
      </w:r>
      <w:r>
        <w:rPr>
          <w:rFonts w:ascii="SimSun" w:cs="SimSun" w:eastAsia="SimSun" w:hAnsi="SimSun"/>
          <w:sz w:val="24"/>
          <w:szCs w:val="24"/>
          <w:vertAlign w:val="superscript"/>
        </w:rPr>
        <w:t xml:space="preserve">[1]</w:t>
      </w:r>
      <w:r>
        <w:rPr>
          <w:rFonts w:ascii="SimSun" w:cs="SimSun" w:eastAsia="SimSun" w:hAnsi="SimSun"/>
          <w:sz w:val="24"/>
          <w:szCs w:val="24"/>
        </w:rPr>
        <w:t xml:space="preserve">。这一过程并非简单的权力争夺，而是通过对既有议程的“嵌入性改造”来实现。例如，在联合国改革辩论中，全球南方国家长期对代表性不足的不满已造成深层的信任危机，而大国之间能否就安理会扩大等核心议题达成协调，直接决定了该机构能否重获合法性</w:t>
      </w:r>
      <w:r>
        <w:rPr>
          <w:rFonts w:ascii="SimSun" w:cs="SimSun" w:eastAsia="SimSun" w:hAnsi="SimSun"/>
          <w:sz w:val="24"/>
          <w:szCs w:val="24"/>
          <w:vertAlign w:val="superscript"/>
        </w:rPr>
        <w:t xml:space="preserve">[10]</w:t>
      </w:r>
      <w:r>
        <w:rPr>
          <w:rFonts w:ascii="SimSun" w:cs="SimSun" w:eastAsia="SimSun" w:hAnsi="SimSun"/>
          <w:sz w:val="24"/>
          <w:szCs w:val="24"/>
        </w:rPr>
        <w:t xml:space="preserve">。新型大国关系在此的作用机制，在于将“全球南方”的诉求转化为大国可协商的政策选项，使多边议程从“西方设定”转向更具包容性的共商模式。</w:t>
      </w:r>
    </w:p>
    <w:p>
      <w:pPr>
        <w:pStyle w:val="Heading2"/>
        <w:spacing w:after="80" w:before="160"/>
      </w:pPr>
      <w:r>
        <w:rPr>
          <w:rFonts w:ascii="SimHei" w:cs="SimHei" w:eastAsia="SimHei" w:hAnsi="SimHei"/>
          <w:b/>
          <w:bCs/>
          <w:sz w:val="28"/>
          <w:szCs w:val="28"/>
        </w:rPr>
        <w:t xml:space="preserve">6.2 制度化合作与治理真空填补</w:t>
      </w:r>
    </w:p>
    <w:p>
      <w:pPr>
        <w:spacing w:after="120" w:line="360"/>
        <w:ind w:firstLine="480"/>
      </w:pPr>
      <w:r>
        <w:rPr>
          <w:rFonts w:ascii="SimSun" w:cs="SimSun" w:eastAsia="SimSun" w:hAnsi="SimSun"/>
          <w:sz w:val="24"/>
          <w:szCs w:val="24"/>
        </w:rPr>
        <w:t xml:space="preserve">第二重机制在于新型大国关系能够催生新的制度化合作框架，填补特定领域的治理真空。以人工智能治理为例，该领域近年来的多边化进程呈现出两种典型路径：将AI议题纳入已有合作机制，以及创设专门的多边框架</w:t>
      </w:r>
      <w:r>
        <w:rPr>
          <w:rFonts w:ascii="SimSun" w:cs="SimSun" w:eastAsia="SimSun" w:hAnsi="SimSun"/>
          <w:sz w:val="24"/>
          <w:szCs w:val="24"/>
          <w:vertAlign w:val="superscript"/>
        </w:rPr>
        <w:t xml:space="preserve">[3]</w:t>
      </w:r>
      <w:r>
        <w:rPr>
          <w:rFonts w:ascii="SimSun" w:cs="SimSun" w:eastAsia="SimSun" w:hAnsi="SimSun"/>
          <w:sz w:val="24"/>
          <w:szCs w:val="24"/>
        </w:rPr>
        <w:t xml:space="preserve">。然而，这些框架的实质有效性高度依赖大国间的协调意愿。有研究指出，当前全球AI治理面临学科割裂、多边协调低效等困境，而跨学科、多边且垂直协调的治理路径，需要大国同时扮演议程倡议者与共识促成者角色</w:t>
      </w:r>
      <w:r>
        <w:rPr>
          <w:rFonts w:ascii="SimSun" w:cs="SimSun" w:eastAsia="SimSun" w:hAnsi="SimSun"/>
          <w:sz w:val="24"/>
          <w:szCs w:val="24"/>
          <w:vertAlign w:val="superscript"/>
        </w:rPr>
        <w:t xml:space="preserve">[13]</w:t>
      </w:r>
      <w:r>
        <w:rPr>
          <w:rFonts w:ascii="SimSun" w:cs="SimSun" w:eastAsia="SimSun" w:hAnsi="SimSun"/>
          <w:sz w:val="24"/>
          <w:szCs w:val="24"/>
        </w:rPr>
        <w:t xml:space="preserve">。新型大国关系模式主张在竞争中管控分歧，在共同关切的领域建立“务实联盟”，能够为上述多边协调提供行为规范。从更宏观的视角看，《新型大国关系手册》将这种关系界定为一种避免冲突对抗、寻求合作共赢的互动框架</w:t>
      </w:r>
      <w:r>
        <w:rPr>
          <w:rFonts w:ascii="SimSun" w:cs="SimSun" w:eastAsia="SimSun" w:hAnsi="SimSun"/>
          <w:sz w:val="24"/>
          <w:szCs w:val="24"/>
          <w:vertAlign w:val="superscript"/>
        </w:rPr>
        <w:t xml:space="preserve">[15]</w:t>
      </w:r>
      <w:r>
        <w:rPr>
          <w:rFonts w:ascii="SimSun" w:cs="SimSun" w:eastAsia="SimSun" w:hAnsi="SimSun"/>
          <w:sz w:val="24"/>
          <w:szCs w:val="24"/>
        </w:rPr>
        <w:t xml:space="preserve">，这种框架本身就是一种制度化的信号装置，降低了多边谈判中的不确定性，使得在气候变化、网络空间等新生全球议题上制定软法规范成为可能。</w:t>
      </w:r>
    </w:p>
    <w:p>
      <w:pPr>
        <w:pStyle w:val="Heading1"/>
        <w:spacing w:after="120" w:before="240"/>
      </w:pPr>
      <w:r>
        <w:rPr>
          <w:rFonts w:ascii="SimHei" w:cs="SimHei" w:eastAsia="SimHei" w:hAnsi="SimHei"/>
          <w:b/>
          <w:bCs/>
          <w:sz w:val="32"/>
          <w:szCs w:val="32"/>
        </w:rPr>
        <w:t xml:space="preserve">7 案例比较：中美与中俄关系的治理效应</w:t>
      </w:r>
    </w:p>
    <w:p>
      <w:pPr>
        <w:spacing w:after="120" w:line="360"/>
        <w:ind w:firstLine="480"/>
      </w:pPr>
      <w:r>
        <w:rPr>
          <w:rFonts w:ascii="SimSun" w:cs="SimSun" w:eastAsia="SimSun" w:hAnsi="SimSun"/>
          <w:sz w:val="24"/>
          <w:szCs w:val="24"/>
        </w:rPr>
        <w:t xml:space="preserve">中美新型大国关系与中俄全面战略协作伙伴关系构成了两种差异显著的大国互动模式，其对全球治理体系变革的推动方式与治理效应也遵循不同逻辑。中美关系在竞争性相互依赖中呈现出制度博弈的特征，而中俄关系则更多体现为协同性合作，二者为理解新型大国关系如何塑造多边治理格局提供了关键对照。</w:t>
      </w:r>
    </w:p>
    <w:p>
      <w:pPr>
        <w:spacing w:after="120" w:line="360"/>
        <w:ind w:firstLine="480"/>
      </w:pPr>
      <w:r>
        <w:rPr>
          <w:rFonts w:ascii="SimSun" w:cs="SimSun" w:eastAsia="SimSun" w:hAnsi="SimSun"/>
          <w:sz w:val="24"/>
          <w:szCs w:val="24"/>
        </w:rPr>
        <w:t xml:space="preserve">中美关系的治理效应集中表现为竞争驱动下的制度碎片化与改革张力。两国在贸易、科技、金融等领域的主导权之争，促使全球治理架构中出现平行的规范倡议与选择性联盟。Forman与Segaar指出，全球治理的联盟动力正在发生根本转变，新兴行为体与议题网络不断重塑多边议程</w:t>
      </w:r>
      <w:r>
        <w:rPr>
          <w:rFonts w:ascii="SimSun" w:cs="SimSun" w:eastAsia="SimSun" w:hAnsi="SimSun"/>
          <w:sz w:val="24"/>
          <w:szCs w:val="24"/>
          <w:vertAlign w:val="superscript"/>
        </w:rPr>
        <w:t xml:space="preserve">[1]</w:t>
      </w:r>
      <w:r>
        <w:rPr>
          <w:rFonts w:ascii="SimSun" w:cs="SimSun" w:eastAsia="SimSun" w:hAnsi="SimSun"/>
          <w:sz w:val="24"/>
          <w:szCs w:val="24"/>
        </w:rPr>
        <w:t xml:space="preserve">。在中美战略竞争背景下，这种转变往往以“制度制衡”形态呈现：一方强化既有西方主导的国际机制，另一方则倡导更具包容性的替代安排，导致在关键治理领域的规范重叠与协调成本上升。Ungar对联合国信任危机的研究表明，大国博弈加剧了多边机构代表性不足的问题，全球南方国家对现有体系的疏离感因大国僵局而被放大</w:t>
      </w:r>
      <w:r>
        <w:rPr>
          <w:rFonts w:ascii="SimSun" w:cs="SimSun" w:eastAsia="SimSun" w:hAnsi="SimSun"/>
          <w:sz w:val="24"/>
          <w:szCs w:val="24"/>
          <w:vertAlign w:val="superscript"/>
        </w:rPr>
        <w:t xml:space="preserve">[10]</w:t>
      </w:r>
      <w:r>
        <w:rPr>
          <w:rFonts w:ascii="SimSun" w:cs="SimSun" w:eastAsia="SimSun" w:hAnsi="SimSun"/>
          <w:sz w:val="24"/>
          <w:szCs w:val="24"/>
        </w:rPr>
        <w:t xml:space="preserve">。因此，中美关系中的竞争性要素在推动治理议题显性化的同时，也增加了体系内部的离心力，延缓了亟需的制度改革。</w:t>
      </w:r>
    </w:p>
    <w:p>
      <w:pPr>
        <w:spacing w:after="120" w:line="360"/>
        <w:ind w:firstLine="480"/>
      </w:pPr>
      <w:r>
        <w:rPr>
          <w:rFonts w:ascii="SimSun" w:cs="SimSun" w:eastAsia="SimSun" w:hAnsi="SimSun"/>
          <w:sz w:val="24"/>
          <w:szCs w:val="24"/>
        </w:rPr>
        <w:t xml:space="preserve">相较之下，中俄关系的治理效应更多依赖战略协调与多边平台内的联合行动。Zhong Feiteng在分析新型大国关系时强调，中俄协作基于广泛的共同利益与对国际秩序的多极化共识，双边关系的稳定性为双方在全球治理中协调立场提供了基础</w:t>
      </w:r>
      <w:r>
        <w:rPr>
          <w:rFonts w:ascii="SimSun" w:cs="SimSun" w:eastAsia="SimSun" w:hAnsi="SimSun"/>
          <w:sz w:val="24"/>
          <w:szCs w:val="24"/>
          <w:vertAlign w:val="superscript"/>
        </w:rPr>
        <w:t xml:space="preserve">[15]</w:t>
      </w:r>
      <w:r>
        <w:rPr>
          <w:rFonts w:ascii="SimSun" w:cs="SimSun" w:eastAsia="SimSun" w:hAnsi="SimSun"/>
          <w:sz w:val="24"/>
          <w:szCs w:val="24"/>
        </w:rPr>
        <w:t xml:space="preserve">。这种协作模式并非构建排他性集团，而是通过联合国、上海合作组织、金砖国家等机制合力推动治理体系向更加均衡的方向演进。它对全球治理的推动并非通过颠覆现有秩序，而是在现有框架内增强改革呼声，尤其关注提升新兴市场和发展中国家的发言权。这种“内部改革”路径与中美的“制度竞争”路径形成鲜明对照，其治理效应体现在对多边主义规范的重申与对包容性决策程序的推动上。</w:t>
      </w:r>
    </w:p>
    <w:p>
      <w:pPr>
        <w:spacing w:after="120" w:line="360"/>
        <w:ind w:firstLine="480"/>
      </w:pPr>
      <w:r>
        <w:rPr>
          <w:rFonts w:ascii="SimSun" w:cs="SimSun" w:eastAsia="SimSun" w:hAnsi="SimSun"/>
          <w:sz w:val="24"/>
          <w:szCs w:val="24"/>
        </w:rPr>
        <w:t xml:space="preserve">两种关系的差异还折射出全球治理中层级制与多利益攸关方互动的不同形态。Natorski在研究人工智能全球治理时观察到，尽管多边框架声称吸纳多元行为体，但国家在议程设定与规则制定中仍居于决定性层级</w:t>
      </w:r>
      <w:r>
        <w:rPr>
          <w:rFonts w:ascii="SimSun" w:cs="SimSun" w:eastAsia="SimSun" w:hAnsi="SimSun"/>
          <w:sz w:val="24"/>
          <w:szCs w:val="24"/>
          <w:vertAlign w:val="superscript"/>
        </w:rPr>
        <w:t xml:space="preserve">[3]</w:t>
      </w:r>
      <w:r>
        <w:rPr>
          <w:rFonts w:ascii="SimSun" w:cs="SimSun" w:eastAsia="SimSun" w:hAnsi="SimSun"/>
          <w:sz w:val="24"/>
          <w:szCs w:val="24"/>
        </w:rPr>
        <w:t xml:space="preserve">。这一判断同样适用于更广泛的治理领域：在中美关系中，国家层级的竞争直接导致治理联盟的对立；而在中俄关系中，国家层级的协调则能将双边共识转化为多边倡议的动能。因此，新型大国关系对全球治理的作用并非单向度的“推动”，其方向与效果高度依赖于互动模式的性质。竞争性关系在激发议题关注的同时可能造成机制拥堵，协作性关系则有助于促成具体的改革议程，但二者均未超越国家中心主义的基本逻辑。未来能否建立起超越双边关系、更具韧性的多边治理框架，仍是全球治理体系变革面临的核心挑战。</w:t>
      </w:r>
    </w:p>
    <w:p>
      <w:pPr>
        <w:pStyle w:val="Heading1"/>
        <w:spacing w:after="120" w:before="240"/>
      </w:pPr>
      <w:r>
        <w:rPr>
          <w:rFonts w:ascii="SimHei" w:cs="SimHei" w:eastAsia="SimHei" w:hAnsi="SimHei"/>
          <w:b/>
          <w:bCs/>
          <w:sz w:val="32"/>
          <w:szCs w:val="32"/>
        </w:rPr>
        <w:t xml:space="preserve">8 研究局限与未来展望</w:t>
      </w:r>
    </w:p>
    <w:p>
      <w:pPr>
        <w:spacing w:after="120" w:line="360"/>
        <w:ind w:firstLine="480"/>
      </w:pPr>
      <w:r>
        <w:rPr>
          <w:rFonts w:ascii="SimSun" w:cs="SimSun" w:eastAsia="SimSun" w:hAnsi="SimSun"/>
          <w:sz w:val="24"/>
          <w:szCs w:val="24"/>
        </w:rPr>
        <w:t xml:space="preserve">本研究在分析框架、案例选择与实证数据方面存在局限，这些方面也标示出未来可推进的方向。</w:t>
      </w:r>
    </w:p>
    <w:p>
      <w:pPr>
        <w:spacing w:after="120" w:line="360"/>
        <w:ind w:firstLine="480"/>
      </w:pPr>
      <w:r>
        <w:rPr>
          <w:rFonts w:ascii="SimSun" w:cs="SimSun" w:eastAsia="SimSun" w:hAnsi="SimSun"/>
          <w:sz w:val="24"/>
          <w:szCs w:val="24"/>
        </w:rPr>
        <w:t xml:space="preserve">理论整合深度不足。既有全球治理与多边主义理论资源</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[5]</w:t>
      </w:r>
      <w:r>
        <w:rPr>
          <w:rFonts w:ascii="SimSun" w:cs="SimSun" w:eastAsia="SimSun" w:hAnsi="SimSun"/>
          <w:sz w:val="24"/>
          <w:szCs w:val="24"/>
        </w:rPr>
        <w:t xml:space="preserve">对新型大国关系推动体系变革的因果机制阐释薄弱。Forman与Segaar强调非国家行为体与新型联盟的作用</w:t>
      </w:r>
      <w:r>
        <w:rPr>
          <w:rFonts w:ascii="SimSun" w:cs="SimSun" w:eastAsia="SimSun" w:hAnsi="SimSun"/>
          <w:sz w:val="24"/>
          <w:szCs w:val="24"/>
          <w:vertAlign w:val="superscript"/>
        </w:rPr>
        <w:t xml:space="preserve">[1]</w:t>
      </w:r>
      <w:r>
        <w:rPr>
          <w:rFonts w:ascii="SimSun" w:cs="SimSun" w:eastAsia="SimSun" w:hAnsi="SimSun"/>
          <w:sz w:val="24"/>
          <w:szCs w:val="24"/>
        </w:rPr>
        <w:t xml:space="preserve">，与本文聚焦大国关系的视角之间存在理论张力，二者的衔接逻辑尚待澄清。未来可尝试构建“国家间关系变迁—制度演化”的中程理论，精确界定大国协调在全球治理议程设置、规则制定与规范扩散中的因果路径。</w:t>
      </w:r>
    </w:p>
    <w:p>
      <w:pPr>
        <w:spacing w:after="120" w:line="360"/>
        <w:ind w:firstLine="480"/>
      </w:pPr>
      <w:r>
        <w:rPr>
          <w:rFonts w:ascii="SimSun" w:cs="SimSun" w:eastAsia="SimSun" w:hAnsi="SimSun"/>
          <w:sz w:val="24"/>
          <w:szCs w:val="24"/>
        </w:rPr>
        <w:t xml:space="preserve">案例选择偏重中美多边治理互动，对新兴经济体彼此间以及它们与全球南方国家的关系模式关注不够。Ungar指出全球南方对联合国体系的信任危机源于代表性不足</w:t>
      </w:r>
      <w:r>
        <w:rPr>
          <w:rFonts w:ascii="SimSun" w:cs="SimSun" w:eastAsia="SimSun" w:hAnsi="SimSun"/>
          <w:sz w:val="24"/>
          <w:szCs w:val="24"/>
          <w:vertAlign w:val="superscript"/>
        </w:rPr>
        <w:t xml:space="preserve">[10]</w:t>
      </w:r>
      <w:r>
        <w:rPr>
          <w:rFonts w:ascii="SimSun" w:cs="SimSun" w:eastAsia="SimSun" w:hAnsi="SimSun"/>
          <w:sz w:val="24"/>
          <w:szCs w:val="24"/>
        </w:rPr>
        <w:t xml:space="preserve">，提示检验新型大国关系的包容性必须纳入更广泛的南方视角。后续研究应比较不同权力组合下的大国关系对气候、贸易、卫生等具体治理领域的差异化影响。</w:t>
      </w:r>
    </w:p>
    <w:p>
      <w:pPr>
        <w:spacing w:after="120" w:line="360"/>
        <w:ind w:firstLine="480"/>
      </w:pPr>
      <w:r>
        <w:rPr>
          <w:rFonts w:ascii="SimSun" w:cs="SimSun" w:eastAsia="SimSun" w:hAnsi="SimSun"/>
          <w:sz w:val="24"/>
          <w:szCs w:val="24"/>
        </w:rPr>
        <w:t xml:space="preserve">实证证据的可及性构成另一重制约。全球治理体系变革是长时段进程，短期指标难以有效评估。本文依赖既有文献与公开政策文本，未能获取关键决策过程的一手访谈或参与式观察资料，且跨国治理数据的碎片化限制了大样本统计分析。未来若能在特定议题中获得多边谈判内部记录或政策协商时序证据等过程追踪数据，将有助于检验本文的理论推断，并揭示大国关系作用于制度变迁的具体机制。</w:t>
      </w:r>
    </w:p>
    <w:p>
      <w:pPr>
        <w:pStyle w:val="Heading1"/>
        <w:spacing w:after="120" w:before="240"/>
      </w:pPr>
      <w:r>
        <w:rPr>
          <w:rFonts w:ascii="SimHei" w:cs="SimHei" w:eastAsia="SimHei" w:hAnsi="SimHei"/>
          <w:b/>
          <w:bCs/>
          <w:sz w:val="32"/>
          <w:szCs w:val="32"/>
        </w:rPr>
        <w:t xml:space="preserve">9 结论与政策启示</w:t>
      </w:r>
    </w:p>
    <w:p>
      <w:pPr>
        <w:pStyle w:val="Heading1"/>
        <w:spacing w:after="120" w:before="240"/>
      </w:pPr>
      <w:r>
        <w:rPr>
          <w:rFonts w:ascii="SimHei" w:cs="SimHei" w:eastAsia="SimHei" w:hAnsi="SimHei"/>
          <w:b/>
          <w:bCs/>
          <w:sz w:val="32"/>
          <w:szCs w:val="32"/>
        </w:rPr>
        <w:t xml:space="preserve">10 参考文献</w:t>
      </w:r>
    </w:p>
    <w:p>
      <w:pPr>
        <w:spacing w:after="80" w:line="320"/>
      </w:pPr>
      <w:r>
        <w:rPr>
          <w:rFonts w:ascii="SimSun" w:cs="SimSun" w:eastAsia="SimSun" w:hAnsi="SimSun"/>
          <w:sz w:val="21"/>
          <w:szCs w:val="21"/>
        </w:rPr>
        <w:t xml:space="preserve">[1] Shepard Forman, Derk Segaar. 2006. New Coalitions for Global Governance: The Changing Dynamics of Multilateralism. Global Governance: A Review of Multilateralism and International Organizations, DOI:10.1163/19426720-01202007.</w:t>
      </w:r>
    </w:p>
    <w:p>
      <w:pPr>
        <w:spacing w:after="80" w:line="320"/>
      </w:pPr>
      <w:r>
        <w:rPr>
          <w:rFonts w:ascii="SimSun" w:cs="SimSun" w:eastAsia="SimSun" w:hAnsi="SimSun"/>
          <w:sz w:val="21"/>
          <w:szCs w:val="21"/>
        </w:rPr>
        <w:t xml:space="preserve">[2] Zachary Carlini. 2023. A new approach to the $\imath$Serre and Serre-Lusztig relations for $\imath$quantum groups..</w:t>
      </w:r>
    </w:p>
    <w:p>
      <w:pPr>
        <w:spacing w:after="80" w:line="320"/>
      </w:pPr>
      <w:r>
        <w:rPr>
          <w:rFonts w:ascii="SimSun" w:cs="SimSun" w:eastAsia="SimSun" w:hAnsi="SimSun"/>
          <w:sz w:val="21"/>
          <w:szCs w:val="21"/>
        </w:rPr>
        <w:t xml:space="preserve">[3] Michal Natorski. 2025. Multilateralism in the Global Governance of Artificial Intelligence..</w:t>
      </w:r>
    </w:p>
    <w:p>
      <w:pPr>
        <w:spacing w:after="80" w:line="320"/>
      </w:pPr>
      <w:r>
        <w:rPr>
          <w:rFonts w:ascii="SimSun" w:cs="SimSun" w:eastAsia="SimSun" w:hAnsi="SimSun"/>
          <w:sz w:val="21"/>
          <w:szCs w:val="21"/>
        </w:rPr>
        <w:t xml:space="preserve">[4] Zaheer Ahmad, Osama A. Rana, Shakeel Ahmad, Mark Vernon, Brendan Cross, Alexander Kozhanov. 2026. Thermodynamic Driving Force Activated Phonon Scattering in InN..</w:t>
      </w:r>
    </w:p>
    <w:p>
      <w:pPr>
        <w:spacing w:after="80" w:line="320"/>
      </w:pPr>
      <w:r>
        <w:rPr>
          <w:rFonts w:ascii="SimSun" w:cs="SimSun" w:eastAsia="SimSun" w:hAnsi="SimSun"/>
          <w:sz w:val="21"/>
          <w:szCs w:val="21"/>
        </w:rPr>
        <w:t xml:space="preserve">[5] Thomas G. Weiss, Rorden Wilkinson. 2014. Global Governance to the Rescue: Saving International Relations?. Global Governance: A Review of Multilateralism and International Organizations, DOI:10.1163/19426720-02001003.</w:t>
      </w:r>
    </w:p>
    <w:p>
      <w:pPr>
        <w:spacing w:after="80" w:line="320"/>
      </w:pPr>
      <w:r>
        <w:rPr>
          <w:rFonts w:ascii="SimSun" w:cs="SimSun" w:eastAsia="SimSun" w:hAnsi="SimSun"/>
          <w:sz w:val="21"/>
          <w:szCs w:val="21"/>
        </w:rPr>
        <w:t xml:space="preserve">[6] Oier Mees, Nichola Abdo, Mladen Mazuran, Wolfram Burgard. 2017. Metric Learning for Generalizing Spatial Relations to New Objects..</w:t>
      </w:r>
    </w:p>
    <w:p>
      <w:pPr>
        <w:spacing w:after="80" w:line="320"/>
      </w:pPr>
      <w:r>
        <w:rPr>
          <w:rFonts w:ascii="SimSun" w:cs="SimSun" w:eastAsia="SimSun" w:hAnsi="SimSun"/>
          <w:sz w:val="21"/>
          <w:szCs w:val="21"/>
        </w:rPr>
        <w:t xml:space="preserve">[7] Alastair McCullough. 2024. Defining a new perspective: Enterprise Information Governance..</w:t>
      </w:r>
    </w:p>
    <w:p>
      <w:pPr>
        <w:spacing w:after="80" w:line="320"/>
      </w:pPr>
      <w:r>
        <w:rPr>
          <w:rFonts w:ascii="SimSun" w:cs="SimSun" w:eastAsia="SimSun" w:hAnsi="SimSun"/>
          <w:sz w:val="21"/>
          <w:szCs w:val="21"/>
        </w:rPr>
        <w:t xml:space="preserve">[8] Aaron Schein, Juston Moore, Hanna Wallach. 2013. Inferring Multilateral Relations from Dynamic Pairwise Interactions..</w:t>
      </w:r>
    </w:p>
    <w:p>
      <w:pPr>
        <w:spacing w:after="80" w:line="320"/>
      </w:pPr>
      <w:r>
        <w:rPr>
          <w:rFonts w:ascii="SimSun" w:cs="SimSun" w:eastAsia="SimSun" w:hAnsi="SimSun"/>
          <w:sz w:val="21"/>
          <w:szCs w:val="21"/>
        </w:rPr>
        <w:t xml:space="preserve">[9] Angela Zhou, Andrew Koo, Nathan Kallus, Rene Ropac, Richard Peterson, Stephen Koppel, Tiffany Bergin. 2021. An Empirical Evaluation of the Impact of New York's Bail Reform on Crime Using Synthetic Controls..</w:t>
      </w:r>
    </w:p>
    <w:p>
      <w:pPr>
        <w:spacing w:after="80" w:line="320"/>
      </w:pPr>
      <w:r>
        <w:rPr>
          <w:rFonts w:ascii="SimSun" w:cs="SimSun" w:eastAsia="SimSun" w:hAnsi="SimSun"/>
          <w:sz w:val="21"/>
          <w:szCs w:val="21"/>
        </w:rPr>
        <w:t xml:space="preserve">[10] Maya Ungar. 2024. Relevance and Reform. Global Governance: A Review of Multilateralism and International Organizations, DOI:10.1163/19426720-03002006.</w:t>
      </w:r>
    </w:p>
    <w:p>
      <w:pPr>
        <w:spacing w:after="80" w:line="320"/>
      </w:pPr>
      <w:r>
        <w:rPr>
          <w:rFonts w:ascii="SimSun" w:cs="SimSun" w:eastAsia="SimSun" w:hAnsi="SimSun"/>
          <w:sz w:val="21"/>
          <w:szCs w:val="21"/>
        </w:rPr>
        <w:t xml:space="preserve">[11] Chinasa T. Okolo, Mubarak Raji. 2026. The Global Majority in International AI Governance..</w:t>
      </w:r>
    </w:p>
    <w:p>
      <w:pPr>
        <w:spacing w:after="80" w:line="320"/>
      </w:pPr>
      <w:r>
        <w:rPr>
          <w:rFonts w:ascii="SimSun" w:cs="SimSun" w:eastAsia="SimSun" w:hAnsi="SimSun"/>
          <w:sz w:val="21"/>
          <w:szCs w:val="21"/>
        </w:rPr>
        <w:t xml:space="preserve">[12] Jelena Cupac. 2025. The Gender Code: Gendering the Global Governance of Artificial Intelligence..</w:t>
      </w:r>
    </w:p>
    <w:p>
      <w:pPr>
        <w:spacing w:after="80" w:line="320"/>
      </w:pPr>
      <w:r>
        <w:rPr>
          <w:rFonts w:ascii="SimSun" w:cs="SimSun" w:eastAsia="SimSun" w:hAnsi="SimSun"/>
          <w:sz w:val="21"/>
          <w:szCs w:val="21"/>
        </w:rPr>
        <w:t xml:space="preserve">[13] Huixin Zhong, Thao Do, Ynagliu Jie, Rostam J. Neuwirth, Hong Shen. 2025. Global AI Governance: Where the Challenge is the Solution- An Interdisciplinary, Multilateral, and Vertically Coordinated Approach..</w:t>
      </w:r>
    </w:p>
    <w:p>
      <w:pPr>
        <w:spacing w:after="80" w:line="320"/>
      </w:pPr>
      <w:r>
        <w:rPr>
          <w:rFonts w:ascii="SimSun" w:cs="SimSun" w:eastAsia="SimSun" w:hAnsi="SimSun"/>
          <w:sz w:val="21"/>
          <w:szCs w:val="21"/>
        </w:rPr>
        <w:t xml:space="preserve">[14] Israel Mason-Williams, Gabryel Mason-Williams. 2025. Reproducibility: The New Frontier in AI Governance..</w:t>
      </w:r>
    </w:p>
    <w:p>
      <w:pPr>
        <w:spacing w:after="80" w:line="320"/>
      </w:pPr>
      <w:r>
        <w:rPr>
          <w:rFonts w:ascii="SimSun" w:cs="SimSun" w:eastAsia="SimSun" w:hAnsi="SimSun"/>
          <w:sz w:val="21"/>
          <w:szCs w:val="21"/>
        </w:rPr>
        <w:t xml:space="preserve">[15] Zhong Feiteng. 2022. New-Type Major-Country Relations. The Routledge Handbook of the Belt and Road, DOI:10.4324/9781003286202-54.</w:t>
      </w:r>
    </w:p>
    <w:p>
      <w:pPr>
        <w:spacing w:after="80" w:line="320"/>
      </w:pPr>
      <w:r>
        <w:rPr>
          <w:rFonts w:ascii="SimSun" w:cs="SimSun" w:eastAsia="SimSun" w:hAnsi="SimSun"/>
          <w:sz w:val="21"/>
          <w:szCs w:val="21"/>
        </w:rPr>
        <w:t xml:space="preserve">[16] Kaizhi Wang, Jun Yan. 2010. A new kind of Lax-Oleinik type operator with parameters for time-periodic positive definite Lagrangian systems..</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百年变局与多边主义：新型大国关系对全球治理体系变革的推动作用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1e133452de3abc8e4978f8d3f86b669160cb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2026-05-26T10:38:30.537Z</dcterms:created>
  <dcterms:modified xsi:type="dcterms:W3CDTF">2026-05-26T10:38:30.537Z</dcterms:modified>
</cp:coreProperties>
</file>

<file path=docProps/custom.xml><?xml version="1.0" encoding="utf-8"?>
<Properties xmlns="http://schemas.openxmlformats.org/officeDocument/2006/custom-properties" xmlns:vt="http://schemas.openxmlformats.org/officeDocument/2006/docPropsVTypes"/>
</file>