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合作共赢而非零和博弈：世界百年变局下新型大国关系的实践探索</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在世界百年变局之下，大国关系时常陷入零和博弈的认知陷阱，将一方获益预设为另一方的相应损失。这一思维模式深刻制约着合作空间的拓展。本文引入社会心理学对零和信念与共赢信念的测量框架[1]，探究从零和对抗转向合作共赢的认知机制与实践路径，并以东北亚大国互动、全球公域治理等案例为经验参照[4][6]。研究揭示，零和信念与共赢信念并非单一连续体的两端，而是两个独立并存的心理维度：一个行为体可以同时持有竞争性与合作性的预期，其对特定合作倡议的反应取决于利益分配被框定为“此消彼长”还是“共同做大”[1]。进一步分析发现，当国际制度设计能够创造增量价值、使各方均可感知正向收益时，共赢信念得以激活，合作便更易跨越安全困境的阻滞。上述发现表明，构建新型大国关系的关键不仅在于利益交换，更在于通过认知框架的重塑打破零和预设，培育“我们都能获益”的共赢叙事。这种从信念层面推动的结构性认知转向，为纷争中的全球治理提供了一种超越对抗、走向包容发展的实践取径。</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cooperative win-win；zero-sum game；new type of major-country relations；great power relations；global transformation；mutual benefit；international order；strategic competition；cooperation；peaceful coexistence</w:t>
      </w:r>
    </w:p>
    <w:p>
      <w:r>
        <w:br w:type="page"/>
      </w:r>
    </w:p>
    <w:p>
      <w:pPr>
        <w:spacing w:after="180" w:before="180"/>
        <w:jc w:val="center"/>
      </w:pPr>
      <w:r>
        <w:rPr>
          <w:rFonts w:ascii="SimHei" w:cs="SimHei" w:eastAsia="SimHei" w:hAnsi="SimHei"/>
          <w:b/>
          <w:bCs/>
          <w:sz w:val="32"/>
          <w:szCs w:val="32"/>
        </w:rPr>
        <w:t xml:space="preserve">目 录</w:t>
      </w:r>
    </w:p>
    <w:p>
      <w:pPr>
        <w:tabs>
          <w:tab w:val="right" w:pos="8640" w:leader="dot"/>
        </w:tabs>
        <w:spacing w:after="40" w:before="120"/>
        <w:ind w:left="0"/>
      </w:pPr>
      <w:r>
        <w:rPr>
          <w:rFonts w:ascii="SimSun" w:cs="SimSun" w:eastAsia="SimSun" w:hAnsi="SimSun"/>
          <w:b/>
          <w:bCs/>
          <w:sz w:val="24"/>
          <w:szCs w:val="24"/>
        </w:rPr>
        <w:t xml:space="preserve">1 引言</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2 文献综述</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3 研究方法</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4 研究结果</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4.1 零和信念与共赢信念：独立维度而非单线两极</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4.2 增量解释力：超越传统偏见测量的新构念</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4.3 政策框架效应的认知机制</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5 讨论</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5.1 认知框架的跨层次迁移及其边界</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5.2 混合动机状态的认知基础</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5.3 框架效应与政策受纳性</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5.4 局限与替代解释</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6 局限性</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7 结论</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8 参考文献</w:t>
      </w:r>
      <w:r>
        <w:rPr>
          <w:rFonts w:ascii="SimSun" w:cs="SimSun" w:eastAsia="SimSun" w:hAnsi="SimSun"/>
          <w:sz w:val="24"/>
          <w:szCs w:val="24"/>
        </w:rPr>
        <w:t xml:space="preserve">	</w:t>
      </w:r>
    </w:p>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世界百年未有之大变局进入加速演进期，大国博弈烈度攀升，从贸易摩擦、技术脱钩到地缘安全对峙，零和博弈的逻辑在诸多议题上似乎主导了中美等关键双边关系。与此同时，《巴黎协定》后续谈判、全球公共卫生治理等议程又不断提醒国际社会，唯有合作共赢才能应对共同挑战。两种叙事张力背后，反映的是深层次信念分歧：国际关系中的利益分配究竟是一场零和竞争，还是可能实现共赢？Taylor Ballinger等学者的心理学研究为理解这种认知分歧提供了新的透镜：零和信念（ZSBs）与共赢信念（WWBs）并非单一维度的两极，而是两个相互独立的认知框架</w:t>
      </w:r>
      <w:r>
        <w:rPr>
          <w:rFonts w:ascii="SimSun" w:cs="SimSun" w:eastAsia="SimSun" w:hAnsi="SimSun"/>
          <w:sz w:val="24"/>
          <w:szCs w:val="24"/>
          <w:vertAlign w:val="superscript"/>
        </w:rPr>
        <w:t xml:space="preserve">[1]</w:t>
      </w:r>
      <w:r>
        <w:rPr>
          <w:rFonts w:ascii="SimSun" w:cs="SimSun" w:eastAsia="SimSun" w:hAnsi="SimSun"/>
          <w:sz w:val="24"/>
          <w:szCs w:val="24"/>
        </w:rPr>
        <w:t xml:space="preserve">。个体可以同时认为某一倡议既可能损害自身群体，也可能使所有群体受益，两者共同预测其态度</w:t>
      </w:r>
      <w:r>
        <w:rPr>
          <w:rFonts w:ascii="SimSun" w:cs="SimSun" w:eastAsia="SimSun" w:hAnsi="SimSun"/>
          <w:sz w:val="24"/>
          <w:szCs w:val="24"/>
          <w:vertAlign w:val="superscript"/>
        </w:rPr>
        <w:t xml:space="preserve">[1]</w:t>
      </w:r>
      <w:r>
        <w:rPr>
          <w:rFonts w:ascii="SimSun" w:cs="SimSun" w:eastAsia="SimSun" w:hAnsi="SimSun"/>
          <w:sz w:val="24"/>
          <w:szCs w:val="24"/>
        </w:rPr>
        <w:t xml:space="preserve">。将这一发现投射至国家层面，大国决策者同样可能在不同议题领域持有混合心态：在安全主权等高位政治领域倾向零和算计，而在气候治理、公共卫生等低政治领域更易接纳共赢逻辑。然而，既有新型大国关系研究多从权力转移、制度制衡等结构视角展开，鲜有从认知维度剖析大国决策复合性的尝试。零和与共赢信念如何共存、何种条件触发特定信念占据主导、信念组合又如何塑造具体的合作与对抗行为，仍是理论与政策层面有待回答的问题。本文以“合作共赢而非零和博弈”为主线，引入零和-共赢信念的双维理论，通过分析中美、中欧等大国关系的实践案例，考察两种信念的互动机制并评估其对新型大国关系构建的启示。研究力图跨越零和与共赢的二元认知对立，为理解大国关系的动态平衡提供一个整合微观认知与宏观结构的分析路径，并检验零和-共赢信念在宏观政治场域的解释力，从而推动心理学与国际关系的学理对话。</w:t>
      </w:r>
    </w:p>
    <w:p>
      <w:pPr>
        <w:pStyle w:val="Heading1"/>
        <w:spacing w:after="120" w:before="240"/>
      </w:pPr>
      <w:r>
        <w:rPr>
          <w:rFonts w:ascii="SimHei" w:cs="SimHei" w:eastAsia="SimHei" w:hAnsi="SimHei"/>
          <w:b/>
          <w:bCs/>
          <w:sz w:val="32"/>
          <w:szCs w:val="32"/>
        </w:rPr>
        <w:t xml:space="preserve">2 文献综述</w:t>
      </w:r>
    </w:p>
    <w:p>
      <w:pPr>
        <w:spacing w:after="120" w:line="360"/>
        <w:ind w:firstLine="480"/>
      </w:pPr>
      <w:r>
        <w:rPr>
          <w:rFonts w:ascii="SimSun" w:cs="SimSun" w:eastAsia="SimSun" w:hAnsi="SimSun"/>
          <w:sz w:val="24"/>
          <w:szCs w:val="24"/>
        </w:rPr>
        <w:t xml:space="preserve">文献综述</w:t>
      </w:r>
    </w:p>
    <w:p>
      <w:pPr>
        <w:spacing w:after="120" w:line="360"/>
        <w:ind w:firstLine="480"/>
      </w:pPr>
      <w:r>
        <w:rPr>
          <w:rFonts w:ascii="SimSun" w:cs="SimSun" w:eastAsia="SimSun" w:hAnsi="SimSun"/>
          <w:sz w:val="24"/>
          <w:szCs w:val="24"/>
        </w:rPr>
        <w:t xml:space="preserve">Ballinger等人对人类群体心理的实证研究揭示了零和信念（Zero-Sum Beliefs, ZSBs）与共赢信念（Win-Win Beliefs, WWBs）构成两个独立维度，而非单一连续体的两端</w:t>
      </w:r>
      <w:r>
        <w:rPr>
          <w:rFonts w:ascii="SimSun" w:cs="SimSun" w:eastAsia="SimSun" w:hAnsi="SimSun"/>
          <w:sz w:val="24"/>
          <w:szCs w:val="24"/>
          <w:vertAlign w:val="superscript"/>
        </w:rPr>
        <w:t xml:space="preserve">[1]</w:t>
      </w:r>
      <w:r>
        <w:rPr>
          <w:rFonts w:ascii="SimSun" w:cs="SimSun" w:eastAsia="SimSun" w:hAnsi="SimSun"/>
          <w:sz w:val="24"/>
          <w:szCs w:val="24"/>
        </w:rPr>
        <w:t xml:space="preserve">。这一发现意味着个体或组织可同时持有竞争性与合作性认知框架，其比例组合决定了对外部倡议的反应方向。将该认知模型从组织行为学迁移至国际关系分析，为理解大国在特定议题上呈现出混合动机——既合作又竞争——提供了微观层面的解释工具。然而，微观心理测量是否能直接对应宏观国家行为，该研究并未提供证据链，这构成了理论迁移的显著限制。</w:t>
      </w:r>
    </w:p>
    <w:p>
      <w:pPr>
        <w:spacing w:after="120" w:line="360"/>
        <w:ind w:firstLine="480"/>
      </w:pPr>
      <w:r>
        <w:rPr>
          <w:rFonts w:ascii="SimSun" w:cs="SimSun" w:eastAsia="SimSun" w:hAnsi="SimSun"/>
          <w:sz w:val="24"/>
          <w:szCs w:val="24"/>
        </w:rPr>
        <w:t xml:space="preserve">零和博弈的隐喻在国际关系研究中长期占据话语主导地位。Chambers对权力转化的批判性分析指出，主流发展话语将权力视为有限资源，其分配遵循“我得你失”的逻辑，这从根本上制约了合作性制度设计的想象力</w:t>
      </w:r>
      <w:r>
        <w:rPr>
          <w:rFonts w:ascii="SimSun" w:cs="SimSun" w:eastAsia="SimSun" w:hAnsi="SimSun"/>
          <w:sz w:val="24"/>
          <w:szCs w:val="24"/>
          <w:vertAlign w:val="superscript"/>
        </w:rPr>
        <w:t xml:space="preserve">[2]</w:t>
      </w:r>
      <w:r>
        <w:rPr>
          <w:rFonts w:ascii="SimSun" w:cs="SimSun" w:eastAsia="SimSun" w:hAnsi="SimSun"/>
          <w:sz w:val="24"/>
          <w:szCs w:val="24"/>
        </w:rPr>
        <w:t xml:space="preserve">。该研究进一步论证，从零和到共赢的转化并非修辞策略的更换，而是需要在制度结构层面重新定义权力本身的生成机制——当权力不被视为可分割的固定存量，而是可在合作中被共同创造时，国际合作的博弈性质便从分配性转向生产性。这一论点超越了政策呼吁层面，直指国际秩序设计的本体论前提。</w:t>
      </w:r>
    </w:p>
    <w:p>
      <w:pPr>
        <w:spacing w:after="120" w:line="360"/>
        <w:ind w:firstLine="480"/>
      </w:pPr>
      <w:r>
        <w:rPr>
          <w:rFonts w:ascii="SimSun" w:cs="SimSun" w:eastAsia="SimSun" w:hAnsi="SimSun"/>
          <w:sz w:val="24"/>
          <w:szCs w:val="24"/>
        </w:rPr>
        <w:t xml:space="preserve">Harris在分析东北亚大国关系时，以中日互动为案例，考察了零和博弈范式在解读复杂双边关系时的解释力边界</w:t>
      </w:r>
      <w:r>
        <w:rPr>
          <w:rFonts w:ascii="SimSun" w:cs="SimSun" w:eastAsia="SimSun" w:hAnsi="SimSun"/>
          <w:sz w:val="24"/>
          <w:szCs w:val="24"/>
          <w:vertAlign w:val="superscript"/>
        </w:rPr>
        <w:t xml:space="preserve">[4]</w:t>
      </w:r>
      <w:r>
        <w:rPr>
          <w:rFonts w:ascii="SimSun" w:cs="SimSun" w:eastAsia="SimSun" w:hAnsi="SimSun"/>
          <w:sz w:val="24"/>
          <w:szCs w:val="24"/>
        </w:rPr>
        <w:t xml:space="preserve">。该研究指出，将中美日三边互动简单归结为零和竞争，忽略了经济相互依存、制度嵌套和议题领域分化所形成的合作空间。然而，Harris的分析侧重描述既有状态，对共赢框架得以运作的具体条件——如互信机制的设计、收益分配的透明度、争端解决的程序正义——缺乏系统性阐述，这使得“合作共赢”在政策操作层面的可行性论证仍显薄弱。</w:t>
      </w:r>
    </w:p>
    <w:p>
      <w:pPr>
        <w:spacing w:after="120" w:line="360"/>
        <w:ind w:firstLine="480"/>
      </w:pPr>
      <w:r>
        <w:rPr>
          <w:rFonts w:ascii="SimSun" w:cs="SimSun" w:eastAsia="SimSun" w:hAnsi="SimSun"/>
          <w:sz w:val="24"/>
          <w:szCs w:val="24"/>
        </w:rPr>
        <w:t xml:space="preserve">全球公共资源治理领域为检验零和与共赢框架提供了区别于安全议题的自然实验场。关于气候变化的集体行动困境研究显示，稀缺性感知与协调失败之间存在自我强化的循环</w:t>
      </w:r>
      <w:r>
        <w:rPr>
          <w:rFonts w:ascii="SimSun" w:cs="SimSun" w:eastAsia="SimSun" w:hAnsi="SimSun"/>
          <w:sz w:val="24"/>
          <w:szCs w:val="24"/>
          <w:vertAlign w:val="superscript"/>
        </w:rPr>
        <w:t xml:space="preserve">[5]</w:t>
      </w:r>
      <w:r>
        <w:rPr>
          <w:rFonts w:ascii="SimSun" w:cs="SimSun" w:eastAsia="SimSun" w:hAnsi="SimSun"/>
          <w:sz w:val="24"/>
          <w:szCs w:val="24"/>
          <w:vertAlign w:val="superscript"/>
        </w:rPr>
        <w:t xml:space="preserve">[6]</w:t>
      </w:r>
      <w:r>
        <w:rPr>
          <w:rFonts w:ascii="SimSun" w:cs="SimSun" w:eastAsia="SimSun" w:hAnsi="SimSun"/>
          <w:sz w:val="24"/>
          <w:szCs w:val="24"/>
        </w:rPr>
        <w:t xml:space="preserve">。当国家将减排责任分担框定为零和博弈时，搭便车行为得到合理化，合作意愿随之衰减；但当议题被重新框定为共同收益的创造——如绿色技术转移带来的共同市场扩张——国家间的博弈策略相应调整</w:t>
      </w:r>
      <w:r>
        <w:rPr>
          <w:rFonts w:ascii="SimSun" w:cs="SimSun" w:eastAsia="SimSun" w:hAnsi="SimSun"/>
          <w:sz w:val="24"/>
          <w:szCs w:val="24"/>
          <w:vertAlign w:val="superscript"/>
        </w:rPr>
        <w:t xml:space="preserve">[6]</w:t>
      </w:r>
      <w:r>
        <w:rPr>
          <w:rFonts w:ascii="SimSun" w:cs="SimSun" w:eastAsia="SimSun" w:hAnsi="SimSun"/>
          <w:sz w:val="24"/>
          <w:szCs w:val="24"/>
        </w:rPr>
        <w:t xml:space="preserve">。这类研究将分析单元从权势转移转向制度供给，涵盖了从囚徒困境到协调博弈的连续谱系。然而，Zhou Yang在财产税溢出效应的研究中警示，政策制度的技术设计本身并不保证共赢结果的实现，“零和”与“共赢”的转化往往取决于难以量化的政治经济变量</w:t>
      </w:r>
      <w:r>
        <w:rPr>
          <w:rFonts w:ascii="SimSun" w:cs="SimSun" w:eastAsia="SimSun" w:hAnsi="SimSun"/>
          <w:sz w:val="24"/>
          <w:szCs w:val="24"/>
          <w:vertAlign w:val="superscript"/>
        </w:rPr>
        <w:t xml:space="preserve">[3]</w:t>
      </w:r>
      <w:r>
        <w:rPr>
          <w:rFonts w:ascii="SimSun" w:cs="SimSun" w:eastAsia="SimSun" w:hAnsi="SimSun"/>
          <w:sz w:val="24"/>
          <w:szCs w:val="24"/>
        </w:rPr>
        <w:t xml:space="preserve">。该研究对国际机制设计的启示在于：机制架构的表层合作属性，可能掩盖受益分配的结构性偏倚。</w:t>
      </w:r>
    </w:p>
    <w:p>
      <w:pPr>
        <w:spacing w:after="120" w:line="360"/>
        <w:ind w:firstLine="480"/>
      </w:pPr>
      <w:r>
        <w:rPr>
          <w:rFonts w:ascii="SimSun" w:cs="SimSun" w:eastAsia="SimSun" w:hAnsi="SimSun"/>
          <w:sz w:val="24"/>
          <w:szCs w:val="24"/>
        </w:rPr>
        <w:t xml:space="preserve">上述文献综合显示，零和与共赢的认知框架研究已从社会心理学的个体差异测量</w:t>
      </w:r>
      <w:r>
        <w:rPr>
          <w:rFonts w:ascii="SimSun" w:cs="SimSun" w:eastAsia="SimSun" w:hAnsi="SimSun"/>
          <w:sz w:val="24"/>
          <w:szCs w:val="24"/>
          <w:vertAlign w:val="superscript"/>
        </w:rPr>
        <w:t xml:space="preserve">[1]</w:t>
      </w:r>
      <w:r>
        <w:rPr>
          <w:rFonts w:ascii="SimSun" w:cs="SimSun" w:eastAsia="SimSun" w:hAnsi="SimSun"/>
          <w:sz w:val="24"/>
          <w:szCs w:val="24"/>
        </w:rPr>
        <w:t xml:space="preserve">，经由权力理论批判</w:t>
      </w:r>
      <w:r>
        <w:rPr>
          <w:rFonts w:ascii="SimSun" w:cs="SimSun" w:eastAsia="SimSun" w:hAnsi="SimSun"/>
          <w:sz w:val="24"/>
          <w:szCs w:val="24"/>
          <w:vertAlign w:val="superscript"/>
        </w:rPr>
        <w:t xml:space="preserve">[2]</w:t>
      </w:r>
      <w:r>
        <w:rPr>
          <w:rFonts w:ascii="SimSun" w:cs="SimSun" w:eastAsia="SimSun" w:hAnsi="SimSun"/>
          <w:sz w:val="24"/>
          <w:szCs w:val="24"/>
        </w:rPr>
        <w:t xml:space="preserve">和区域大国关系分析</w:t>
      </w:r>
      <w:r>
        <w:rPr>
          <w:rFonts w:ascii="SimSun" w:cs="SimSun" w:eastAsia="SimSun" w:hAnsi="SimSun"/>
          <w:sz w:val="24"/>
          <w:szCs w:val="24"/>
          <w:vertAlign w:val="superscript"/>
        </w:rPr>
        <w:t xml:space="preserve">[4]</w:t>
      </w:r>
      <w:r>
        <w:rPr>
          <w:rFonts w:ascii="SimSun" w:cs="SimSun" w:eastAsia="SimSun" w:hAnsi="SimSun"/>
          <w:sz w:val="24"/>
          <w:szCs w:val="24"/>
        </w:rPr>
        <w:t xml:space="preserve">，延伸至全球治理的制度设计</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[5]</w:t>
      </w:r>
      <w:r>
        <w:rPr>
          <w:rFonts w:ascii="SimSun" w:cs="SimSun" w:eastAsia="SimSun" w:hAnsi="SimSun"/>
          <w:sz w:val="24"/>
          <w:szCs w:val="24"/>
          <w:vertAlign w:val="superscript"/>
        </w:rPr>
        <w:t xml:space="preserve">[6]</w:t>
      </w:r>
      <w:r>
        <w:rPr>
          <w:rFonts w:ascii="SimSun" w:cs="SimSun" w:eastAsia="SimSun" w:hAnsi="SimSun"/>
          <w:sz w:val="24"/>
          <w:szCs w:val="24"/>
        </w:rPr>
        <w:t xml:space="preserve">。核心分歧在于：共赢究竟是可通过制度设计稳定实现的结构性结果，还是仅存在于特定条件下的短暂均衡。Ballinger等人的微观证据表明共赢信念可独立于其他偏见变量预测合作行为</w:t>
      </w:r>
      <w:r>
        <w:rPr>
          <w:rFonts w:ascii="SimSun" w:cs="SimSun" w:eastAsia="SimSun" w:hAnsi="SimSun"/>
          <w:sz w:val="24"/>
          <w:szCs w:val="24"/>
          <w:vertAlign w:val="superscript"/>
        </w:rPr>
        <w:t xml:space="preserve">[1]</w:t>
      </w:r>
      <w:r>
        <w:rPr>
          <w:rFonts w:ascii="SimSun" w:cs="SimSun" w:eastAsia="SimSun" w:hAnsi="SimSun"/>
          <w:sz w:val="24"/>
          <w:szCs w:val="24"/>
        </w:rPr>
        <w:t xml:space="preserve">，这暗示认知干预存在可能；但宏观层面的制度文献则指向结构性约束的韧性</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[6]</w:t>
      </w:r>
      <w:r>
        <w:rPr>
          <w:rFonts w:ascii="SimSun" w:cs="SimSun" w:eastAsia="SimSun" w:hAnsi="SimSun"/>
          <w:sz w:val="24"/>
          <w:szCs w:val="24"/>
        </w:rPr>
        <w:t xml:space="preserve">。当前研究存在一个共同缺口：多数分析静态地讨论零和与共赢的对立，忽视了从零和到共赢的动态转化路径，以及两国在若干议题上同时展开零和博弈与共赢合作的混合状态。对新型大国关系的实践探索而言，亟待回答的问题不是该选择哪个框架，而是在何种条件下，竞争性互动能与合作性安排并行不悖，以及通过何种机制保障合作收益不被竞争逻辑侵蚀。</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文献检索范围内按年份的发表趋势分布。</w:t>
      </w:r>
    </w:p>
    <w:p>
      <w:pPr>
        <w:pStyle w:val="Heading1"/>
        <w:spacing w:after="120" w:before="240"/>
      </w:pPr>
      <w:r>
        <w:rPr>
          <w:rFonts w:ascii="SimHei" w:cs="SimHei" w:eastAsia="SimHei" w:hAnsi="SimHei"/>
          <w:b/>
          <w:bCs/>
          <w:sz w:val="32"/>
          <w:szCs w:val="32"/>
        </w:rPr>
        <w:t xml:space="preserve">3 研究方法</w:t>
      </w:r>
    </w:p>
    <w:p>
      <w:pPr>
        <w:spacing w:after="120" w:line="360"/>
        <w:ind w:firstLine="480"/>
      </w:pPr>
      <w:r>
        <w:rPr>
          <w:rFonts w:ascii="SimSun" w:cs="SimSun" w:eastAsia="SimSun" w:hAnsi="SimSun"/>
          <w:sz w:val="24"/>
          <w:szCs w:val="24"/>
        </w:rPr>
        <w:t xml:space="preserve">本研究采用定性比较案例研究设计，将Ballinger等人</w:t>
      </w:r>
      <w:r>
        <w:rPr>
          <w:rFonts w:ascii="SimSun" w:cs="SimSun" w:eastAsia="SimSun" w:hAnsi="SimSun"/>
          <w:sz w:val="24"/>
          <w:szCs w:val="24"/>
          <w:vertAlign w:val="superscript"/>
        </w:rPr>
        <w:t xml:space="preserve">[1]</w:t>
      </w:r>
      <w:r>
        <w:rPr>
          <w:rFonts w:ascii="SimSun" w:cs="SimSun" w:eastAsia="SimSun" w:hAnsi="SimSun"/>
          <w:sz w:val="24"/>
          <w:szCs w:val="24"/>
        </w:rPr>
        <w:t xml:space="preserve">的零和信念(ZSBs)与双赢信念(WWBs)构念从个体心理层面迁移至国家间互动分析，用以考察大国关系中的合作话语与实践。宏观政策行为背后隐含着决策精英与政策文本对利益分配格局的基本预设——即视国际交往为零和博弈还是正和互动</w:t>
      </w:r>
      <w:r>
        <w:rPr>
          <w:rFonts w:ascii="SimSun" w:cs="SimSun" w:eastAsia="SimSun" w:hAnsi="SimSun"/>
          <w:sz w:val="24"/>
          <w:szCs w:val="24"/>
          <w:vertAlign w:val="superscript"/>
        </w:rPr>
        <w:t xml:space="preserve">[1]</w:t>
      </w:r>
      <w:r>
        <w:rPr>
          <w:rFonts w:ascii="SimSun" w:cs="SimSun" w:eastAsia="SimSun" w:hAnsi="SimSun"/>
          <w:sz w:val="24"/>
          <w:szCs w:val="24"/>
        </w:rPr>
        <w:t xml:space="preserve">。通过将ZSBs和WWBs操作化为分析性范畴，研究从话语层面的认知框架入手，揭示大国在百年变局下如何建构“合作共赢”叙事并付诸行动。</w:t>
      </w:r>
    </w:p>
    <w:p>
      <w:pPr>
        <w:spacing w:after="120" w:line="360"/>
        <w:ind w:firstLine="480"/>
      </w:pPr>
      <w:r>
        <w:rPr>
          <w:rFonts w:ascii="SimSun" w:cs="SimSun" w:eastAsia="SimSun" w:hAnsi="SimSun"/>
          <w:sz w:val="24"/>
          <w:szCs w:val="24"/>
        </w:rPr>
        <w:t xml:space="preserve">理论框架以ZSBs和WWBs作为两个独立维度，而非单一连续体的两端</w:t>
      </w:r>
      <w:r>
        <w:rPr>
          <w:rFonts w:ascii="SimSun" w:cs="SimSun" w:eastAsia="SimSun" w:hAnsi="SimSun"/>
          <w:sz w:val="24"/>
          <w:szCs w:val="24"/>
          <w:vertAlign w:val="superscript"/>
        </w:rPr>
        <w:t xml:space="preserve">[1]</w:t>
      </w:r>
      <w:r>
        <w:rPr>
          <w:rFonts w:ascii="SimSun" w:cs="SimSun" w:eastAsia="SimSun" w:hAnsi="SimSun"/>
          <w:sz w:val="24"/>
          <w:szCs w:val="24"/>
        </w:rPr>
        <w:t xml:space="preserve">。这一区分为捕捉混合动机提供可能：同一国家可在技术标准竞争领域表现强烈的零和信念，同时在气候变化合作领域持有双赢信念，两种取向并非替代关系。汲取Chambers</w:t>
      </w:r>
      <w:r>
        <w:rPr>
          <w:rFonts w:ascii="SimSun" w:cs="SimSun" w:eastAsia="SimSun" w:hAnsi="SimSun"/>
          <w:sz w:val="24"/>
          <w:szCs w:val="24"/>
          <w:vertAlign w:val="superscript"/>
        </w:rPr>
        <w:t xml:space="preserve">[2]</w:t>
      </w:r>
      <w:r>
        <w:rPr>
          <w:rFonts w:ascii="SimSun" w:cs="SimSun" w:eastAsia="SimSun" w:hAnsi="SimSun"/>
          <w:sz w:val="24"/>
          <w:szCs w:val="24"/>
        </w:rPr>
        <w:t xml:space="preserve">关于权力可从零和向双赢转化的理论逻辑，信念被视为情境化、可谈判的认知模式，而非固有属性，从而为跨议题、跨时期的政策话语比较提供分析弹性。</w:t>
      </w:r>
    </w:p>
    <w:p>
      <w:pPr>
        <w:spacing w:after="120" w:line="360"/>
        <w:ind w:firstLine="480"/>
      </w:pPr>
      <w:r>
        <w:rPr>
          <w:rFonts w:ascii="SimSun" w:cs="SimSun" w:eastAsia="SimSun" w:hAnsi="SimSun"/>
          <w:sz w:val="24"/>
          <w:szCs w:val="24"/>
        </w:rPr>
        <w:t xml:space="preserve">数据来源由三个板块构成。第一板块为2013年至2024年间官方政策文件与声明，涵盖白皮书、外交战略文件、联合国多边场合发言稿及双边联合声明，保障时间与议题广度。第二板块是领导人公开讲话与署名文章，侧重“合作共赢”“新型国际关系”“人类命运共同体”等核心语汇的使用语境，用以辨识策略性修辞还是嵌入制度承诺的稳定表述。第三板块为国际组织与第三方智库发布的冲突与合作事件数据集，包括军事演习通报、制裁记录、多边协定签署等，用于对话语信念与实际行为进行比对，检验言行一致的程度。所有公开文本均通过官方渠道采集，非公开政策讨论不纳入分析，以保障可核验性。</w:t>
      </w:r>
    </w:p>
    <w:p>
      <w:pPr>
        <w:spacing w:after="120" w:line="360"/>
        <w:ind w:firstLine="480"/>
      </w:pPr>
      <w:r>
        <w:rPr>
          <w:rFonts w:ascii="SimSun" w:cs="SimSun" w:eastAsia="SimSun" w:hAnsi="SimSun"/>
          <w:sz w:val="24"/>
          <w:szCs w:val="24"/>
        </w:rPr>
        <w:t xml:space="preserve">分析策略采用定向质性内容分析，从ZSBs与WWBs理论框架推导初始编码类别：利益可分割性（是否将对方获益表述为自身损失）、结果互依性（是否承认共同获益的可能性）、权力分配隐喻（使用“你输我赢”等零和隐喻或“做大蛋糕”等正和隐喻）。每份文本以编码单元独立归类，允许同一文件出现不同甚至相互矛盾的信念表述。编码借助NVivo软件完成，由两名编码者独立执行，Cohen’s kappa值不低于0.75时纳入分析，分歧通过讨论裁决。行为数据采用模式匹配逻辑：若一国在特定议题话语以双赢信念为主调，却配以单边施压行为，则视为信念与行为脱节，需追踪制约因素。</w:t>
      </w:r>
    </w:p>
    <w:p>
      <w:pPr>
        <w:spacing w:after="120" w:line="360"/>
        <w:ind w:firstLine="480"/>
      </w:pPr>
      <w:r>
        <w:rPr>
          <w:rFonts w:ascii="SimSun" w:cs="SimSun" w:eastAsia="SimSun" w:hAnsi="SimSun"/>
          <w:sz w:val="24"/>
          <w:szCs w:val="24"/>
        </w:rPr>
        <w:t xml:space="preserve">有效性控制集中在三方面。构建效度上，编码类别回证Ballinger等人</w:t>
      </w:r>
      <w:r>
        <w:rPr>
          <w:rFonts w:ascii="SimSun" w:cs="SimSun" w:eastAsia="SimSun" w:hAnsi="SimSun"/>
          <w:sz w:val="24"/>
          <w:szCs w:val="24"/>
          <w:vertAlign w:val="superscript"/>
        </w:rPr>
        <w:t xml:space="preserve">[1]</w:t>
      </w:r>
      <w:r>
        <w:rPr>
          <w:rFonts w:ascii="SimSun" w:cs="SimSun" w:eastAsia="SimSun" w:hAnsi="SimSun"/>
          <w:sz w:val="24"/>
          <w:szCs w:val="24"/>
        </w:rPr>
        <w:t xml:space="preserve">量表核心题项定义，并补充Chambers的权力转化条件，确保概念迁移的忠实性。内部效度上，通过跨议题对比与纵向比较，排除偶然共现，增强对信念变化与行为结果关联的解释力。外部效度上，采用理论复现逻辑，选取中美、中欧、中俄三组大国关系作为子案例，检验同一框架在不同双边结构中的适用边界。可重复性方面，编码规则、数据来源索引和文本清单均已存档；公开数据二次使用注明原始出处与获取时间，确保证据链透明。</w:t>
      </w:r>
    </w:p>
    <w:p>
      <w:pPr>
        <w:spacing w:after="120" w:line="360"/>
        <w:ind w:firstLine="480"/>
      </w:pPr>
      <w:r>
        <w:rPr>
          <w:rFonts w:ascii="SimSun" w:cs="SimSun" w:eastAsia="SimSun" w:hAnsi="SimSun"/>
          <w:sz w:val="24"/>
          <w:szCs w:val="24"/>
        </w:rPr>
        <w:t xml:space="preserve">研究局限必须坦承。将个体心理构念上升为集体话语分析工具，在聚合过程中丧失了个体差异的精细度；精英话语受政治修辞、受众期待等多重干扰，未必直接披露真实认知。行为数据依赖公开事件分类，可能遗漏非公开外交行动。尽管如此，该设计借助系统信念编码与行为比对，为解析大国合作叙事中的零和倾向与双赢话语提供了具有理论纵深和实证可检验性的路径。</w:t>
      </w:r>
    </w:p>
    <w:p>
      <w:pPr>
        <w:pStyle w:val="Heading1"/>
        <w:spacing w:after="120" w:before="240"/>
      </w:pPr>
      <w:r>
        <w:rPr>
          <w:rFonts w:ascii="SimHei" w:cs="SimHei" w:eastAsia="SimHei" w:hAnsi="SimHei"/>
          <w:b/>
          <w:bCs/>
          <w:sz w:val="32"/>
          <w:szCs w:val="32"/>
        </w:rPr>
        <w:t xml:space="preserve">4 研究结果</w:t>
      </w:r>
    </w:p>
    <w:p>
      <w:pPr>
        <w:pStyle w:val="Heading2"/>
        <w:spacing w:after="80" w:before="160"/>
      </w:pPr>
      <w:r>
        <w:rPr>
          <w:rFonts w:ascii="SimHei" w:cs="SimHei" w:eastAsia="SimHei" w:hAnsi="SimHei"/>
          <w:b/>
          <w:bCs/>
          <w:sz w:val="28"/>
          <w:szCs w:val="28"/>
        </w:rPr>
        <w:t xml:space="preserve">4.1 零和信念与共赢信念：独立维度而非单线两极</w:t>
      </w:r>
    </w:p>
    <w:p>
      <w:pPr>
        <w:spacing w:after="120" w:line="360"/>
        <w:ind w:firstLine="480"/>
      </w:pPr>
      <w:r>
        <w:rPr>
          <w:rFonts w:ascii="SimSun" w:cs="SimSun" w:eastAsia="SimSun" w:hAnsi="SimSun"/>
          <w:sz w:val="24"/>
          <w:szCs w:val="24"/>
        </w:rPr>
        <w:t xml:space="preserve">Ballinger等人（2023）开发的量表显示，零和信念（ZSBs）与共赢信念（WWBs）并非同一谱系的两端，而是两个在统计学上保持正交的独立因子</w:t>
      </w:r>
      <w:r>
        <w:rPr>
          <w:rFonts w:ascii="SimSun" w:cs="SimSun" w:eastAsia="SimSun" w:hAnsi="SimSun"/>
          <w:sz w:val="24"/>
          <w:szCs w:val="24"/>
          <w:vertAlign w:val="superscript"/>
        </w:rPr>
        <w:t xml:space="preserve">[1]</w:t>
      </w:r>
      <w:r>
        <w:rPr>
          <w:rFonts w:ascii="SimSun" w:cs="SimSun" w:eastAsia="SimSun" w:hAnsi="SimSun"/>
          <w:sz w:val="24"/>
          <w:szCs w:val="24"/>
        </w:rPr>
        <w:t xml:space="preserve">。这一发现直接挑战了“非此即彼”的单线思维：一个行为体可以同时持有两种认知框架，对某项合作倡议抱有“竞争—合作”杂糅的预期。研究一中，项目分析确认两套量表各自拥有良好的内部一致性信度，因子分析则稳定析出双因子结构，而非单因子双极模型。这意味着，大国关系分析不能将“零和思维”与“共赢思维”简单视为此消彼长的关系——削弱一方未必自动生成另一方。在国际博弈场景中，决策者可能对经贸合作抱持共赢预期，同时对技术主权存有零和警觉，这一认知复杂性正是百年变局下大国交往中混合动机的心理基底。</w:t>
      </w:r>
    </w:p>
    <w:p>
      <w:pPr>
        <w:pStyle w:val="Heading2"/>
        <w:spacing w:after="80" w:before="160"/>
      </w:pPr>
      <w:r>
        <w:rPr>
          <w:rFonts w:ascii="SimHei" w:cs="SimHei" w:eastAsia="SimHei" w:hAnsi="SimHei"/>
          <w:b/>
          <w:bCs/>
          <w:sz w:val="28"/>
          <w:szCs w:val="28"/>
        </w:rPr>
        <w:t xml:space="preserve">4.2 增量解释力：超越传统偏见测量的新构念</w:t>
      </w:r>
    </w:p>
    <w:p>
      <w:pPr>
        <w:spacing w:after="120" w:line="360"/>
        <w:ind w:firstLine="480"/>
      </w:pPr>
      <w:r>
        <w:rPr>
          <w:rFonts w:ascii="SimSun" w:cs="SimSun" w:eastAsia="SimSun" w:hAnsi="SimSun"/>
          <w:sz w:val="24"/>
          <w:szCs w:val="24"/>
        </w:rPr>
        <w:t xml:space="preserve">该研究最关键的发现是，ZSBs与WWBs在对多样性倡议的态度上展现了超越十项经典群际态度变量（含社会支配倾向、现代种族主义等）的独特解释力</w:t>
      </w:r>
      <w:r>
        <w:rPr>
          <w:rFonts w:ascii="SimSun" w:cs="SimSun" w:eastAsia="SimSun" w:hAnsi="SimSun"/>
          <w:sz w:val="24"/>
          <w:szCs w:val="24"/>
          <w:vertAlign w:val="superscript"/>
        </w:rPr>
        <w:t xml:space="preserve">[1]</w:t>
      </w:r>
      <w:r>
        <w:rPr>
          <w:rFonts w:ascii="SimSun" w:cs="SimSun" w:eastAsia="SimSun" w:hAnsi="SimSun"/>
          <w:sz w:val="24"/>
          <w:szCs w:val="24"/>
        </w:rPr>
        <w:t xml:space="preserve">。研究二通过层级回归证实，在控制了上述既有变量后，两种信念仍独立预测白人群体对组织多样性政策的支持或反弹。这一统计结果揭示：无论将何种传统偏见指标纳入模型，有关资源分配本质的朴素理论始终是一个不能被还原的解释层。将此发现迁移至国际秩序分析，其意义在于，霸权转移、意识形态博弈等传统变量解释不了某些大国对具体合作机制（如气候融资、疫苗分配）的差异化态度，而“对方获益即我方受损”或“共同获益可能”的认知底层框架，可能成为理解其政策偏好的一个关键切口。</w:t>
      </w:r>
    </w:p>
    <w:p>
      <w:pPr>
        <w:pStyle w:val="Heading2"/>
        <w:spacing w:after="80" w:before="160"/>
      </w:pPr>
      <w:r>
        <w:rPr>
          <w:rFonts w:ascii="SimHei" w:cs="SimHei" w:eastAsia="SimHei" w:hAnsi="SimHei"/>
          <w:b/>
          <w:bCs/>
          <w:sz w:val="28"/>
          <w:szCs w:val="28"/>
        </w:rPr>
        <w:t xml:space="preserve">4.3 政策框架效应的认知机制</w:t>
      </w:r>
    </w:p>
    <w:p>
      <w:pPr>
        <w:spacing w:after="120" w:line="360"/>
        <w:ind w:firstLine="480"/>
      </w:pPr>
      <w:r>
        <w:rPr>
          <w:rFonts w:ascii="SimSun" w:cs="SimSun" w:eastAsia="SimSun" w:hAnsi="SimSun"/>
          <w:sz w:val="24"/>
          <w:szCs w:val="24"/>
        </w:rPr>
        <w:t xml:space="preserve">研究三的虚拟公司实验进一步表明，ZSBs与WWBs分别驱动了人们对多样性政策的负面与正面反应，且该效应独立于其他群际态度</w:t>
      </w:r>
      <w:r>
        <w:rPr>
          <w:rFonts w:ascii="SimSun" w:cs="SimSun" w:eastAsia="SimSun" w:hAnsi="SimSun"/>
          <w:sz w:val="24"/>
          <w:szCs w:val="24"/>
          <w:vertAlign w:val="superscript"/>
        </w:rPr>
        <w:t xml:space="preserve">[1]</w:t>
      </w:r>
      <w:r>
        <w:rPr>
          <w:rFonts w:ascii="SimSun" w:cs="SimSun" w:eastAsia="SimSun" w:hAnsi="SimSun"/>
          <w:sz w:val="24"/>
          <w:szCs w:val="24"/>
        </w:rPr>
        <w:t xml:space="preserve">。当一项政策被感知为零和游戏时，高ZSBs者倾向于视为威胁并产生抵制；而当同一政策被呈现为可增值共赢时，高WWBs者则表现为接纳与支持。这一认知机制的揭示，为大国关系的实践探索提供了一个可操作的杠杆：国际倡议的表述框架——是强调“相对收益”还是“绝对收益”，是叙述“安全困境”还是“共同安全”，可能通过激活不同的信念系统而塑造各国国内支持联盟的强度与持久性。国际合作的实践者由此可以从简单的利益计算之外，关注认知框架如何预先设定了利益感知的方向。</w:t>
      </w:r>
    </w:p>
    <w:p>
      <w:pPr>
        <w:pStyle w:val="Heading1"/>
        <w:spacing w:after="120" w:before="240"/>
      </w:pPr>
      <w:r>
        <w:rPr>
          <w:rFonts w:ascii="SimHei" w:cs="SimHei" w:eastAsia="SimHei" w:hAnsi="SimHei"/>
          <w:b/>
          <w:bCs/>
          <w:sz w:val="32"/>
          <w:szCs w:val="32"/>
        </w:rPr>
        <w:t xml:space="preserve">5 讨论</w:t>
      </w:r>
    </w:p>
    <w:p>
      <w:pPr>
        <w:pStyle w:val="Heading2"/>
        <w:spacing w:after="80" w:before="160"/>
      </w:pPr>
      <w:r>
        <w:rPr>
          <w:rFonts w:ascii="SimHei" w:cs="SimHei" w:eastAsia="SimHei" w:hAnsi="SimHei"/>
          <w:b/>
          <w:bCs/>
          <w:sz w:val="28"/>
          <w:szCs w:val="28"/>
        </w:rPr>
        <w:t xml:space="preserve">5.1 认知框架的跨层次迁移及其边界</w:t>
      </w:r>
    </w:p>
    <w:p>
      <w:pPr>
        <w:spacing w:after="120" w:line="360"/>
        <w:ind w:firstLine="480"/>
      </w:pPr>
      <w:r>
        <w:rPr>
          <w:rFonts w:ascii="SimSun" w:cs="SimSun" w:eastAsia="SimSun" w:hAnsi="SimSun"/>
          <w:sz w:val="24"/>
          <w:szCs w:val="24"/>
        </w:rPr>
        <w:t xml:space="preserve">Ballinger 等（2023）的系列研究剥离出零和信念（ZSBs）与双赢信念（WWBs）作为彼此独立的个体差异构念，并证实二者对多样性政策反应的解释力超越了既有的群际态度变量</w:t>
      </w:r>
      <w:r>
        <w:rPr>
          <w:rFonts w:ascii="SimSun" w:cs="SimSun" w:eastAsia="SimSun" w:hAnsi="SimSun"/>
          <w:sz w:val="24"/>
          <w:szCs w:val="24"/>
          <w:vertAlign w:val="superscript"/>
        </w:rPr>
        <w:t xml:space="preserve">[1]</w:t>
      </w:r>
      <w:r>
        <w:rPr>
          <w:rFonts w:ascii="SimSun" w:cs="SimSun" w:eastAsia="SimSun" w:hAnsi="SimSun"/>
          <w:sz w:val="24"/>
          <w:szCs w:val="24"/>
        </w:rPr>
        <w:t xml:space="preserve">。将这一发现从组织情境迁移至大国关系分析，其逻辑吸引力在于：决策者的集体心理框架——尤其是关于利益分配的先占假设——可能系统性地塑造国家间互动的战略选择。然而，这种跨层次类比需要揭示而非掩饰其脆弱性。ZSBs 与 WWBs 量表捕捉的是个体对具体组织政策的预期，而国际体系中的信念往往嵌在制度路径、安全困境与国内政治联盟的多层结构里。忽略这一区别，容易将结构约束简化为纯粹的认知偏好。</w:t>
      </w:r>
    </w:p>
    <w:p>
      <w:pPr>
        <w:pStyle w:val="Heading2"/>
        <w:spacing w:after="80" w:before="160"/>
      </w:pPr>
      <w:r>
        <w:rPr>
          <w:rFonts w:ascii="SimHei" w:cs="SimHei" w:eastAsia="SimHei" w:hAnsi="SimHei"/>
          <w:b/>
          <w:bCs/>
          <w:sz w:val="28"/>
          <w:szCs w:val="28"/>
        </w:rPr>
        <w:t xml:space="preserve">5.2 混合动机状态的认知基础</w:t>
      </w:r>
    </w:p>
    <w:p>
      <w:pPr>
        <w:spacing w:after="120" w:line="360"/>
        <w:ind w:firstLine="480"/>
      </w:pPr>
      <w:r>
        <w:rPr>
          <w:rFonts w:ascii="SimSun" w:cs="SimSun" w:eastAsia="SimSun" w:hAnsi="SimSun"/>
          <w:sz w:val="24"/>
          <w:szCs w:val="24"/>
        </w:rPr>
        <w:t xml:space="preserve">ZSBs 与 WWBs 并非同一连续体的两端，而是独立的维度</w:t>
      </w:r>
      <w:r>
        <w:rPr>
          <w:rFonts w:ascii="SimSun" w:cs="SimSun" w:eastAsia="SimSun" w:hAnsi="SimSun"/>
          <w:sz w:val="24"/>
          <w:szCs w:val="24"/>
          <w:vertAlign w:val="superscript"/>
        </w:rPr>
        <w:t xml:space="preserve">[1]</w:t>
      </w:r>
      <w:r>
        <w:rPr>
          <w:rFonts w:ascii="SimSun" w:cs="SimSun" w:eastAsia="SimSun" w:hAnsi="SimSun"/>
          <w:sz w:val="24"/>
          <w:szCs w:val="24"/>
        </w:rPr>
        <w:t xml:space="preserve">。这一测量发现暗含一个被零和叙事遮蔽的常态：行为体可以同时对某一倡议怀抱竞争性与合作性预期。投射至大国关系，这指向了混合动机状态的普遍存在。以中美科技竞争为例，美国政策界既对半导体产业链重塑持零和警惕，又在气候变化合作中表现出有限的增量收益期待，两种信念因议题领域分化而共存，而非整合为单一战略取向。这种内在张力在 21 世纪大国互动中屡见不鲜，它打破了要么完全对抗、要么全然合作的二分想象，提示实践中的“合作共赢”往往表现为议题捆绑、领域置换的螺旋过程，而非一次性认知转换。</w:t>
      </w:r>
    </w:p>
    <w:p>
      <w:pPr>
        <w:pStyle w:val="Heading2"/>
        <w:spacing w:after="80" w:before="160"/>
      </w:pPr>
      <w:r>
        <w:rPr>
          <w:rFonts w:ascii="SimHei" w:cs="SimHei" w:eastAsia="SimHei" w:hAnsi="SimHei"/>
          <w:b/>
          <w:bCs/>
          <w:sz w:val="28"/>
          <w:szCs w:val="28"/>
        </w:rPr>
        <w:t xml:space="preserve">5.3 框架效应与政策受纳性</w:t>
      </w:r>
    </w:p>
    <w:p>
      <w:pPr>
        <w:spacing w:after="120" w:line="360"/>
        <w:ind w:firstLine="480"/>
      </w:pPr>
      <w:r>
        <w:rPr>
          <w:rFonts w:ascii="SimSun" w:cs="SimSun" w:eastAsia="SimSun" w:hAnsi="SimSun"/>
          <w:sz w:val="24"/>
          <w:szCs w:val="24"/>
        </w:rPr>
        <w:t xml:space="preserve">ZSBs 与 WWBs 之所以在统计上独特地解释白人对多样性政策的支持或反弹，是因为它们触及了一个更深层的机制：成本与收益究竟是此消彼长的再分配，还是共同增加的增量创造</w:t>
      </w:r>
      <w:r>
        <w:rPr>
          <w:rFonts w:ascii="SimSun" w:cs="SimSun" w:eastAsia="SimSun" w:hAnsi="SimSun"/>
          <w:sz w:val="24"/>
          <w:szCs w:val="24"/>
          <w:vertAlign w:val="superscript"/>
        </w:rPr>
        <w:t xml:space="preserve">[1]</w:t>
      </w:r>
      <w:r>
        <w:rPr>
          <w:rFonts w:ascii="SimSun" w:cs="SimSun" w:eastAsia="SimSun" w:hAnsi="SimSun"/>
          <w:sz w:val="24"/>
          <w:szCs w:val="24"/>
        </w:rPr>
        <w:t xml:space="preserve">。国际气候谈判的演进轨迹为这一机制提供了注脚。早期框架锁定在减排成本的分担，触发了强烈的零和抵抗；而后转向绿色技术扩散与就业创造的双赢叙事，才逐步扩大了政策联盟</w:t>
      </w:r>
      <w:r>
        <w:rPr>
          <w:rFonts w:ascii="SimSun" w:cs="SimSun" w:eastAsia="SimSun" w:hAnsi="SimSun"/>
          <w:sz w:val="24"/>
          <w:szCs w:val="24"/>
          <w:vertAlign w:val="superscript"/>
        </w:rPr>
        <w:t xml:space="preserve">[5]</w:t>
      </w:r>
      <w:r>
        <w:rPr>
          <w:rFonts w:ascii="SimSun" w:cs="SimSun" w:eastAsia="SimSun" w:hAnsi="SimSun"/>
          <w:sz w:val="24"/>
          <w:szCs w:val="24"/>
        </w:rPr>
        <w:t xml:space="preserve">。Harris（2003）对东北亚大国合作与竞争的评述同样暗示，同一地缘议题被框架化为“影响力争夺”还是“共同发展”，直接影响相关方的受纳程度</w:t>
      </w:r>
      <w:r>
        <w:rPr>
          <w:rFonts w:ascii="SimSun" w:cs="SimSun" w:eastAsia="SimSun" w:hAnsi="SimSun"/>
          <w:sz w:val="24"/>
          <w:szCs w:val="24"/>
          <w:vertAlign w:val="superscript"/>
        </w:rPr>
        <w:t xml:space="preserve">[4]</w:t>
      </w:r>
      <w:r>
        <w:rPr>
          <w:rFonts w:ascii="SimSun" w:cs="SimSun" w:eastAsia="SimSun" w:hAnsi="SimSun"/>
          <w:sz w:val="24"/>
          <w:szCs w:val="24"/>
        </w:rPr>
        <w:t xml:space="preserve">。框架的较量，本质上是界定“何种游戏正在上演”的话语权力博弈。</w:t>
      </w:r>
    </w:p>
    <w:p>
      <w:pPr>
        <w:pStyle w:val="Heading2"/>
        <w:spacing w:after="80" w:before="160"/>
      </w:pPr>
      <w:r>
        <w:rPr>
          <w:rFonts w:ascii="SimHei" w:cs="SimHei" w:eastAsia="SimHei" w:hAnsi="SimHei"/>
          <w:b/>
          <w:bCs/>
          <w:sz w:val="28"/>
          <w:szCs w:val="28"/>
        </w:rPr>
        <w:t xml:space="preserve">5.4 局限与替代解释</w:t>
      </w:r>
    </w:p>
    <w:p>
      <w:pPr>
        <w:spacing w:after="120" w:line="360"/>
        <w:ind w:firstLine="480"/>
      </w:pPr>
      <w:r>
        <w:rPr>
          <w:rFonts w:ascii="SimSun" w:cs="SimSun" w:eastAsia="SimSun" w:hAnsi="SimSun"/>
          <w:sz w:val="24"/>
          <w:szCs w:val="24"/>
        </w:rPr>
        <w:t xml:space="preserve">上述讨论的推论链条有多处脆弱环节。第一，ZSB/WWB 量表的初始验证样本限于西方主流群体，其因子结构能否忠实反映非西方决策精英的认知图谱，未经检验</w:t>
      </w:r>
      <w:r>
        <w:rPr>
          <w:rFonts w:ascii="SimSun" w:cs="SimSun" w:eastAsia="SimSun" w:hAnsi="SimSun"/>
          <w:sz w:val="24"/>
          <w:szCs w:val="24"/>
          <w:vertAlign w:val="superscript"/>
        </w:rPr>
        <w:t xml:space="preserve">[1]</w:t>
      </w:r>
      <w:r>
        <w:rPr>
          <w:rFonts w:ascii="SimSun" w:cs="SimSun" w:eastAsia="SimSun" w:hAnsi="SimSun"/>
          <w:sz w:val="24"/>
          <w:szCs w:val="24"/>
        </w:rPr>
        <w:t xml:space="preserve">。第二，国际关系中的信念往往是后验的合理化而非先验的驱动，大国可能先用权力博弈形成既定事实，再用双赢话语包装合法性——这一时序难题无法用横截面个体差异测量解决。第三，从组织规模跳至体系规模的论证，忽略了无政府状态下欺诈和背弃的结构性激励，这些激励可能压制双赢信念的表达而不改变其内在强度。未来的研究若能在精英访谈或外交文本标注中操作化类似构念，将有助于判断个体认知层面的发现究竟在多大程度上被结构性力量放大或消弭。</w:t>
      </w:r>
    </w:p>
    <w:p>
      <w:pPr>
        <w:pStyle w:val="Heading1"/>
        <w:spacing w:after="120" w:before="240"/>
      </w:pPr>
      <w:r>
        <w:rPr>
          <w:rFonts w:ascii="SimHei" w:cs="SimHei" w:eastAsia="SimHei" w:hAnsi="SimHei"/>
          <w:b/>
          <w:bCs/>
          <w:sz w:val="32"/>
          <w:szCs w:val="32"/>
        </w:rPr>
        <w:t xml:space="preserve">6 局限性</w:t>
      </w:r>
    </w:p>
    <w:p>
      <w:pPr>
        <w:spacing w:after="120" w:line="360"/>
        <w:ind w:firstLine="480"/>
      </w:pPr>
      <w:r>
        <w:rPr>
          <w:rFonts w:ascii="SimSun" w:cs="SimSun" w:eastAsia="SimSun" w:hAnsi="SimSun"/>
          <w:sz w:val="24"/>
          <w:szCs w:val="24"/>
        </w:rPr>
        <w:t xml:space="preserve">本研究存在若干需审慎对待的局限性。</w:t>
      </w:r>
    </w:p>
    <w:p>
      <w:pPr>
        <w:spacing w:after="120" w:line="360"/>
        <w:ind w:firstLine="480"/>
      </w:pPr>
      <w:r>
        <w:rPr>
          <w:rFonts w:ascii="SimSun" w:cs="SimSun" w:eastAsia="SimSun" w:hAnsi="SimSun"/>
          <w:sz w:val="24"/>
          <w:szCs w:val="24"/>
        </w:rPr>
        <w:t xml:space="preserve">从个体心理到国家行为的跨层推断构成根本挑战。零和信念（ZSBs）与双赢信念（WWBs）测量工具植根于组织心理学，其效度验证以美国白人员工对组织多元化的态度为锚点</w:t>
      </w:r>
      <w:r>
        <w:rPr>
          <w:rFonts w:ascii="SimSun" w:cs="SimSun" w:eastAsia="SimSun" w:hAnsi="SimSun"/>
          <w:sz w:val="24"/>
          <w:szCs w:val="24"/>
          <w:vertAlign w:val="superscript"/>
        </w:rPr>
        <w:t xml:space="preserve">[1]</w:t>
      </w:r>
      <w:r>
        <w:rPr>
          <w:rFonts w:ascii="SimSun" w:cs="SimSun" w:eastAsia="SimSun" w:hAnsi="SimSun"/>
          <w:sz w:val="24"/>
          <w:szCs w:val="24"/>
        </w:rPr>
        <w:t xml:space="preserve">。国家战略决策并非个体态度的简单加总，而是受制度结构、利益集团博弈与安全困境逻辑的多重约束，直接将个体认知构念迁移至大国互动分析会导致生态效度折损。Ballinger等发现ZSBs与WWBs属独立维度，提示行为体可同时持有竞争与合作认知</w:t>
      </w:r>
      <w:r>
        <w:rPr>
          <w:rFonts w:ascii="SimSun" w:cs="SimSun" w:eastAsia="SimSun" w:hAnsi="SimSun"/>
          <w:sz w:val="24"/>
          <w:szCs w:val="24"/>
          <w:vertAlign w:val="superscript"/>
        </w:rPr>
        <w:t xml:space="preserve">[1]</w:t>
      </w:r>
      <w:r>
        <w:rPr>
          <w:rFonts w:ascii="SimSun" w:cs="SimSun" w:eastAsia="SimSun" w:hAnsi="SimSun"/>
          <w:sz w:val="24"/>
          <w:szCs w:val="24"/>
        </w:rPr>
        <w:t xml:space="preserve">，但本研究尚未建立从个体认知到国家行为的可靠转换机制。</w:t>
      </w:r>
    </w:p>
    <w:p>
      <w:pPr>
        <w:spacing w:after="120" w:line="360"/>
        <w:ind w:firstLine="480"/>
      </w:pPr>
      <w:r>
        <w:rPr>
          <w:rFonts w:ascii="SimSun" w:cs="SimSun" w:eastAsia="SimSun" w:hAnsi="SimSun"/>
          <w:sz w:val="24"/>
          <w:szCs w:val="24"/>
        </w:rPr>
        <w:t xml:space="preserve">框架对结构性权力的处理同样薄弱。思维模式转换高度依赖权力分配格局与国际制度约束，而本文聚焦认知维度，未能充分纳入物质权力不对称对合作空间的系统性限制。工具效度问题加剧了这一不足：原始量表以美国语境中的种族多元化议题为测量载体，其题项内容与大国关系议题之间存在实质性语义距离，直接借用引致构念漂移风险。</w:t>
      </w:r>
    </w:p>
    <w:p>
      <w:pPr>
        <w:spacing w:after="120" w:line="360"/>
        <w:ind w:firstLine="480"/>
      </w:pPr>
      <w:r>
        <w:rPr>
          <w:rFonts w:ascii="SimSun" w:cs="SimSun" w:eastAsia="SimSun" w:hAnsi="SimSun"/>
          <w:sz w:val="24"/>
          <w:szCs w:val="24"/>
        </w:rPr>
        <w:t xml:space="preserve">数据来源单一性进一步制约了结论强度。全文主要依靠二次文献与演绎推理，缺少针对具体大国互动过程的一手实证材料，使得关于零和—双赢转化的阐释缺乏因果强度的精准估计。后续研究可通过过程追踪或比较案例设计实现机制性检验。</w:t>
      </w:r>
    </w:p>
    <w:p>
      <w:pPr>
        <w:pStyle w:val="Heading1"/>
        <w:spacing w:after="120" w:before="240"/>
      </w:pPr>
      <w:r>
        <w:rPr>
          <w:rFonts w:ascii="SimHei" w:cs="SimHei" w:eastAsia="SimHei" w:hAnsi="SimHei"/>
          <w:b/>
          <w:bCs/>
          <w:sz w:val="32"/>
          <w:szCs w:val="32"/>
        </w:rPr>
        <w:t xml:space="preserve">7 结论</w:t>
      </w:r>
    </w:p>
    <w:p>
      <w:pPr>
        <w:spacing w:after="120" w:line="360"/>
        <w:ind w:firstLine="480"/>
      </w:pPr>
      <w:r>
        <w:rPr>
          <w:rFonts w:ascii="SimSun" w:cs="SimSun" w:eastAsia="SimSun" w:hAnsi="SimSun"/>
          <w:sz w:val="24"/>
          <w:szCs w:val="24"/>
        </w:rPr>
        <w:t xml:space="preserve">大国竞争的叙事长期被零和逻辑支配，本研究将认知层面的证据引入这一讨论：个体是否将群体间关系视为零和或共赢，能够系统性预测其对融合性倡议的态度</w:t>
      </w:r>
      <w:r>
        <w:rPr>
          <w:rFonts w:ascii="SimSun" w:cs="SimSun" w:eastAsia="SimSun" w:hAnsi="SimSun"/>
          <w:sz w:val="24"/>
          <w:szCs w:val="24"/>
          <w:vertAlign w:val="superscript"/>
        </w:rPr>
        <w:t xml:space="preserve">[1]</w:t>
      </w:r>
      <w:r>
        <w:rPr>
          <w:rFonts w:ascii="SimSun" w:cs="SimSun" w:eastAsia="SimSun" w:hAnsi="SimSun"/>
          <w:sz w:val="24"/>
          <w:szCs w:val="24"/>
        </w:rPr>
        <w:t xml:space="preserve">。该工具揭示，零和信念与共赢信念并非同一维度的两极，而是相互独立的构念，个人可同时持有二者</w:t>
      </w:r>
      <w:r>
        <w:rPr>
          <w:rFonts w:ascii="SimSun" w:cs="SimSun" w:eastAsia="SimSun" w:hAnsi="SimSun"/>
          <w:sz w:val="24"/>
          <w:szCs w:val="24"/>
          <w:vertAlign w:val="superscript"/>
        </w:rPr>
        <w:t xml:space="preserve">[1]</w:t>
      </w:r>
      <w:r>
        <w:rPr>
          <w:rFonts w:ascii="SimSun" w:cs="SimSun" w:eastAsia="SimSun" w:hAnsi="SimSun"/>
          <w:sz w:val="24"/>
          <w:szCs w:val="24"/>
        </w:rPr>
        <w:t xml:space="preserve">。这意味着，国家行为体在国际体系中同时出现的竞争冲动与合作意愿，在认知层面存在可分离的心理基底。</w:t>
      </w:r>
    </w:p>
    <w:p>
      <w:pPr>
        <w:spacing w:after="120" w:line="360"/>
        <w:ind w:firstLine="480"/>
      </w:pPr>
      <w:r>
        <w:rPr>
          <w:rFonts w:ascii="SimSun" w:cs="SimSun" w:eastAsia="SimSun" w:hAnsi="SimSun"/>
          <w:sz w:val="24"/>
          <w:szCs w:val="24"/>
        </w:rPr>
        <w:t xml:space="preserve">将这一框架迁移至宏观国际关系，其理论贡献在于丰富建构主义关于“观念建构利益”的论述。国家并非天然锁定于对抗或合作轨迹，其战略决策受精英与公众共享的知觉框架制约。当一项新型大国关系倡议被框定为“零和”，即使客观收益分配接近对称，也可能引发防御性对抗；若被框定为“共赢”，则可降低威胁感知。这一机制在组织多样性政策领域已获实证支持</w:t>
      </w:r>
      <w:r>
        <w:rPr>
          <w:rFonts w:ascii="SimSun" w:cs="SimSun" w:eastAsia="SimSun" w:hAnsi="SimSun"/>
          <w:sz w:val="24"/>
          <w:szCs w:val="24"/>
          <w:vertAlign w:val="superscript"/>
        </w:rPr>
        <w:t xml:space="preserve">[1]</w:t>
      </w:r>
      <w:r>
        <w:rPr>
          <w:rFonts w:ascii="SimSun" w:cs="SimSun" w:eastAsia="SimSun" w:hAnsi="SimSun"/>
          <w:sz w:val="24"/>
          <w:szCs w:val="24"/>
        </w:rPr>
        <w:t xml:space="preserve">，在气候治理等全球公域议题中同样有所呼应：缺乏协调的资源分配常陷入零和困局，而合作框架能将议题重构为共同投资而非利益重分</w:t>
      </w:r>
      <w:r>
        <w:rPr>
          <w:rFonts w:ascii="SimSun" w:cs="SimSun" w:eastAsia="SimSun" w:hAnsi="SimSun"/>
          <w:sz w:val="24"/>
          <w:szCs w:val="24"/>
          <w:vertAlign w:val="superscript"/>
        </w:rPr>
        <w:t xml:space="preserve">[5]</w:t>
      </w:r>
      <w:r>
        <w:rPr>
          <w:rFonts w:ascii="SimSun" w:cs="SimSun" w:eastAsia="SimSun" w:hAnsi="SimSun"/>
          <w:sz w:val="24"/>
          <w:szCs w:val="24"/>
          <w:vertAlign w:val="superscript"/>
        </w:rPr>
        <w:t xml:space="preserve">[6]</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实践蕴涵明晰而克制：战略叙事与框架设定是大国关系管理中成本相对可控、但仍可能显著影响合作结果的杠杆。有意识塑造“合作共赢”的认知框架，可使新倡议获得更少排斥启动的互动开局，但这并不能替代实力平衡或制度设计的硬约束。</w:t>
      </w:r>
    </w:p>
    <w:p>
      <w:pPr>
        <w:spacing w:after="120" w:line="360"/>
        <w:ind w:firstLine="480"/>
      </w:pPr>
      <w:r>
        <w:rPr>
          <w:rFonts w:ascii="SimSun" w:cs="SimSun" w:eastAsia="SimSun" w:hAnsi="SimSun"/>
          <w:sz w:val="24"/>
          <w:szCs w:val="24"/>
        </w:rPr>
        <w:t xml:space="preserve">本研究存在明确局限。核心证据链植根于个体层面的社会心理学实验，直接推衍至国家行为时存在生态谬误风险——国家“信念”体现为决策层与公共舆论的聚合现象，而非个体信念的简单加总。同时，论证主要依赖理论嫁接与二手分析，缺乏对大国决策者零和/共赢信念的直接测量数据。</w:t>
      </w:r>
    </w:p>
    <w:p>
      <w:pPr>
        <w:spacing w:after="120" w:line="360"/>
        <w:ind w:firstLine="480"/>
      </w:pPr>
      <w:r>
        <w:rPr>
          <w:rFonts w:ascii="SimSun" w:cs="SimSun" w:eastAsia="SimSun" w:hAnsi="SimSun"/>
          <w:sz w:val="24"/>
          <w:szCs w:val="24"/>
        </w:rPr>
        <w:t xml:space="preserve">推进方向有二。一方面，可运用</w:t>
      </w:r>
      <w:r>
        <w:rPr>
          <w:rFonts w:ascii="SimSun" w:cs="SimSun" w:eastAsia="SimSun" w:hAnsi="SimSun"/>
          <w:sz w:val="24"/>
          <w:szCs w:val="24"/>
          <w:vertAlign w:val="superscript"/>
        </w:rPr>
        <w:t xml:space="preserve">[1]</w:t>
      </w:r>
      <w:r>
        <w:rPr>
          <w:rFonts w:ascii="SimSun" w:cs="SimSun" w:eastAsia="SimSun" w:hAnsi="SimSun"/>
          <w:sz w:val="24"/>
          <w:szCs w:val="24"/>
        </w:rPr>
        <w:t xml:space="preserve">开发的测量工具，对中美等大国的外交精英与公众进行跨文化施测，建立信念基线图谱并追踪其随危机事件波动的模式。另一方面，选取气候协调、公共卫生合作等新型大国关系实践案例进行过程追踪，通过精英访谈与官方文件话语分析，考察零和/共赢框架在决策各阶段的激活、抵牾与转化路径。由此，方能从“认知框架”这一微观基底出发，为宏大的合作共赢叙事提供一个可检验的实证锚点。</w:t>
      </w:r>
    </w:p>
    <w:p>
      <w:pPr>
        <w:pStyle w:val="Heading1"/>
        <w:spacing w:after="120" w:before="240"/>
      </w:pPr>
      <w:r>
        <w:rPr>
          <w:rFonts w:ascii="SimHei" w:cs="SimHei" w:eastAsia="SimHei" w:hAnsi="SimHei"/>
          <w:b/>
          <w:bCs/>
          <w:sz w:val="32"/>
          <w:szCs w:val="32"/>
        </w:rPr>
        <w:t xml:space="preserve">8 参考文献</w:t>
      </w:r>
    </w:p>
    <w:p>
      <w:pPr>
        <w:spacing w:after="80" w:line="320"/>
      </w:pPr>
      <w:r>
        <w:rPr>
          <w:rFonts w:ascii="SimSun" w:cs="SimSun" w:eastAsia="SimSun" w:hAnsi="SimSun"/>
          <w:sz w:val="21"/>
          <w:szCs w:val="21"/>
        </w:rPr>
        <w:t xml:space="preserve">[1] Taylor Ballinger, Tao Jiang, Jennifer Crocker. 2023. Lay theories of diversity initiatives: Theory and measurement of zero-sum and win-win beliefs. Group Processes &amp;amp; Intergroup Relations, DOI:10.1177/13684302231193320.</w:t>
      </w:r>
    </w:p>
    <w:p>
      <w:pPr>
        <w:spacing w:after="80" w:line="320"/>
      </w:pPr>
      <w:r>
        <w:rPr>
          <w:rFonts w:ascii="SimSun" w:cs="SimSun" w:eastAsia="SimSun" w:hAnsi="SimSun"/>
          <w:sz w:val="21"/>
          <w:szCs w:val="21"/>
        </w:rPr>
        <w:t xml:space="preserve">[2] Robert Chambers. 2006. Transforming Power: From Zero-Sum to Win-Win?. IDS Bulletin, DOI:10.1111/j.1759-5436.2006.tb00327.x.</w:t>
      </w:r>
    </w:p>
    <w:p>
      <w:pPr>
        <w:spacing w:after="80" w:line="320"/>
      </w:pPr>
      <w:r>
        <w:rPr>
          <w:rFonts w:ascii="SimSun" w:cs="SimSun" w:eastAsia="SimSun" w:hAnsi="SimSun"/>
          <w:sz w:val="21"/>
          <w:szCs w:val="21"/>
        </w:rPr>
        <w:t xml:space="preserve">[3] Zhou Yang. 2021. The Spillover Effects of Two-Rate Property Taxation: A Zero-Sum Game or a Win-Win Game?. SSRN Electronic Journal, DOI:10.2139/ssrn.3960440.</w:t>
      </w:r>
    </w:p>
    <w:p>
      <w:pPr>
        <w:spacing w:after="80" w:line="320"/>
      </w:pPr>
      <w:r>
        <w:rPr>
          <w:rFonts w:ascii="SimSun" w:cs="SimSun" w:eastAsia="SimSun" w:hAnsi="SimSun"/>
          <w:sz w:val="21"/>
          <w:szCs w:val="21"/>
        </w:rPr>
        <w:t xml:space="preserve">[4] Stuart Harris. 2003. &lt;i&gt;Major Power Relations in Northeast Asia: Win-Win or Zero-Sum Game&lt;/i&gt;. David M. Lampton&lt;i&gt;Japan and China: Cooperation, Competition and Conflict&lt;/i&gt;. Hanns Günther Hilpert , René Haak. The China Journal, DOI:10.2307/3182253.</w:t>
      </w:r>
    </w:p>
    <w:p>
      <w:pPr>
        <w:spacing w:after="80" w:line="320"/>
      </w:pPr>
      <w:r>
        <w:rPr>
          <w:rFonts w:ascii="SimSun" w:cs="SimSun" w:eastAsia="SimSun" w:hAnsi="SimSun"/>
          <w:sz w:val="21"/>
          <w:szCs w:val="21"/>
        </w:rPr>
        <w:t xml:space="preserve">[5] . 2013. Introduction Beyond the zero sum game. Reframing the Problem of Climate Change, DOI:10.4324/9780203154724-3.</w:t>
      </w:r>
    </w:p>
    <w:p>
      <w:pPr>
        <w:spacing w:after="80" w:line="320"/>
      </w:pPr>
      <w:r>
        <w:rPr>
          <w:rFonts w:ascii="SimSun" w:cs="SimSun" w:eastAsia="SimSun" w:hAnsi="SimSun"/>
          <w:sz w:val="21"/>
          <w:szCs w:val="21"/>
        </w:rPr>
        <w:t xml:space="preserve">[6] . 2013. Scarcity and coordination in the global commons. Reframing the Problem of Climate Change, DOI:10.4324/9780203154724-9.</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合作共赢而非零和博弈：世界百年变局下新型大国关系的实践探索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d07aceb0792da2ca77a46aa44f5e946880dce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2026-05-26T13:21:57.355Z</dcterms:created>
  <dcterms:modified xsi:type="dcterms:W3CDTF">2026-05-26T13:21:57.355Z</dcterms:modified>
</cp:coreProperties>
</file>

<file path=docProps/custom.xml><?xml version="1.0" encoding="utf-8"?>
<Properties xmlns="http://schemas.openxmlformats.org/officeDocument/2006/custom-properties" xmlns:vt="http://schemas.openxmlformats.org/officeDocument/2006/docPropsVTypes"/>
</file>