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eastAsia="Microsoft YaHei"/>
          <w:b/>
          <w:color w:val="2E74B5"/>
          <w:sz w:val="24"/>
        </w:rPr>
        <w:t>第二场景最小可迁移性验证</w:t>
      </w:r>
    </w:p>
    <w:p>
      <w:pPr>
        <w:spacing w:after="200"/>
        <w:jc w:val="center"/>
      </w:pPr>
      <w:r>
        <w:rPr>
          <w:rFonts w:ascii="Calibri" w:hAnsi="Calibri" w:eastAsia="Microsoft YaHei"/>
          <w:b/>
          <w:color w:val="1F4D78"/>
          <w:sz w:val="50"/>
        </w:rPr>
        <w:t>虚拟电厂分布式负荷聚合与</w:t>
        <w:br/>
        <w:t>削峰决策验证说明</w:t>
      </w:r>
    </w:p>
    <w:p>
      <w:pPr>
        <w:spacing w:after="840"/>
        <w:jc w:val="center"/>
      </w:pPr>
      <w:r>
        <w:rPr>
          <w:rFonts w:ascii="Calibri" w:hAnsi="Calibri" w:eastAsia="Microsoft YaHei"/>
          <w:color w:val="667085"/>
          <w:sz w:val="28"/>
        </w:rPr>
        <w:t>云边协同系统多场景适配与可扩展性验证</w:t>
      </w:r>
    </w:p>
    <w:tbl>
      <w:tblPr>
        <w:tblStyle w:val="TableGrid"/>
        <w:jc w:val="left"/>
        <w:tblLook w:firstColumn="1" w:firstRow="1" w:lastColumn="0" w:lastRow="0" w:noHBand="0" w:noVBand="1" w:val="04A0"/>
        <w:tblW w:w="9360" w:type="dxa"/>
        <w:tblInd w:w="120" w:type="dxa"/>
        <w:tblLayout w:type="fixed"/>
      </w:tblPr>
      <w:tblGrid>
        <w:gridCol w:w="1400"/>
        <w:gridCol w:w="3280"/>
        <w:gridCol w:w="1400"/>
        <w:gridCol w:w="3280"/>
      </w:tblGrid>
      <w:tr>
        <w:tc>
          <w:tcPr>
            <w:tcW w:type="dxa" w:w="1400"/>
            <w:shd w:fill="F2F4F7"/>
            <w:tcMar>
              <w:top w:w="80" w:type="dxa"/>
              <w:start w:w="120" w:type="dxa"/>
              <w:bottom w:w="80" w:type="dxa"/>
              <w:end w:w="120" w:type="dxa"/>
            </w:tcMar>
            <w:vAlign w:val="center"/>
          </w:tcPr>
          <w:p>
            <w:pPr>
              <w:spacing w:after="0"/>
              <w:jc w:val="center"/>
            </w:pPr>
            <w:r>
              <w:rPr>
                <w:rFonts w:ascii="Calibri" w:hAnsi="Calibri" w:eastAsia="Microsoft YaHei"/>
                <w:b/>
                <w:color w:val="1F4D78"/>
                <w:sz w:val="19"/>
              </w:rPr>
              <w:t>文档类型</w:t>
            </w:r>
          </w:p>
        </w:tc>
        <w:tc>
          <w:tcPr>
            <w:tcW w:type="dxa" w:w="3280"/>
            <w:tcMar>
              <w:top w:w="80" w:type="dxa"/>
              <w:start w:w="120" w:type="dxa"/>
              <w:bottom w:w="80" w:type="dxa"/>
              <w:end w:w="120" w:type="dxa"/>
            </w:tcMar>
            <w:vAlign w:val="center"/>
          </w:tcPr>
          <w:p>
            <w:pPr>
              <w:spacing w:after="0"/>
              <w:jc w:val="center"/>
            </w:pPr>
            <w:r>
              <w:rPr>
                <w:rFonts w:ascii="Calibri" w:hAnsi="Calibri" w:eastAsia="Microsoft YaHei"/>
                <w:b w:val="0"/>
                <w:color w:val="1F2937"/>
                <w:sz w:val="19"/>
              </w:rPr>
              <w:t>技术验证说明</w:t>
            </w:r>
          </w:p>
        </w:tc>
        <w:tc>
          <w:tcPr>
            <w:tcW w:type="dxa" w:w="1400"/>
            <w:shd w:fill="F2F4F7"/>
            <w:tcMar>
              <w:top w:w="80" w:type="dxa"/>
              <w:start w:w="120" w:type="dxa"/>
              <w:bottom w:w="80" w:type="dxa"/>
              <w:end w:w="120" w:type="dxa"/>
            </w:tcMar>
            <w:vAlign w:val="center"/>
          </w:tcPr>
          <w:p>
            <w:pPr>
              <w:spacing w:after="0"/>
              <w:jc w:val="center"/>
            </w:pPr>
            <w:r>
              <w:rPr>
                <w:rFonts w:ascii="Calibri" w:hAnsi="Calibri" w:eastAsia="Microsoft YaHei"/>
                <w:b/>
                <w:color w:val="1F4D78"/>
                <w:sz w:val="19"/>
              </w:rPr>
              <w:t>验证状态</w:t>
            </w:r>
          </w:p>
        </w:tc>
        <w:tc>
          <w:tcPr>
            <w:tcW w:type="dxa" w:w="3280"/>
            <w:tcMar>
              <w:top w:w="80" w:type="dxa"/>
              <w:start w:w="120" w:type="dxa"/>
              <w:bottom w:w="80" w:type="dxa"/>
              <w:end w:w="120" w:type="dxa"/>
            </w:tcMar>
            <w:vAlign w:val="center"/>
          </w:tcPr>
          <w:p>
            <w:pPr>
              <w:spacing w:after="0"/>
              <w:jc w:val="center"/>
            </w:pPr>
            <w:r>
              <w:rPr>
                <w:rFonts w:ascii="Calibri" w:hAnsi="Calibri" w:eastAsia="Microsoft YaHei"/>
                <w:b w:val="0"/>
                <w:color w:val="1F2937"/>
                <w:sz w:val="19"/>
              </w:rPr>
              <w:t>已通过</w:t>
            </w:r>
          </w:p>
        </w:tc>
      </w:tr>
      <w:tr>
        <w:tc>
          <w:tcPr>
            <w:tcW w:type="dxa" w:w="1400"/>
            <w:shd w:fill="F2F4F7"/>
            <w:tcMar>
              <w:top w:w="80" w:type="dxa"/>
              <w:start w:w="120" w:type="dxa"/>
              <w:bottom w:w="80" w:type="dxa"/>
              <w:end w:w="120" w:type="dxa"/>
            </w:tcMar>
            <w:vAlign w:val="center"/>
          </w:tcPr>
          <w:p>
            <w:pPr>
              <w:spacing w:after="0"/>
              <w:jc w:val="center"/>
            </w:pPr>
            <w:r>
              <w:rPr>
                <w:rFonts w:ascii="Calibri" w:hAnsi="Calibri" w:eastAsia="Microsoft YaHei"/>
                <w:b/>
                <w:color w:val="1F4D78"/>
                <w:sz w:val="19"/>
              </w:rPr>
              <w:t>场景标识</w:t>
            </w:r>
          </w:p>
        </w:tc>
        <w:tc>
          <w:tcPr>
            <w:tcW w:type="dxa" w:w="3280"/>
            <w:tcMar>
              <w:top w:w="80" w:type="dxa"/>
              <w:start w:w="120" w:type="dxa"/>
              <w:bottom w:w="80" w:type="dxa"/>
              <w:end w:w="120" w:type="dxa"/>
            </w:tcMar>
            <w:vAlign w:val="center"/>
          </w:tcPr>
          <w:p>
            <w:pPr>
              <w:spacing w:after="0"/>
              <w:jc w:val="center"/>
            </w:pPr>
            <w:r>
              <w:rPr>
                <w:rFonts w:ascii="Calibri" w:hAnsi="Calibri" w:eastAsia="Microsoft YaHei"/>
                <w:b w:val="0"/>
                <w:color w:val="1F2937"/>
                <w:sz w:val="19"/>
              </w:rPr>
              <w:t>virtual_power_plant</w:t>
            </w:r>
          </w:p>
        </w:tc>
        <w:tc>
          <w:tcPr>
            <w:tcW w:type="dxa" w:w="1400"/>
            <w:shd w:fill="F2F4F7"/>
            <w:tcMar>
              <w:top w:w="80" w:type="dxa"/>
              <w:start w:w="120" w:type="dxa"/>
              <w:bottom w:w="80" w:type="dxa"/>
              <w:end w:w="120" w:type="dxa"/>
            </w:tcMar>
            <w:vAlign w:val="center"/>
          </w:tcPr>
          <w:p>
            <w:pPr>
              <w:spacing w:after="0"/>
              <w:jc w:val="center"/>
            </w:pPr>
            <w:r>
              <w:rPr>
                <w:rFonts w:ascii="Calibri" w:hAnsi="Calibri" w:eastAsia="Microsoft YaHei"/>
                <w:b/>
                <w:color w:val="1F4D78"/>
                <w:sz w:val="19"/>
              </w:rPr>
              <w:t>版本</w:t>
            </w:r>
          </w:p>
        </w:tc>
        <w:tc>
          <w:tcPr>
            <w:tcW w:type="dxa" w:w="3280"/>
            <w:tcMar>
              <w:top w:w="80" w:type="dxa"/>
              <w:start w:w="120" w:type="dxa"/>
              <w:bottom w:w="80" w:type="dxa"/>
              <w:end w:w="120" w:type="dxa"/>
            </w:tcMar>
            <w:vAlign w:val="center"/>
          </w:tcPr>
          <w:p>
            <w:pPr>
              <w:spacing w:after="0"/>
              <w:jc w:val="center"/>
            </w:pPr>
            <w:r>
              <w:rPr>
                <w:rFonts w:ascii="Calibri" w:hAnsi="Calibri" w:eastAsia="Microsoft YaHei"/>
                <w:b w:val="0"/>
                <w:color w:val="1F2937"/>
                <w:sz w:val="19"/>
              </w:rPr>
              <w:t>validation-1.0</w:t>
            </w:r>
          </w:p>
        </w:tc>
      </w:tr>
      <w:tr>
        <w:tc>
          <w:tcPr>
            <w:tcW w:type="dxa" w:w="1400"/>
            <w:shd w:fill="F2F4F7"/>
            <w:tcMar>
              <w:top w:w="80" w:type="dxa"/>
              <w:start w:w="120" w:type="dxa"/>
              <w:bottom w:w="80" w:type="dxa"/>
              <w:end w:w="120" w:type="dxa"/>
            </w:tcMar>
            <w:vAlign w:val="center"/>
          </w:tcPr>
          <w:p>
            <w:pPr>
              <w:spacing w:after="0"/>
              <w:jc w:val="center"/>
            </w:pPr>
            <w:r>
              <w:rPr>
                <w:rFonts w:ascii="Calibri" w:hAnsi="Calibri" w:eastAsia="Microsoft YaHei"/>
                <w:b/>
                <w:color w:val="1F4D78"/>
                <w:sz w:val="19"/>
              </w:rPr>
              <w:t>验证日期</w:t>
            </w:r>
          </w:p>
        </w:tc>
        <w:tc>
          <w:tcPr>
            <w:tcW w:type="dxa" w:w="3280"/>
            <w:tcMar>
              <w:top w:w="80" w:type="dxa"/>
              <w:start w:w="120" w:type="dxa"/>
              <w:bottom w:w="80" w:type="dxa"/>
              <w:end w:w="120" w:type="dxa"/>
            </w:tcMar>
            <w:vAlign w:val="center"/>
          </w:tcPr>
          <w:p>
            <w:pPr>
              <w:spacing w:after="0"/>
              <w:jc w:val="center"/>
            </w:pPr>
            <w:r>
              <w:rPr>
                <w:rFonts w:ascii="Calibri" w:hAnsi="Calibri" w:eastAsia="Microsoft YaHei"/>
                <w:b w:val="0"/>
                <w:color w:val="1F2937"/>
                <w:sz w:val="19"/>
              </w:rPr>
              <w:t>2026年8月28日</w:t>
            </w:r>
          </w:p>
        </w:tc>
        <w:tc>
          <w:tcPr>
            <w:tcW w:type="dxa" w:w="1400"/>
            <w:shd w:fill="F2F4F7"/>
            <w:tcMar>
              <w:top w:w="80" w:type="dxa"/>
              <w:start w:w="120" w:type="dxa"/>
              <w:bottom w:w="80" w:type="dxa"/>
              <w:end w:w="120" w:type="dxa"/>
            </w:tcMar>
            <w:vAlign w:val="center"/>
          </w:tcPr>
          <w:p>
            <w:pPr>
              <w:spacing w:after="0"/>
              <w:jc w:val="center"/>
            </w:pPr>
            <w:r>
              <w:rPr>
                <w:rFonts w:ascii="Calibri" w:hAnsi="Calibri" w:eastAsia="Microsoft YaHei"/>
                <w:b/>
                <w:color w:val="1F4D78"/>
                <w:sz w:val="19"/>
              </w:rPr>
              <w:t>代码检查点</w:t>
            </w:r>
          </w:p>
        </w:tc>
        <w:tc>
          <w:tcPr>
            <w:tcW w:type="dxa" w:w="3280"/>
            <w:tcMar>
              <w:top w:w="80" w:type="dxa"/>
              <w:start w:w="120" w:type="dxa"/>
              <w:bottom w:w="80" w:type="dxa"/>
              <w:end w:w="120" w:type="dxa"/>
            </w:tcMar>
            <w:vAlign w:val="center"/>
          </w:tcPr>
          <w:p>
            <w:pPr>
              <w:spacing w:after="0"/>
              <w:jc w:val="center"/>
            </w:pPr>
            <w:r>
              <w:rPr>
                <w:rFonts w:ascii="Calibri" w:hAnsi="Calibri" w:eastAsia="Microsoft YaHei"/>
                <w:b w:val="0"/>
                <w:color w:val="1F2937"/>
                <w:sz w:val="19"/>
              </w:rPr>
              <w:t>58c47d2</w:t>
            </w:r>
          </w:p>
        </w:tc>
      </w:tr>
    </w:tbl>
    <w:p>
      <w:pPr>
        <w:spacing w:after="360"/>
      </w:pP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EAF6EE"/>
            <w:tcMar>
              <w:top w:w="80" w:type="dxa"/>
              <w:start w:w="120" w:type="dxa"/>
              <w:bottom w:w="80" w:type="dxa"/>
              <w:end w:w="120" w:type="dxa"/>
            </w:tcMar>
            <w:vAlign w:val="center"/>
          </w:tcPr>
          <w:p>
            <w:pPr>
              <w:spacing w:before="40" w:after="40" w:line="264" w:lineRule="auto"/>
            </w:pPr>
            <w:r>
              <w:rPr>
                <w:rFonts w:ascii="Calibri" w:hAnsi="Calibri" w:eastAsia="Microsoft YaHei"/>
                <w:b/>
                <w:color w:val="1B6B3A"/>
                <w:sz w:val="22"/>
              </w:rPr>
              <w:t>验证结论：</w:t>
            </w:r>
            <w:r>
              <w:rPr>
                <w:rFonts w:ascii="Calibri" w:hAnsi="Calibri" w:eastAsia="Microsoft YaHei"/>
                <w:color w:val="1F2937"/>
                <w:sz w:val="22"/>
              </w:rPr>
              <w:t>系统在不修改平台核心和轴承场景代码的前提下，成功加载并运行虚拟电厂第二场景，完成输入适配、边缘判断、云端削峰决策、一致性检测、冲突仲裁和存储初始化，验证结果为 PASS。</w:t>
            </w:r>
          </w:p>
        </w:tc>
      </w:tr>
    </w:tbl>
    <w:p>
      <w:pPr>
        <w:spacing w:after="40"/>
      </w:pPr>
    </w:p>
    <w:p>
      <w:r>
        <w:br w:type="page"/>
      </w:r>
    </w:p>
    <w:p>
      <w:pPr>
        <w:pStyle w:val="Heading1"/>
        <w:keepNext/>
        <w:keepLines/>
      </w:pPr>
      <w:r>
        <w:t>摘要</w:t>
      </w:r>
    </w:p>
    <w:p>
      <w:pPr>
        <w:spacing w:before="0" w:after="120" w:line="264" w:lineRule="auto"/>
      </w:pPr>
      <w:r>
        <w:rPr>
          <w:rFonts w:ascii="Calibri" w:hAnsi="Calibri" w:eastAsia="Microsoft YaHei"/>
          <w:color w:val="1F2937"/>
          <w:sz w:val="22"/>
        </w:rPr>
        <w:t>为验证现有轴承诊断系统完成可迁移化改造后，是否能够在不重构稳定平台核心的条件下支持差异明显的新业务场景，本项目选择“虚拟电厂分布式负荷聚合与削峰决策”作为第二场景，实施了一次生产形态、最小范围、可重复执行的插件化验证。</w:t>
      </w:r>
    </w:p>
    <w:p>
      <w:pPr>
        <w:spacing w:before="0" w:after="120" w:line="264" w:lineRule="auto"/>
      </w:pPr>
      <w:r>
        <w:rPr>
          <w:rFonts w:ascii="Calibri" w:hAnsi="Calibri" w:eastAsia="Microsoft YaHei"/>
          <w:color w:val="1F2937"/>
          <w:sz w:val="22"/>
        </w:rPr>
        <w:t>本次验证不建设完整虚拟电厂，也不接入真实电网设备；其目标是使用确定性仿真数据，证明第二场景能够复用已有场景注册、输入接入、边缘推理、云端分析、一致性判断、冲突仲裁和存储扩展接口。验证中，系统同时加载 bearing 与 virtual_power_plant 两个场景，将 1000 kW 聚合负荷削减 100 kW 至 900 kW，并将削减量分配为区域B 80 kW、区域C 20 kW。人为注入的边云结论冲突被正确识别并仲裁为 dispatch_reduction。</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EAF2F8"/>
            <w:tcMar>
              <w:top w:w="80" w:type="dxa"/>
              <w:start w:w="120" w:type="dxa"/>
              <w:bottom w:w="80" w:type="dxa"/>
              <w:end w:w="120" w:type="dxa"/>
            </w:tcMar>
            <w:vAlign w:val="center"/>
          </w:tcPr>
          <w:p>
            <w:pPr>
              <w:spacing w:before="40" w:after="40" w:line="264" w:lineRule="auto"/>
            </w:pPr>
            <w:r>
              <w:rPr>
                <w:rFonts w:ascii="Calibri" w:hAnsi="Calibri" w:eastAsia="Microsoft YaHei"/>
                <w:b/>
                <w:color w:val="1F4D78"/>
                <w:sz w:val="22"/>
              </w:rPr>
              <w:t>核心判断：</w:t>
            </w:r>
            <w:r>
              <w:rPr>
                <w:rFonts w:ascii="Calibri" w:hAnsi="Calibri" w:eastAsia="Microsoft YaHei"/>
                <w:color w:val="1F2937"/>
                <w:sz w:val="22"/>
              </w:rPr>
              <w:t>该验证说明平台已经具备跨业务域新增场景插件的基础能力；结论限定于架构适配与最小链路验证，不等同于完整能源预测、经济调度或真实电网控制能力。</w:t>
            </w:r>
          </w:p>
        </w:tc>
      </w:tr>
    </w:tbl>
    <w:p>
      <w:pPr>
        <w:spacing w:after="40"/>
      </w:pPr>
    </w:p>
    <w:p>
      <w:pPr>
        <w:pStyle w:val="Heading1"/>
        <w:keepNext/>
        <w:keepLines/>
      </w:pPr>
      <w:r>
        <w:t>1  验证背景与目标</w:t>
      </w:r>
    </w:p>
    <w:p>
      <w:pPr>
        <w:pStyle w:val="Heading2"/>
        <w:keepNext/>
        <w:keepLines/>
      </w:pPr>
      <w:r>
        <w:t>1.1  验证背景</w:t>
      </w:r>
    </w:p>
    <w:p>
      <w:pPr>
        <w:spacing w:before="0" w:after="120" w:line="264" w:lineRule="auto"/>
      </w:pPr>
      <w:r>
        <w:rPr>
          <w:rFonts w:ascii="Calibri" w:hAnsi="Calibri" w:eastAsia="Microsoft YaHei"/>
          <w:color w:val="1F2937"/>
          <w:sz w:val="22"/>
        </w:rPr>
        <w:t>系统原有业务为工业轴承故障诊断，输入以振动时序数据为主，输出为设备状态、故障风险和维护建议。完成可迁移化改造后，平台通过场景注册表、通用契约和能力提供者接口隔离业务知识。仅证明轴承流程正常运行，仍不足以证明平台真正具备跨场景迁移能力，因此需要一个业务目标、数据语义和决策方式均明显不同的第二场景。</w:t>
      </w:r>
    </w:p>
    <w:p>
      <w:pPr>
        <w:pStyle w:val="Heading2"/>
        <w:keepNext/>
        <w:keepLines/>
      </w:pPr>
      <w:r>
        <w:t>1.2  第二场景选择依据</w:t>
      </w:r>
    </w:p>
    <w:p>
      <w:pPr>
        <w:spacing w:before="0" w:after="120" w:line="264" w:lineRule="auto"/>
      </w:pPr>
      <w:r>
        <w:rPr>
          <w:rFonts w:ascii="Calibri" w:hAnsi="Calibri" w:eastAsia="Microsoft YaHei"/>
          <w:color w:val="1F2937"/>
          <w:sz w:val="22"/>
        </w:rPr>
        <w:t>虚拟电厂场景将分散的区域负荷、光伏、储能和可调资源进行统一聚合，在总负荷超过电网限制时形成削峰方案。它与轴承诊断分别代表“工业设备状态感知”和“能源资源聚合决策”，能够有效避免仅更换设备类型或分类标签所造成的弱差异验证。</w:t>
      </w:r>
    </w:p>
    <w:tbl>
      <w:tblPr>
        <w:tblStyle w:val="TableGrid"/>
        <w:jc w:val="left"/>
        <w:tblLook w:firstColumn="1" w:firstRow="1" w:lastColumn="0" w:lastRow="0" w:noHBand="0" w:noVBand="1" w:val="04A0"/>
        <w:tblW w:w="9360" w:type="dxa"/>
        <w:tblInd w:w="120" w:type="dxa"/>
        <w:tblLayout w:type="fixed"/>
      </w:tblPr>
      <w:tblGrid>
        <w:gridCol w:w="1700"/>
        <w:gridCol w:w="3830"/>
        <w:gridCol w:w="3830"/>
      </w:tblGrid>
      <w:tr>
        <w:trPr>
          <w:tblHeader w:val="true"/>
        </w:trPr>
        <w:tc>
          <w:tcPr>
            <w:tcW w:type="dxa" w:w="17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对比维度</w:t>
            </w:r>
          </w:p>
        </w:tc>
        <w:tc>
          <w:tcPr>
            <w:tcW w:type="dxa" w:w="383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轴承诊断场景</w:t>
            </w:r>
          </w:p>
        </w:tc>
        <w:tc>
          <w:tcPr>
            <w:tcW w:type="dxa" w:w="383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虚拟电厂场景</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应用领域</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工业设备运维</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能源聚合与调度</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核心数据</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振动波形、设备工况</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区域负荷、功率上限、可削减能力</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边缘任务</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设备状态识别</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区域峰值风险判断</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云端任务</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综合诊断与风险分析</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跨区域聚合与削峰分配</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决策输出</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正常、故障、维护建议</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保持、执行负荷削减</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冲突语义</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多节点诊断不一致</w:t>
            </w:r>
          </w:p>
        </w:tc>
        <w:tc>
          <w:tcPr>
            <w:tcW w:type="dxa" w:w="383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局部安全判断与全局功率约束不一致</w:t>
            </w:r>
          </w:p>
        </w:tc>
      </w:tr>
    </w:tbl>
    <w:p>
      <w:pPr>
        <w:spacing w:after="40"/>
      </w:pPr>
    </w:p>
    <w:p>
      <w:pPr>
        <w:pStyle w:val="Heading2"/>
        <w:keepNext/>
        <w:keepLines/>
      </w:pPr>
      <w:r>
        <w:t>1.3  最小验证目标</w:t>
      </w:r>
    </w:p>
    <w:p>
      <w:pPr>
        <w:pStyle w:val="ListBullet"/>
        <w:spacing w:after="120" w:line="280" w:lineRule="auto"/>
        <w:ind w:left="720" w:hanging="360"/>
      </w:pPr>
      <w:r>
        <w:rPr>
          <w:rFonts w:ascii="Calibri" w:hAnsi="Calibri" w:eastAsia="Microsoft YaHei"/>
          <w:color w:val="1F2937"/>
          <w:sz w:val="22"/>
        </w:rPr>
        <w:t>证明 bearing 与 virtual_power_plant 可以通过同一个场景注册表同时存在。</w:t>
      </w:r>
    </w:p>
    <w:p>
      <w:pPr>
        <w:pStyle w:val="ListBullet"/>
        <w:spacing w:after="120" w:line="280" w:lineRule="auto"/>
        <w:ind w:left="720" w:hanging="360"/>
      </w:pPr>
      <w:r>
        <w:rPr>
          <w:rFonts w:ascii="Calibri" w:hAnsi="Calibri" w:eastAsia="Microsoft YaHei"/>
          <w:color w:val="1F2937"/>
          <w:sz w:val="22"/>
        </w:rPr>
        <w:t>证明第二场景能够复用通用输入、边缘、云端、一致性、仲裁和存储边界。</w:t>
      </w:r>
    </w:p>
    <w:p>
      <w:pPr>
        <w:pStyle w:val="ListBullet"/>
        <w:spacing w:after="120" w:line="280" w:lineRule="auto"/>
        <w:ind w:left="720" w:hanging="360"/>
      </w:pPr>
      <w:r>
        <w:rPr>
          <w:rFonts w:ascii="Calibri" w:hAnsi="Calibri" w:eastAsia="Microsoft YaHei"/>
          <w:color w:val="1F2937"/>
          <w:sz w:val="22"/>
        </w:rPr>
        <w:t>证明新增场景不需要向平台核心、调度器或轴承代码写入虚拟电厂特例。</w:t>
      </w:r>
    </w:p>
    <w:p>
      <w:pPr>
        <w:pStyle w:val="ListBullet"/>
        <w:spacing w:after="120" w:line="280" w:lineRule="auto"/>
        <w:ind w:left="720" w:hanging="360"/>
      </w:pPr>
      <w:r>
        <w:rPr>
          <w:rFonts w:ascii="Calibri" w:hAnsi="Calibri" w:eastAsia="Microsoft YaHei"/>
          <w:color w:val="1F2937"/>
          <w:sz w:val="22"/>
        </w:rPr>
        <w:t>通过确定性结果和自动测试形成可重复、可审计的验证证据。</w:t>
      </w:r>
    </w:p>
    <w:p>
      <w:pPr>
        <w:pStyle w:val="Heading1"/>
        <w:keepNext/>
        <w:keepLines/>
      </w:pPr>
      <w:r>
        <w:t>2  第二场景业务定义</w:t>
      </w:r>
    </w:p>
    <w:p>
      <w:pPr>
        <w:pStyle w:val="Heading2"/>
        <w:keepNext/>
        <w:keepLines/>
      </w:pPr>
      <w:r>
        <w:t>2.1  最小业务问题</w:t>
      </w:r>
    </w:p>
    <w:p>
      <w:pPr>
        <w:spacing w:before="0" w:after="120" w:line="264" w:lineRule="auto"/>
      </w:pPr>
      <w:r>
        <w:rPr>
          <w:rFonts w:ascii="Calibri" w:hAnsi="Calibri" w:eastAsia="Microsoft YaHei"/>
          <w:color w:val="1F2937"/>
          <w:sz w:val="22"/>
        </w:rPr>
        <w:t>最小场景模拟一个由三个区域构成的虚拟电厂。每个区域向平台报告净负荷、本地功率限制和可削减功率。边缘侧判断单个区域是否存在峰值风险；云端汇总所有区域，在总负荷超过全局电网限制时计算所需削减量并形成分配方案。</w:t>
      </w:r>
    </w:p>
    <w:tbl>
      <w:tblPr>
        <w:tblStyle w:val="TableGrid"/>
        <w:jc w:val="left"/>
        <w:tblLook w:firstColumn="1" w:firstRow="1" w:lastColumn="0" w:lastRow="0" w:noHBand="0" w:noVBand="1" w:val="04A0"/>
        <w:tblW w:w="9360" w:type="dxa"/>
        <w:tblInd w:w="120" w:type="dxa"/>
        <w:tblLayout w:type="fixed"/>
      </w:tblPr>
      <w:tblGrid>
        <w:gridCol w:w="1300"/>
        <w:gridCol w:w="1600"/>
        <w:gridCol w:w="1600"/>
        <w:gridCol w:w="1900"/>
        <w:gridCol w:w="2960"/>
      </w:tblGrid>
      <w:tr>
        <w:trPr>
          <w:tblHeader w:val="true"/>
        </w:trPr>
        <w:tc>
          <w:tcPr>
            <w:tcW w:type="dxa" w:w="13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区域</w:t>
            </w:r>
          </w:p>
        </w:tc>
        <w:tc>
          <w:tcPr>
            <w:tcW w:type="dxa" w:w="16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净负荷</w:t>
            </w:r>
          </w:p>
        </w:tc>
        <w:tc>
          <w:tcPr>
            <w:tcW w:type="dxa" w:w="16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本地限制</w:t>
            </w:r>
          </w:p>
        </w:tc>
        <w:tc>
          <w:tcPr>
            <w:tcW w:type="dxa" w:w="19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可削减功率</w:t>
            </w:r>
          </w:p>
        </w:tc>
        <w:tc>
          <w:tcPr>
            <w:tcW w:type="dxa" w:w="296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边缘判断</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区域A</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320 kW</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350 kW</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30 kW</w:t>
            </w:r>
          </w:p>
        </w:tc>
        <w:tc>
          <w:tcPr>
            <w:tcW w:type="dxa" w:w="29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within_limit</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区域B</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410 kW</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380 kW</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80 kW</w:t>
            </w:r>
          </w:p>
        </w:tc>
        <w:tc>
          <w:tcPr>
            <w:tcW w:type="dxa" w:w="29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peak_risk</w:t>
            </w:r>
          </w:p>
        </w:tc>
      </w:tr>
      <w:tr>
        <w:tc>
          <w:tcPr>
            <w:tcW w:type="dxa" w:w="1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区域C</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270 kW</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300 kW</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50 kW</w:t>
            </w:r>
          </w:p>
        </w:tc>
        <w:tc>
          <w:tcPr>
            <w:tcW w:type="dxa" w:w="29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within_limit</w:t>
            </w:r>
          </w:p>
        </w:tc>
      </w:tr>
    </w:tbl>
    <w:p>
      <w:pPr>
        <w:spacing w:after="40"/>
      </w:pPr>
    </w:p>
    <w:p>
      <w:pPr>
        <w:pStyle w:val="Heading2"/>
        <w:keepNext/>
        <w:keepLines/>
      </w:pPr>
      <w:r>
        <w:t>2.2  云端削峰决策</w:t>
      </w:r>
    </w:p>
    <w:p>
      <w:pPr>
        <w:spacing w:before="0" w:after="120" w:line="264" w:lineRule="auto"/>
      </w:pPr>
      <w:r>
        <w:rPr>
          <w:rFonts w:ascii="Calibri" w:hAnsi="Calibri" w:eastAsia="Microsoft YaHei"/>
          <w:color w:val="1F2937"/>
          <w:sz w:val="22"/>
        </w:rPr>
        <w:t>三个区域的聚合负荷为 1000 kW，全局电网限制为 900 kW，因此系统必须削减 100 kW。最小验证采用确定性分配规则，优先使用可削减能力较大的区域：区域B承担 80 kW，区域C承担 20 kW，削峰后负荷恰好为 900 kW。</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F7F8FA"/>
            <w:tcMar>
              <w:top w:w="80" w:type="dxa"/>
              <w:start w:w="120" w:type="dxa"/>
              <w:bottom w:w="80" w:type="dxa"/>
              <w:end w:w="120" w:type="dxa"/>
            </w:tcMar>
            <w:vAlign w:val="center"/>
          </w:tcPr>
          <w:p>
            <w:pPr>
              <w:spacing w:before="40" w:after="40" w:line="240" w:lineRule="auto"/>
            </w:pPr>
            <w:r>
              <w:rPr>
                <w:rFonts w:ascii="Courier New" w:hAnsi="Courier New" w:eastAsia="Microsoft YaHei"/>
                <w:color w:val="344054"/>
                <w:sz w:val="18"/>
              </w:rPr>
              <w:t>original_load_kw       = 1000.0</w:t>
            </w:r>
            <w:r>
              <w:br/>
            </w:r>
            <w:r>
              <w:rPr>
                <w:rFonts w:ascii="Courier New" w:hAnsi="Courier New" w:eastAsia="Microsoft YaHei"/>
                <w:color w:val="344054"/>
                <w:sz w:val="18"/>
              </w:rPr>
              <w:t>grid_limit_kw          =  900.0</w:t>
            </w:r>
            <w:r>
              <w:br/>
            </w:r>
            <w:r>
              <w:rPr>
                <w:rFonts w:ascii="Courier New" w:hAnsi="Courier New" w:eastAsia="Microsoft YaHei"/>
                <w:color w:val="344054"/>
                <w:sz w:val="18"/>
              </w:rPr>
              <w:t>planned_reduction_kw   =  100.0</w:t>
            </w:r>
            <w:r>
              <w:br/>
            </w:r>
            <w:r>
              <w:rPr>
                <w:rFonts w:ascii="Courier New" w:hAnsi="Courier New" w:eastAsia="Microsoft YaHei"/>
                <w:color w:val="344054"/>
                <w:sz w:val="18"/>
              </w:rPr>
              <w:t>allocation_kw          = {region_b: 80.0, region_c: 20.0}</w:t>
            </w:r>
            <w:r>
              <w:br/>
            </w:r>
            <w:r>
              <w:rPr>
                <w:rFonts w:ascii="Courier New" w:hAnsi="Courier New" w:eastAsia="Microsoft YaHei"/>
                <w:color w:val="344054"/>
                <w:sz w:val="18"/>
              </w:rPr>
              <w:t>post_dispatch_load_kw  =  900.0</w:t>
            </w:r>
          </w:p>
        </w:tc>
      </w:tr>
    </w:tbl>
    <w:p>
      <w:pPr>
        <w:spacing w:after="40"/>
      </w:pPr>
    </w:p>
    <w:p>
      <w:pPr>
        <w:pStyle w:val="Heading2"/>
        <w:keepNext/>
        <w:keepLines/>
      </w:pPr>
      <w:r>
        <w:t>2.3  验证边界</w:t>
      </w:r>
    </w:p>
    <w:p>
      <w:pPr>
        <w:spacing w:before="0" w:after="120" w:line="264" w:lineRule="auto"/>
      </w:pPr>
      <w:r>
        <w:rPr>
          <w:rFonts w:ascii="Calibri" w:hAnsi="Calibri" w:eastAsia="Microsoft YaHei"/>
          <w:color w:val="1F2937"/>
          <w:sz w:val="22"/>
        </w:rPr>
        <w:t>本次实现采用确定性算术和固定仿真数据，目的是隔离并验证平台扩展机制。它不包含真实负荷预测模型、经济调度优化、真实储能控制、外部能源数据集或生产级通信接入。后续如建设完整场景，可在保持插件边界不变的前提下替换内部算法。</w:t>
      </w:r>
    </w:p>
    <w:p>
      <w:pPr>
        <w:pStyle w:val="Heading1"/>
        <w:keepNext/>
        <w:keepLines/>
      </w:pPr>
      <w:r>
        <w:t>3  第二场景在系统中的接入方式</w:t>
      </w:r>
    </w:p>
    <w:p>
      <w:pPr>
        <w:pStyle w:val="Heading2"/>
        <w:keepNext/>
        <w:keepLines/>
      </w:pPr>
      <w:r>
        <w:t>3.1  插件化目录</w:t>
      </w:r>
    </w:p>
    <w:p>
      <w:pPr>
        <w:spacing w:before="0" w:after="120" w:line="264" w:lineRule="auto"/>
      </w:pPr>
      <w:r>
        <w:rPr>
          <w:rFonts w:ascii="Calibri" w:hAnsi="Calibri" w:eastAsia="Microsoft YaHei"/>
          <w:color w:val="1F2937"/>
          <w:sz w:val="22"/>
        </w:rPr>
        <w:t>虚拟电厂能力被封装在独立目录 cloud_edge_project/scenarios/virtual_power_plant/ 中，由 manifest.py 声明能力，由 plugin.py 完成能力绑定，由 providers.py 实现业务逻辑。插件仅依赖通用核心契约，不导入轴承场景或轴承兼容层。</w:t>
      </w:r>
    </w:p>
    <w:p>
      <w:pPr>
        <w:pStyle w:val="Heading2"/>
        <w:keepNext/>
        <w:keepLines/>
      </w:pPr>
      <w:r>
        <w:t>3.2  通用能力复用映射</w:t>
      </w:r>
    </w:p>
    <w:tbl>
      <w:tblPr>
        <w:tblStyle w:val="TableGrid"/>
        <w:jc w:val="left"/>
        <w:tblLook w:firstColumn="1" w:firstRow="1" w:lastColumn="0" w:lastRow="0" w:noHBand="0" w:noVBand="1" w:val="04A0"/>
        <w:tblW w:w="9360" w:type="dxa"/>
        <w:tblInd w:w="120" w:type="dxa"/>
        <w:tblLayout w:type="fixed"/>
      </w:tblPr>
      <w:tblGrid>
        <w:gridCol w:w="2250"/>
        <w:gridCol w:w="3550"/>
        <w:gridCol w:w="3560"/>
      </w:tblGrid>
      <w:tr>
        <w:trPr>
          <w:tblHeader w:val="true"/>
        </w:trPr>
        <w:tc>
          <w:tcPr>
            <w:tcW w:type="dxa" w:w="225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平台能力接口</w:t>
            </w:r>
          </w:p>
        </w:tc>
        <w:tc>
          <w:tcPr>
            <w:tcW w:type="dxa" w:w="355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虚拟电厂实现职责</w:t>
            </w:r>
          </w:p>
        </w:tc>
        <w:tc>
          <w:tcPr>
            <w:tcW w:type="dxa" w:w="356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验证内容</w:t>
            </w:r>
          </w:p>
        </w:tc>
      </w:tr>
      <w:tr>
        <w:tc>
          <w:tcPr>
            <w:tcW w:type="dxa" w:w="225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input_adapter</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生成区域能源输入包</w:t>
            </w:r>
          </w:p>
        </w:tc>
        <w:tc>
          <w:tcPr>
            <w:tcW w:type="dxa" w:w="35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业务数据可转换为通用场景请求</w:t>
            </w:r>
          </w:p>
        </w:tc>
      </w:tr>
      <w:tr>
        <w:tc>
          <w:tcPr>
            <w:tcW w:type="dxa" w:w="225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edge_inference</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判断区域峰值风险</w:t>
            </w:r>
          </w:p>
        </w:tc>
        <w:tc>
          <w:tcPr>
            <w:tcW w:type="dxa" w:w="35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边缘能力可按场景替换</w:t>
            </w:r>
          </w:p>
        </w:tc>
      </w:tr>
      <w:tr>
        <w:tc>
          <w:tcPr>
            <w:tcW w:type="dxa" w:w="225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cloud_diagnosis</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汇总负荷并生成削峰方案</w:t>
            </w:r>
          </w:p>
        </w:tc>
        <w:tc>
          <w:tcPr>
            <w:tcW w:type="dxa" w:w="35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云端能力可处理新的业务语义</w:t>
            </w:r>
          </w:p>
        </w:tc>
      </w:tr>
      <w:tr>
        <w:tc>
          <w:tcPr>
            <w:tcW w:type="dxa" w:w="225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consistency_policy</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比较局部与全局结论</w:t>
            </w:r>
          </w:p>
        </w:tc>
        <w:tc>
          <w:tcPr>
            <w:tcW w:type="dxa" w:w="35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通用一致性引擎可调用场景策略</w:t>
            </w:r>
          </w:p>
        </w:tc>
      </w:tr>
      <w:tr>
        <w:tc>
          <w:tcPr>
            <w:tcW w:type="dxa" w:w="225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arbitration_policy</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优先执行电网限制安全规则</w:t>
            </w:r>
          </w:p>
        </w:tc>
        <w:tc>
          <w:tcPr>
            <w:tcW w:type="dxa" w:w="35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通用仲裁引擎可解决能源决策冲突</w:t>
            </w:r>
          </w:p>
        </w:tc>
      </w:tr>
      <w:tr>
        <w:tc>
          <w:tcPr>
            <w:tcW w:type="dxa" w:w="225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storage_provider</w:t>
            </w:r>
          </w:p>
        </w:tc>
        <w:tc>
          <w:tcPr>
            <w:tcW w:type="dxa" w:w="35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注册削峰结果表</w:t>
            </w:r>
          </w:p>
        </w:tc>
        <w:tc>
          <w:tcPr>
            <w:tcW w:type="dxa" w:w="35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存储结构可由场景独立扩展</w:t>
            </w:r>
          </w:p>
        </w:tc>
      </w:tr>
    </w:tbl>
    <w:p>
      <w:pPr>
        <w:spacing w:after="40"/>
      </w:pPr>
    </w:p>
    <w:p>
      <w:pPr>
        <w:pStyle w:val="Heading2"/>
        <w:keepNext/>
        <w:keepLines/>
      </w:pPr>
      <w:r>
        <w:t>3.3  端到端验证流程</w:t>
      </w:r>
    </w:p>
    <w:p>
      <w:pPr>
        <w:pStyle w:val="ListNumber"/>
        <w:spacing w:after="120" w:line="280" w:lineRule="auto"/>
        <w:ind w:left="720" w:hanging="360"/>
      </w:pPr>
      <w:r>
        <w:rPr>
          <w:rFonts w:ascii="Calibri" w:hAnsi="Calibri" w:eastAsia="Microsoft YaHei"/>
          <w:color w:val="1F2937"/>
          <w:sz w:val="22"/>
        </w:rPr>
        <w:t>构建现有 ScenarioRegistry，并通过已有 plugins 参数显式注入 VirtualPowerPlantPlugin。</w:t>
      </w:r>
    </w:p>
    <w:p>
      <w:pPr>
        <w:pStyle w:val="ListNumber"/>
        <w:spacing w:after="120" w:line="280" w:lineRule="auto"/>
        <w:ind w:left="720" w:hanging="360"/>
      </w:pPr>
      <w:r>
        <w:rPr>
          <w:rFonts w:ascii="Calibri" w:hAnsi="Calibri" w:eastAsia="Microsoft YaHei"/>
          <w:color w:val="1F2937"/>
          <w:sz w:val="22"/>
        </w:rPr>
        <w:t>确认注册表同时包含 bearing 与 virtual_power_plant。</w:t>
      </w:r>
    </w:p>
    <w:p>
      <w:pPr>
        <w:pStyle w:val="ListNumber"/>
        <w:spacing w:after="120" w:line="280" w:lineRule="auto"/>
        <w:ind w:left="720" w:hanging="360"/>
      </w:pPr>
      <w:r>
        <w:rPr>
          <w:rFonts w:ascii="Calibri" w:hAnsi="Calibri" w:eastAsia="Microsoft YaHei"/>
          <w:color w:val="1F2937"/>
          <w:sz w:val="22"/>
        </w:rPr>
        <w:t>输入适配器生成区域A能源数据，通用注册表解析边缘能力并得到 within_limit。</w:t>
      </w:r>
    </w:p>
    <w:p>
      <w:pPr>
        <w:pStyle w:val="ListNumber"/>
        <w:spacing w:after="120" w:line="280" w:lineRule="auto"/>
        <w:ind w:left="720" w:hanging="360"/>
      </w:pPr>
      <w:r>
        <w:rPr>
          <w:rFonts w:ascii="Calibri" w:hAnsi="Calibri" w:eastAsia="Microsoft YaHei"/>
          <w:color w:val="1F2937"/>
          <w:sz w:val="22"/>
        </w:rPr>
        <w:t>云端能力汇总三个区域数据，识别全局 peak_risk 并计算 100 kW 削减方案。</w:t>
      </w:r>
    </w:p>
    <w:p>
      <w:pPr>
        <w:pStyle w:val="ListNumber"/>
        <w:spacing w:after="120" w:line="280" w:lineRule="auto"/>
        <w:ind w:left="720" w:hanging="360"/>
      </w:pPr>
      <w:r>
        <w:rPr>
          <w:rFonts w:ascii="Calibri" w:hAnsi="Calibri" w:eastAsia="Microsoft YaHei"/>
          <w:color w:val="1F2937"/>
          <w:sz w:val="22"/>
        </w:rPr>
        <w:t>将局部 within_limit 与全局 peak_risk 送入未修改的 ConsistencyEngine，识别 peak_state_mismatch。</w:t>
      </w:r>
    </w:p>
    <w:p>
      <w:pPr>
        <w:pStyle w:val="ListNumber"/>
        <w:spacing w:after="120" w:line="280" w:lineRule="auto"/>
        <w:ind w:left="720" w:hanging="360"/>
      </w:pPr>
      <w:r>
        <w:rPr>
          <w:rFonts w:ascii="Calibri" w:hAnsi="Calibri" w:eastAsia="Microsoft YaHei"/>
          <w:color w:val="1F2937"/>
          <w:sz w:val="22"/>
        </w:rPr>
        <w:t>未修改的 ArbitrationEngine 调用虚拟电厂安全规则，输出 dispatch_reduction。</w:t>
      </w:r>
    </w:p>
    <w:p>
      <w:pPr>
        <w:pStyle w:val="ListNumber"/>
        <w:spacing w:after="120" w:line="280" w:lineRule="auto"/>
        <w:ind w:left="720" w:hanging="360"/>
      </w:pPr>
      <w:r>
        <w:rPr>
          <w:rFonts w:ascii="Calibri" w:hAnsi="Calibri" w:eastAsia="Microsoft YaHei"/>
          <w:color w:val="1F2937"/>
          <w:sz w:val="22"/>
        </w:rPr>
        <w:t>通过既有数据库初始化入口连续两次注册虚拟电厂结果表，验证存储扩展幂等。</w:t>
      </w:r>
    </w:p>
    <w:p>
      <w:pPr>
        <w:pStyle w:val="Heading2"/>
        <w:keepNext/>
        <w:keepLines/>
      </w:pPr>
      <w:r>
        <w:t>3.4  默认启动隔离</w:t>
      </w:r>
    </w:p>
    <w:p>
      <w:pPr>
        <w:spacing w:before="0" w:after="120" w:line="264" w:lineRule="auto"/>
      </w:pPr>
      <w:r>
        <w:rPr>
          <w:rFonts w:ascii="Calibri" w:hAnsi="Calibri" w:eastAsia="Microsoft YaHei"/>
          <w:color w:val="1F2937"/>
          <w:sz w:val="22"/>
        </w:rPr>
        <w:t>最小验证采用显式插件注入，不改变默认生产注册表。默认启动仍只装配 bearing，因此不会影响现有Docker启动方式和轴承业务。该处理既验证了扩展入口，也避免在尚未建设完整能源服务链路时把原型误接入默认运行环境。</w:t>
      </w:r>
    </w:p>
    <w:p>
      <w:pPr>
        <w:pStyle w:val="Heading1"/>
        <w:keepNext/>
        <w:keepLines/>
      </w:pPr>
      <w:r>
        <w:t>4  验证内容与判定标准</w:t>
      </w:r>
    </w:p>
    <w:p>
      <w:pPr>
        <w:pStyle w:val="Heading2"/>
        <w:keepNext/>
        <w:keepLines/>
      </w:pPr>
      <w:r>
        <w:t>4.1  功能判定</w:t>
      </w:r>
    </w:p>
    <w:tbl>
      <w:tblPr>
        <w:tblStyle w:val="TableGrid"/>
        <w:jc w:val="left"/>
        <w:tblLook w:firstColumn="1" w:firstRow="1" w:lastColumn="0" w:lastRow="0" w:noHBand="0" w:noVBand="1" w:val="04A0"/>
        <w:tblW w:w="9360" w:type="dxa"/>
        <w:tblInd w:w="120" w:type="dxa"/>
        <w:tblLayout w:type="fixed"/>
      </w:tblPr>
      <w:tblGrid>
        <w:gridCol w:w="2300"/>
        <w:gridCol w:w="4760"/>
        <w:gridCol w:w="2300"/>
      </w:tblGrid>
      <w:tr>
        <w:trPr>
          <w:tblHeader w:val="true"/>
        </w:trPr>
        <w:tc>
          <w:tcPr>
            <w:tcW w:type="dxa" w:w="23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验证项</w:t>
            </w:r>
          </w:p>
        </w:tc>
        <w:tc>
          <w:tcPr>
            <w:tcW w:type="dxa" w:w="476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通过条件</w:t>
            </w:r>
          </w:p>
        </w:tc>
        <w:tc>
          <w:tcPr>
            <w:tcW w:type="dxa" w:w="23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实际结果</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双场景注册</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同时出现 bearing、virtual_power_plant</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削峰计算</w:t>
            </w:r>
          </w:p>
        </w:tc>
        <w:tc>
          <w:tcPr>
            <w:tcW w:type="dxa" w:w="47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1000 kW 降至 900 kW</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削减分配</w:t>
            </w:r>
          </w:p>
        </w:tc>
        <w:tc>
          <w:tcPr>
            <w:tcW w:type="dxa" w:w="47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区域B 80 kW、区域C 20 kW</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冲突检测</w:t>
            </w:r>
          </w:p>
        </w:tc>
        <w:tc>
          <w:tcPr>
            <w:tcW w:type="dxa" w:w="47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识别边缘与云端状态不一致</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冲突仲裁</w:t>
            </w:r>
          </w:p>
        </w:tc>
        <w:tc>
          <w:tcPr>
            <w:tcW w:type="dxa" w:w="476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输出 dispatch_reduction</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存储扩展</w:t>
            </w:r>
          </w:p>
        </w:tc>
        <w:tc>
          <w:tcPr>
            <w:tcW w:type="dxa" w:w="47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连续初始化两次不失败</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3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默认隔离</w:t>
            </w:r>
          </w:p>
        </w:tc>
        <w:tc>
          <w:tcPr>
            <w:tcW w:type="dxa" w:w="47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默认注册表仍仅包含 bearing</w:t>
            </w:r>
          </w:p>
        </w:tc>
        <w:tc>
          <w:tcPr>
            <w:tcW w:type="dxa" w:w="2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bl>
    <w:p>
      <w:pPr>
        <w:spacing w:after="40"/>
      </w:pPr>
    </w:p>
    <w:p>
      <w:pPr>
        <w:pStyle w:val="Heading2"/>
        <w:keepNext/>
        <w:keepLines/>
      </w:pPr>
      <w:r>
        <w:t>4.2  异常输入与安全校验</w:t>
      </w:r>
    </w:p>
    <w:p>
      <w:pPr>
        <w:spacing w:before="0" w:after="120" w:line="264" w:lineRule="auto"/>
      </w:pPr>
      <w:r>
        <w:rPr>
          <w:rFonts w:ascii="Calibri" w:hAnsi="Calibri" w:eastAsia="Microsoft YaHei"/>
          <w:color w:val="1F2937"/>
          <w:sz w:val="22"/>
        </w:rPr>
        <w:t>除主路径外，插件还明确拒绝缺失字段、负数、NaN、无穷值、可削减功率大于净负荷、重复区域标识以及未知仲裁状态或动作，避免错误数据产生看似成功但物理意义不成立的调度结果。</w:t>
      </w:r>
    </w:p>
    <w:p>
      <w:pPr>
        <w:pStyle w:val="Heading2"/>
        <w:keepNext/>
        <w:keepLines/>
      </w:pPr>
      <w:r>
        <w:t>4.3  架构解耦判定</w:t>
      </w:r>
    </w:p>
    <w:p>
      <w:pPr>
        <w:pStyle w:val="ListBullet"/>
        <w:spacing w:after="120" w:line="280" w:lineRule="auto"/>
        <w:ind w:left="720" w:hanging="360"/>
      </w:pPr>
      <w:r>
        <w:rPr>
          <w:rFonts w:ascii="Calibri" w:hAnsi="Calibri" w:eastAsia="Microsoft YaHei"/>
          <w:color w:val="1F2937"/>
          <w:sz w:val="22"/>
        </w:rPr>
        <w:t>虚拟电厂插件不得导入 scenarios.bearing 或 compatibility.bearing_v12。</w:t>
      </w:r>
    </w:p>
    <w:p>
      <w:pPr>
        <w:pStyle w:val="ListBullet"/>
        <w:spacing w:after="120" w:line="280" w:lineRule="auto"/>
        <w:ind w:left="720" w:hanging="360"/>
      </w:pPr>
      <w:r>
        <w:rPr>
          <w:rFonts w:ascii="Calibri" w:hAnsi="Calibri" w:eastAsia="Microsoft YaHei"/>
          <w:color w:val="1F2937"/>
          <w:sz w:val="22"/>
        </w:rPr>
        <w:t>core、bootstrap、scheduler、edge_service、cloud_service 和 bearing 代码不得出现虚拟电厂业务特例。</w:t>
      </w:r>
    </w:p>
    <w:p>
      <w:pPr>
        <w:pStyle w:val="ListBullet"/>
        <w:spacing w:after="120" w:line="280" w:lineRule="auto"/>
        <w:ind w:left="720" w:hanging="360"/>
      </w:pPr>
      <w:r>
        <w:rPr>
          <w:rFonts w:ascii="Calibri" w:hAnsi="Calibri" w:eastAsia="Microsoft YaHei"/>
          <w:color w:val="1F2937"/>
          <w:sz w:val="22"/>
        </w:rPr>
        <w:t>新增能力必须通过现有 ScenarioRegistry 和通用引擎调用。</w:t>
      </w:r>
    </w:p>
    <w:p>
      <w:pPr>
        <w:pStyle w:val="ListBullet"/>
        <w:spacing w:after="120" w:line="280" w:lineRule="auto"/>
        <w:ind w:left="720" w:hanging="360"/>
      </w:pPr>
      <w:r>
        <w:rPr>
          <w:rFonts w:ascii="Calibri" w:hAnsi="Calibri" w:eastAsia="Microsoft YaHei"/>
          <w:color w:val="1F2937"/>
          <w:sz w:val="22"/>
        </w:rPr>
        <w:t>默认场景装配和现有轴承测试必须保持通过。</w:t>
      </w:r>
    </w:p>
    <w:p>
      <w:pPr>
        <w:pStyle w:val="Heading1"/>
        <w:keepNext/>
        <w:keepLines/>
      </w:pPr>
      <w:r>
        <w:t>5  验证结果</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EAF6EE"/>
            <w:tcMar>
              <w:top w:w="80" w:type="dxa"/>
              <w:start w:w="120" w:type="dxa"/>
              <w:bottom w:w="80" w:type="dxa"/>
              <w:end w:w="120" w:type="dxa"/>
            </w:tcMar>
            <w:vAlign w:val="center"/>
          </w:tcPr>
          <w:p>
            <w:pPr>
              <w:spacing w:before="40" w:after="40" w:line="264" w:lineRule="auto"/>
            </w:pPr>
            <w:r>
              <w:rPr>
                <w:rFonts w:ascii="Calibri" w:hAnsi="Calibri" w:eastAsia="Microsoft YaHei"/>
                <w:b/>
                <w:color w:val="1B6B3A"/>
                <w:sz w:val="22"/>
              </w:rPr>
              <w:t>总体结果：</w:t>
            </w:r>
            <w:r>
              <w:rPr>
                <w:rFonts w:ascii="Calibri" w:hAnsi="Calibri" w:eastAsia="Microsoft YaHei"/>
                <w:color w:val="1F2937"/>
                <w:sz w:val="22"/>
              </w:rPr>
              <w:t>一键演示输出 PASS；17 项虚拟电厂聚焦测试全部通过；包含原有功能在内的 cloud_edge_project/tests 完整测试共 266 项全部通过；独立代码审查未发现 Critical 或 Important 问题。</w:t>
            </w:r>
          </w:p>
        </w:tc>
      </w:tr>
    </w:tbl>
    <w:p>
      <w:pPr>
        <w:spacing w:after="40"/>
      </w:pPr>
    </w:p>
    <w:p>
      <w:pPr>
        <w:pStyle w:val="Heading2"/>
        <w:keepNext/>
        <w:keepLines/>
      </w:pPr>
      <w:r>
        <w:t>5.1  一键演示关键输出</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F7F8FA"/>
            <w:tcMar>
              <w:top w:w="80" w:type="dxa"/>
              <w:start w:w="120" w:type="dxa"/>
              <w:bottom w:w="80" w:type="dxa"/>
              <w:end w:w="120" w:type="dxa"/>
            </w:tcMar>
            <w:vAlign w:val="center"/>
          </w:tcPr>
          <w:p>
            <w:pPr>
              <w:spacing w:before="40" w:after="40" w:line="240" w:lineRule="auto"/>
            </w:pPr>
            <w:r>
              <w:rPr>
                <w:rFonts w:ascii="Courier New" w:hAnsi="Courier New" w:eastAsia="Microsoft YaHei"/>
                <w:color w:val="344054"/>
                <w:sz w:val="18"/>
              </w:rPr>
              <w:t>"loaded_scenarios": ["bearing", "virtual_power_plant"]</w:t>
            </w:r>
            <w:r>
              <w:br/>
            </w:r>
            <w:r>
              <w:rPr>
                <w:rFonts w:ascii="Courier New" w:hAnsi="Courier New" w:eastAsia="Microsoft YaHei"/>
                <w:color w:val="344054"/>
                <w:sz w:val="18"/>
              </w:rPr>
              <w:t>"original_load_kw": 1000.0</w:t>
            </w:r>
            <w:r>
              <w:br/>
            </w:r>
            <w:r>
              <w:rPr>
                <w:rFonts w:ascii="Courier New" w:hAnsi="Courier New" w:eastAsia="Microsoft YaHei"/>
                <w:color w:val="344054"/>
                <w:sz w:val="18"/>
              </w:rPr>
              <w:t>"planned_reduction_kw": 100.0</w:t>
            </w:r>
            <w:r>
              <w:br/>
            </w:r>
            <w:r>
              <w:rPr>
                <w:rFonts w:ascii="Courier New" w:hAnsi="Courier New" w:eastAsia="Microsoft YaHei"/>
                <w:color w:val="344054"/>
                <w:sz w:val="18"/>
              </w:rPr>
              <w:t>"post_dispatch_load_kw": 900.0</w:t>
            </w:r>
            <w:r>
              <w:br/>
            </w:r>
            <w:r>
              <w:rPr>
                <w:rFonts w:ascii="Courier New" w:hAnsi="Courier New" w:eastAsia="Microsoft YaHei"/>
                <w:color w:val="344054"/>
                <w:sz w:val="18"/>
              </w:rPr>
              <w:t>"allocation_kw": {"region_b": 80.0, "region_c": 20.0}</w:t>
            </w:r>
            <w:r>
              <w:br/>
            </w:r>
            <w:r>
              <w:rPr>
                <w:rFonts w:ascii="Courier New" w:hAnsi="Courier New" w:eastAsia="Microsoft YaHei"/>
                <w:color w:val="344054"/>
                <w:sz w:val="18"/>
              </w:rPr>
              <w:t>"conflict_detected": true</w:t>
            </w:r>
            <w:r>
              <w:br/>
            </w:r>
            <w:r>
              <w:rPr>
                <w:rFonts w:ascii="Courier New" w:hAnsi="Courier New" w:eastAsia="Microsoft YaHei"/>
                <w:color w:val="344054"/>
                <w:sz w:val="18"/>
              </w:rPr>
              <w:t>"arbitration_action": "dispatch_reduction"</w:t>
            </w:r>
            <w:r>
              <w:br/>
            </w:r>
            <w:r>
              <w:rPr>
                <w:rFonts w:ascii="Courier New" w:hAnsi="Courier New" w:eastAsia="Microsoft YaHei"/>
                <w:color w:val="344054"/>
                <w:sz w:val="18"/>
              </w:rPr>
              <w:t>"storage_ready": true</w:t>
            </w:r>
            <w:r>
              <w:br/>
            </w:r>
            <w:r>
              <w:rPr>
                <w:rFonts w:ascii="Courier New" w:hAnsi="Courier New" w:eastAsia="Microsoft YaHei"/>
                <w:color w:val="344054"/>
                <w:sz w:val="18"/>
              </w:rPr>
              <w:t>"platform_core_changed_for_scenario": false</w:t>
            </w:r>
            <w:r>
              <w:br/>
            </w:r>
            <w:r>
              <w:rPr>
                <w:rFonts w:ascii="Courier New" w:hAnsi="Courier New" w:eastAsia="Microsoft YaHei"/>
                <w:color w:val="344054"/>
                <w:sz w:val="18"/>
              </w:rPr>
              <w:t>"result": "PASS"</w:t>
            </w:r>
          </w:p>
        </w:tc>
      </w:tr>
    </w:tbl>
    <w:p>
      <w:pPr>
        <w:spacing w:after="40"/>
      </w:pPr>
    </w:p>
    <w:p>
      <w:pPr>
        <w:pStyle w:val="Heading2"/>
        <w:keepNext/>
        <w:keepLines/>
      </w:pPr>
      <w:r>
        <w:t>5.2  自动测试结果</w:t>
      </w:r>
    </w:p>
    <w:tbl>
      <w:tblPr>
        <w:tblStyle w:val="TableGrid"/>
        <w:jc w:val="left"/>
        <w:tblLook w:firstColumn="1" w:firstRow="1" w:lastColumn="0" w:lastRow="0" w:noHBand="0" w:noVBand="1" w:val="04A0"/>
        <w:tblW w:w="9360" w:type="dxa"/>
        <w:tblInd w:w="120" w:type="dxa"/>
        <w:tblLayout w:type="fixed"/>
      </w:tblPr>
      <w:tblGrid>
        <w:gridCol w:w="2100"/>
        <w:gridCol w:w="5160"/>
        <w:gridCol w:w="2100"/>
      </w:tblGrid>
      <w:tr>
        <w:trPr>
          <w:tblHeader w:val="true"/>
        </w:trPr>
        <w:tc>
          <w:tcPr>
            <w:tcW w:type="dxa" w:w="21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测试层次</w:t>
            </w:r>
          </w:p>
        </w:tc>
        <w:tc>
          <w:tcPr>
            <w:tcW w:type="dxa" w:w="516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覆盖重点</w:t>
            </w:r>
          </w:p>
        </w:tc>
        <w:tc>
          <w:tcPr>
            <w:tcW w:type="dxa" w:w="210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结果</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契约测试</w:t>
            </w:r>
          </w:p>
        </w:tc>
        <w:tc>
          <w:tcPr>
            <w:tcW w:type="dxa" w:w="5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能力注册、输入格式、异常值、非法状态</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回归测试</w:t>
            </w:r>
          </w:p>
        </w:tc>
        <w:tc>
          <w:tcPr>
            <w:tcW w:type="dxa" w:w="5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削峰计算、分配、冲突仲裁、存储幂等</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架构测试</w:t>
            </w:r>
          </w:p>
        </w:tc>
        <w:tc>
          <w:tcPr>
            <w:tcW w:type="dxa" w:w="516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无轴承依赖、默认注册隔离、业务词汇不泄漏</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通过</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完整项目测试</w:t>
            </w:r>
          </w:p>
        </w:tc>
        <w:tc>
          <w:tcPr>
            <w:tcW w:type="dxa" w:w="5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原有项目功能与新增场景共同回归</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266 passed</w:t>
            </w:r>
          </w:p>
        </w:tc>
      </w:tr>
    </w:tbl>
    <w:p>
      <w:pPr>
        <w:spacing w:after="40"/>
      </w:pPr>
    </w:p>
    <w:p>
      <w:pPr>
        <w:pStyle w:val="Heading2"/>
        <w:keepNext/>
        <w:keepLines/>
      </w:pPr>
      <w:r>
        <w:t>5.3  代码检查点</w:t>
      </w:r>
    </w:p>
    <w:p>
      <w:pPr>
        <w:spacing w:before="0" w:after="120" w:line="264" w:lineRule="auto"/>
      </w:pPr>
      <w:r>
        <w:rPr>
          <w:rFonts w:ascii="Calibri" w:hAnsi="Calibri" w:eastAsia="Microsoft YaHei"/>
          <w:color w:val="1F2937"/>
          <w:sz w:val="22"/>
        </w:rPr>
        <w:t>本次验证已保存为本地Git检查点 58c47d2（feat: add minimal vpp portability validation）。该检查点仅包含虚拟电厂插件、演示脚本、测试和设计说明，未推送至GitHub主分支。</w:t>
      </w:r>
    </w:p>
    <w:p>
      <w:pPr>
        <w:pStyle w:val="Heading1"/>
        <w:keepNext/>
        <w:keepLines/>
      </w:pPr>
      <w:r>
        <w:t>6  对多场景适配与可扩展性的证明</w:t>
      </w:r>
    </w:p>
    <w:p>
      <w:pPr>
        <w:pStyle w:val="Heading2"/>
        <w:keepNext/>
        <w:keepLines/>
      </w:pPr>
      <w:r>
        <w:t>6.1  证明平台核心与业务能力分离</w:t>
      </w:r>
    </w:p>
    <w:p>
      <w:pPr>
        <w:spacing w:before="0" w:after="120" w:line="264" w:lineRule="auto"/>
      </w:pPr>
      <w:r>
        <w:rPr>
          <w:rFonts w:ascii="Calibri" w:hAnsi="Calibri" w:eastAsia="Microsoft YaHei"/>
          <w:color w:val="1F2937"/>
          <w:sz w:val="22"/>
        </w:rPr>
        <w:t>轴承场景处理设备状态分类，虚拟电厂场景处理能源聚合决策。两个场景的数据字段、状态集合、风险含义和最终动作均不同，但均通过相同的场景注册表和通用引擎运行。这说明业务差异被约束在插件内部，平台核心负责稳定的装配与编排。</w:t>
      </w:r>
    </w:p>
    <w:p>
      <w:pPr>
        <w:pStyle w:val="Heading2"/>
        <w:keepNext/>
        <w:keepLines/>
      </w:pPr>
      <w:r>
        <w:t>6.2  证明能力可以按需组合</w:t>
      </w:r>
    </w:p>
    <w:p>
      <w:pPr>
        <w:spacing w:before="0" w:after="120" w:line="264" w:lineRule="auto"/>
      </w:pPr>
      <w:r>
        <w:rPr>
          <w:rFonts w:ascii="Calibri" w:hAnsi="Calibri" w:eastAsia="Microsoft YaHei"/>
          <w:color w:val="1F2937"/>
          <w:sz w:val="22"/>
        </w:rPr>
        <w:t>场景清单明确声明所需能力，注册表根据 scenario_id 与 capability 解析对应提供者。虚拟电厂只实现本次验证需要的六项能力，没有被迫实现模型训练、全局分析页面等非必要模块，说明平台支持按场景选择能力，而不是依赖固定的轴承全流程。</w:t>
      </w:r>
    </w:p>
    <w:p>
      <w:pPr>
        <w:pStyle w:val="Heading2"/>
        <w:keepNext/>
        <w:keepLines/>
      </w:pPr>
      <w:r>
        <w:t>6.3  证明扩展不会破坏既有业务</w:t>
      </w:r>
    </w:p>
    <w:p>
      <w:pPr>
        <w:spacing w:before="0" w:after="120" w:line="264" w:lineRule="auto"/>
      </w:pPr>
      <w:r>
        <w:rPr>
          <w:rFonts w:ascii="Calibri" w:hAnsi="Calibri" w:eastAsia="Microsoft YaHei"/>
          <w:color w:val="1F2937"/>
          <w:sz w:val="22"/>
        </w:rPr>
        <w:t>第二场景通过显式注入参与验证，默认生产装配保持不变；完整项目测试仍全部通过。新增场景既可以被独立验证，也不会改变原有轴承系统的启动方式和行为，符合“稳定平台核心＋场景能力插件”的改造目标。</w:t>
      </w:r>
    </w:p>
    <w:p>
      <w:pPr>
        <w:pStyle w:val="Heading2"/>
        <w:keepNext/>
        <w:keepLines/>
      </w:pPr>
      <w:r>
        <w:t>6.4  后续扩展路径</w:t>
      </w:r>
    </w:p>
    <w:p>
      <w:pPr>
        <w:spacing w:before="0" w:after="120" w:line="264" w:lineRule="auto"/>
      </w:pPr>
      <w:r>
        <w:rPr>
          <w:rFonts w:ascii="Calibri" w:hAnsi="Calibri" w:eastAsia="Microsoft YaHei"/>
          <w:color w:val="1F2937"/>
          <w:sz w:val="22"/>
        </w:rPr>
        <w:t>若继续建设虚拟电厂正式场景，可保持当前插件标识和能力边界，逐步替换或增加以下内部实现，而无需重构平台核心：</w:t>
      </w:r>
    </w:p>
    <w:p>
      <w:pPr>
        <w:pStyle w:val="ListBullet"/>
        <w:spacing w:after="120" w:line="280" w:lineRule="auto"/>
        <w:ind w:left="720" w:hanging="360"/>
      </w:pPr>
      <w:r>
        <w:rPr>
          <w:rFonts w:ascii="Calibri" w:hAnsi="Calibri" w:eastAsia="Microsoft YaHei"/>
          <w:color w:val="1F2937"/>
          <w:sz w:val="22"/>
        </w:rPr>
        <w:t>将固定区域数据替换为CSV、消息队列或实时能源采集数据。</w:t>
      </w:r>
    </w:p>
    <w:p>
      <w:pPr>
        <w:pStyle w:val="ListBullet"/>
        <w:spacing w:after="120" w:line="280" w:lineRule="auto"/>
        <w:ind w:left="720" w:hanging="360"/>
      </w:pPr>
      <w:r>
        <w:rPr>
          <w:rFonts w:ascii="Calibri" w:hAnsi="Calibri" w:eastAsia="Microsoft YaHei"/>
          <w:color w:val="1F2937"/>
          <w:sz w:val="22"/>
        </w:rPr>
        <w:t>将确定性边缘判断替换为轻量负荷预测模型。</w:t>
      </w:r>
    </w:p>
    <w:p>
      <w:pPr>
        <w:pStyle w:val="ListBullet"/>
        <w:spacing w:after="120" w:line="280" w:lineRule="auto"/>
        <w:ind w:left="720" w:hanging="360"/>
      </w:pPr>
      <w:r>
        <w:rPr>
          <w:rFonts w:ascii="Calibri" w:hAnsi="Calibri" w:eastAsia="Microsoft YaHei"/>
          <w:color w:val="1F2937"/>
          <w:sz w:val="22"/>
        </w:rPr>
        <w:t>将简单分配规则替换为带储能SOC、电价和设备约束的优化算法。</w:t>
      </w:r>
    </w:p>
    <w:p>
      <w:pPr>
        <w:pStyle w:val="ListBullet"/>
        <w:spacing w:after="120" w:line="280" w:lineRule="auto"/>
        <w:ind w:left="720" w:hanging="360"/>
      </w:pPr>
      <w:r>
        <w:rPr>
          <w:rFonts w:ascii="Calibri" w:hAnsi="Calibri" w:eastAsia="Microsoft YaHei"/>
          <w:color w:val="1F2937"/>
          <w:sz w:val="22"/>
        </w:rPr>
        <w:t>按需增加全局分析、模型管理和前端可视化等可选能力。</w:t>
      </w:r>
    </w:p>
    <w:p>
      <w:pPr>
        <w:pStyle w:val="ListBullet"/>
        <w:spacing w:after="120" w:line="280" w:lineRule="auto"/>
        <w:ind w:left="720" w:hanging="360"/>
      </w:pPr>
      <w:r>
        <w:rPr>
          <w:rFonts w:ascii="Calibri" w:hAnsi="Calibri" w:eastAsia="Microsoft YaHei"/>
          <w:color w:val="1F2937"/>
          <w:sz w:val="22"/>
        </w:rPr>
        <w:t>在完成服务级接入后，再验证端到端时延、弱网保持率和多节点一致性指标。</w:t>
      </w:r>
    </w:p>
    <w:p>
      <w:pPr>
        <w:pStyle w:val="Heading1"/>
        <w:keepNext/>
        <w:keepLines/>
      </w:pPr>
      <w:r>
        <w:t>7  验证范围与限制</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EAF2F8"/>
            <w:tcMar>
              <w:top w:w="80" w:type="dxa"/>
              <w:start w:w="120" w:type="dxa"/>
              <w:bottom w:w="80" w:type="dxa"/>
              <w:end w:w="120" w:type="dxa"/>
            </w:tcMar>
            <w:vAlign w:val="center"/>
          </w:tcPr>
          <w:p>
            <w:pPr>
              <w:spacing w:before="40" w:after="40" w:line="264" w:lineRule="auto"/>
            </w:pPr>
            <w:r>
              <w:rPr>
                <w:rFonts w:ascii="Calibri" w:hAnsi="Calibri" w:eastAsia="Microsoft YaHei"/>
                <w:b/>
                <w:color w:val="1F4D78"/>
                <w:sz w:val="22"/>
              </w:rPr>
              <w:t>重要说明：</w:t>
            </w:r>
            <w:r>
              <w:rPr>
                <w:rFonts w:ascii="Calibri" w:hAnsi="Calibri" w:eastAsia="Microsoft YaHei"/>
                <w:color w:val="1F2937"/>
                <w:sz w:val="22"/>
              </w:rPr>
              <w:t>本次结果只能证明平台具备第二场景插件接入和通用能力复用基础，不能直接证明已完成生产级虚拟电厂建设，也不能代替赛题全部性能指标测试。</w:t>
            </w:r>
          </w:p>
        </w:tc>
      </w:tr>
    </w:tbl>
    <w:p>
      <w:pPr>
        <w:spacing w:after="40"/>
      </w:pPr>
    </w:p>
    <w:tbl>
      <w:tblPr>
        <w:tblStyle w:val="TableGrid"/>
        <w:jc w:val="left"/>
        <w:tblLook w:firstColumn="1" w:firstRow="1" w:lastColumn="0" w:lastRow="0" w:noHBand="0" w:noVBand="1" w:val="04A0"/>
        <w:tblW w:w="9360" w:type="dxa"/>
        <w:tblInd w:w="120" w:type="dxa"/>
        <w:tblLayout w:type="fixed"/>
      </w:tblPr>
      <w:tblGrid>
        <w:gridCol w:w="4680"/>
        <w:gridCol w:w="4680"/>
      </w:tblGrid>
      <w:tr>
        <w:trPr>
          <w:tblHeader w:val="true"/>
        </w:trPr>
        <w:tc>
          <w:tcPr>
            <w:tcW w:type="dxa" w:w="468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已验证</w:t>
            </w:r>
          </w:p>
        </w:tc>
        <w:tc>
          <w:tcPr>
            <w:tcW w:type="dxa" w:w="4680"/>
            <w:shd w:fill="F2F4F7"/>
            <w:tcMar>
              <w:top w:w="80" w:type="dxa"/>
              <w:start w:w="120" w:type="dxa"/>
              <w:bottom w:w="80" w:type="dxa"/>
              <w:end w:w="120" w:type="dxa"/>
            </w:tcMar>
            <w:vAlign w:val="center"/>
          </w:tcPr>
          <w:p>
            <w:pPr>
              <w:spacing w:before="0" w:after="0" w:line="240" w:lineRule="auto"/>
              <w:jc w:val="center"/>
            </w:pPr>
            <w:r>
              <w:rPr>
                <w:rFonts w:ascii="Calibri" w:hAnsi="Calibri" w:eastAsia="Microsoft YaHei"/>
                <w:b/>
                <w:color w:val="1F4D78"/>
                <w:sz w:val="19"/>
              </w:rPr>
              <w:t>尚未纳入本次验证</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双场景注册与能力解析</w:t>
            </w:r>
          </w:p>
        </w:tc>
        <w:tc>
          <w:tcPr>
            <w:tcW w:type="dxa" w:w="468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真实电网或储能硬件接入</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确定性边缘与云端决策链路</w:t>
            </w:r>
          </w:p>
        </w:tc>
        <w:tc>
          <w:tcPr>
            <w:tcW w:type="dxa" w:w="468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真实AI负荷预测模型及精度评估</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一致性检测和冲突仲裁</w:t>
            </w:r>
          </w:p>
        </w:tc>
        <w:tc>
          <w:tcPr>
            <w:tcW w:type="dxa" w:w="468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经济调度最优性与长期运行稳定性</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存储扩展及重复初始化</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MQTT/HTTP/Docker完整服务级第二场景部署</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color w:val="1F2937"/>
                <w:sz w:val="19"/>
              </w:rPr>
              <w:t>架构依赖隔离与完整项目回归</w:t>
            </w:r>
          </w:p>
        </w:tc>
        <w:tc>
          <w:tcPr>
            <w:tcW w:type="dxa" w:w="468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1F2937"/>
                <w:sz w:val="19"/>
              </w:rPr>
              <w:t>0.2秒时延、弱网保持率等赛题指标认证</w:t>
            </w:r>
          </w:p>
        </w:tc>
      </w:tr>
    </w:tbl>
    <w:p>
      <w:pPr>
        <w:spacing w:after="40"/>
      </w:pPr>
    </w:p>
    <w:p>
      <w:pPr>
        <w:pStyle w:val="Heading1"/>
        <w:keepNext/>
        <w:keepLines/>
      </w:pPr>
      <w:r>
        <w:t>8  复现方法</w:t>
      </w:r>
    </w:p>
    <w:p>
      <w:pPr>
        <w:spacing w:before="0" w:after="120" w:line="264" w:lineRule="auto"/>
      </w:pPr>
      <w:r>
        <w:rPr>
          <w:rFonts w:ascii="Calibri" w:hAnsi="Calibri" w:eastAsia="Microsoft YaHei"/>
          <w:color w:val="1F2937"/>
          <w:sz w:val="22"/>
        </w:rPr>
        <w:t>在项目根目录打开 PowerShell，执行以下命令：</w:t>
      </w:r>
    </w:p>
    <w:tbl>
      <w:tblPr>
        <w:tblStyle w:val="TableGrid"/>
        <w:jc w:val="left"/>
        <w:tblLook w:firstColumn="1" w:firstRow="1" w:lastColumn="0" w:lastRow="0" w:noHBand="0" w:noVBand="1" w:val="04A0"/>
        <w:tblW w:w="9360" w:type="dxa"/>
        <w:tblInd w:w="120" w:type="dxa"/>
        <w:tblLayout w:type="fixed"/>
      </w:tblPr>
      <w:tblGrid>
        <w:gridCol w:w="9360"/>
      </w:tblGrid>
      <w:tr>
        <w:tc>
          <w:tcPr>
            <w:tcW w:type="dxa" w:w="9360"/>
            <w:shd w:fill="F7F8FA"/>
            <w:tcMar>
              <w:top w:w="80" w:type="dxa"/>
              <w:start w:w="120" w:type="dxa"/>
              <w:bottom w:w="80" w:type="dxa"/>
              <w:end w:w="120" w:type="dxa"/>
            </w:tcMar>
            <w:vAlign w:val="center"/>
          </w:tcPr>
          <w:p>
            <w:pPr>
              <w:spacing w:before="40" w:after="40" w:line="240" w:lineRule="auto"/>
            </w:pPr>
            <w:r>
              <w:rPr>
                <w:rFonts w:ascii="Courier New" w:hAnsi="Courier New" w:eastAsia="Microsoft YaHei"/>
                <w:color w:val="344054"/>
                <w:sz w:val="18"/>
              </w:rPr>
              <w:t>cd D:\codex\edge_status_reporter</w:t>
            </w:r>
            <w:r>
              <w:br/>
            </w:r>
            <w:r>
              <w:rPr>
                <w:rFonts w:ascii="Courier New" w:hAnsi="Courier New" w:eastAsia="Microsoft YaHei"/>
                <w:color w:val="344054"/>
                <w:sz w:val="18"/>
              </w:rPr>
              <w:t>&amp; ".\.cache\stage0-py312\Scripts\python.exe" `</w:t>
            </w:r>
            <w:r>
              <w:br/>
            </w:r>
            <w:r>
              <w:rPr>
                <w:rFonts w:ascii="Courier New" w:hAnsi="Courier New" w:eastAsia="Microsoft YaHei"/>
                <w:color w:val="344054"/>
                <w:sz w:val="18"/>
              </w:rPr>
              <w:t xml:space="preserve">  ".\cloud_edge_project\scripts\demo_virtual_power_plant.py"</w:t>
            </w:r>
          </w:p>
        </w:tc>
      </w:tr>
    </w:tbl>
    <w:p>
      <w:pPr>
        <w:spacing w:after="40"/>
      </w:pPr>
    </w:p>
    <w:p>
      <w:pPr>
        <w:spacing w:before="0" w:after="120" w:line="264" w:lineRule="auto"/>
      </w:pPr>
      <w:r>
        <w:rPr>
          <w:rFonts w:ascii="Calibri" w:hAnsi="Calibri" w:eastAsia="Microsoft YaHei"/>
          <w:color w:val="1F2937"/>
          <w:sz w:val="22"/>
        </w:rPr>
        <w:t>当输出同时包含两个场景、削峰后负荷为 900.0、conflict_detected 为 true、arbitration_action 为 dispatch_reduction、storage_ready 为 true 且 result 为 PASS 时，即表明最小验证通过。</w:t>
      </w:r>
    </w:p>
    <w:p>
      <w:pPr>
        <w:pStyle w:val="Heading1"/>
        <w:keepNext/>
        <w:keepLines/>
      </w:pPr>
      <w:r>
        <w:t>9  结论</w:t>
      </w:r>
    </w:p>
    <w:p>
      <w:pPr>
        <w:spacing w:before="0" w:after="120" w:line="264" w:lineRule="auto"/>
      </w:pPr>
      <w:r>
        <w:rPr>
          <w:rFonts w:ascii="Calibri" w:hAnsi="Calibri" w:eastAsia="Microsoft YaHei"/>
          <w:color w:val="1F2937"/>
          <w:sz w:val="22"/>
        </w:rPr>
        <w:t>虚拟电厂第二场景已完成最小可迁移性验证。结果表明，不同业务域可以通过独立插件接入同一平台，并复用输入、边缘、云端、一致性、仲裁与存储能力，无需向平台核心或轴承代码写入业务特例，原有功能也未发生回退。因此，系统已经具备多场景适配和继续扩展的架构基础；后续只需在现有插件边界内补充真实模型、服务级链路和量化性能指标，无需重新改造平台结构。</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第 </w:t>
    </w:r>
    <w:fldSimple w:instr="PAGE"/>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7085"/>
        <w:sz w:val="18"/>
      </w:rPr>
      <w:t>云边协同多场景可迁移化验证  |  第二场景说明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虚拟电厂第二场景最小验证说明</dc:title>
  <dc:subject>云边协同系统多场景可迁移性验证</dc:subject>
  <dc:creator>云边协同项目组</dc:creator>
  <cp:keywords>云边协同;虚拟电厂;多场景;可迁移化;最小验证</cp:keywords>
  <dc:description>generated by python-docx</dc:description>
  <cp:lastModifiedBy/>
  <cp:revision>1</cp:revision>
  <dcterms:created xsi:type="dcterms:W3CDTF">2013-12-23T23:15:00Z</dcterms:created>
  <dcterms:modified xsi:type="dcterms:W3CDTF">2013-12-23T23:15:00Z</dcterms:modified>
  <cp:category/>
</cp:coreProperties>
</file>