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580" w:rsidRPr="00FA63B6" w:rsidRDefault="00FA63B6" w:rsidP="00FA63B6">
      <w:pPr>
        <w:spacing w:after="0" w:line="240" w:lineRule="auto"/>
        <w:jc w:val="both"/>
        <w:rPr>
          <w:rFonts w:ascii="Arial" w:hAnsi="Arial" w:cs="Arial"/>
        </w:rPr>
      </w:pPr>
      <w:r w:rsidRPr="00FA63B6">
        <w:rPr>
          <w:rFonts w:ascii="Arial" w:hAnsi="Arial" w:cs="Arial"/>
        </w:rPr>
        <w:t xml:space="preserve">Pagina Web sector </w:t>
      </w:r>
      <w:proofErr w:type="gramStart"/>
      <w:r w:rsidRPr="00FA63B6">
        <w:rPr>
          <w:rFonts w:ascii="Arial" w:hAnsi="Arial" w:cs="Arial"/>
        </w:rPr>
        <w:t>publico</w:t>
      </w:r>
      <w:proofErr w:type="gramEnd"/>
      <w:r w:rsidRPr="00FA63B6">
        <w:rPr>
          <w:rFonts w:ascii="Arial" w:hAnsi="Arial" w:cs="Arial"/>
        </w:rPr>
        <w:t xml:space="preserve">: </w:t>
      </w:r>
      <w:hyperlink r:id="rId5" w:anchor="normativas" w:history="1">
        <w:r w:rsidRPr="00FA63B6">
          <w:rPr>
            <w:rStyle w:val="Hipervnculo"/>
            <w:rFonts w:ascii="Arial" w:hAnsi="Arial" w:cs="Arial"/>
          </w:rPr>
          <w:t>http://www.oncop.gob.ve/site/vistas/principal/normativa_legal.php?op=%3CMA==/#normativas</w:t>
        </w:r>
      </w:hyperlink>
      <w:r w:rsidRPr="00FA63B6">
        <w:rPr>
          <w:rFonts w:ascii="Arial" w:hAnsi="Arial" w:cs="Arial"/>
        </w:rPr>
        <w:t xml:space="preserve"> </w:t>
      </w:r>
    </w:p>
    <w:p w:rsidR="00FA63B6" w:rsidRPr="00FA63B6" w:rsidRDefault="00FA63B6" w:rsidP="00FA63B6">
      <w:pPr>
        <w:spacing w:after="0" w:line="240" w:lineRule="auto"/>
        <w:jc w:val="both"/>
        <w:rPr>
          <w:rFonts w:ascii="Arial" w:hAnsi="Arial" w:cs="Arial"/>
        </w:rPr>
      </w:pPr>
      <w:r w:rsidRPr="00FA63B6">
        <w:rPr>
          <w:rFonts w:ascii="Arial" w:hAnsi="Arial" w:cs="Arial"/>
        </w:rPr>
        <w:t xml:space="preserve">- </w:t>
      </w:r>
      <w:hyperlink r:id="rId6" w:history="1">
        <w:r w:rsidRPr="00FA63B6">
          <w:rPr>
            <w:rStyle w:val="Hipervnculo"/>
            <w:rFonts w:ascii="Arial" w:hAnsi="Arial" w:cs="Arial"/>
          </w:rPr>
          <w:t>https://www.youtube.com/channel/UCLPRYTdlBxWFF5uWc82zzhg</w:t>
        </w:r>
      </w:hyperlink>
      <w:r w:rsidRPr="00FA63B6">
        <w:rPr>
          <w:rFonts w:ascii="Arial" w:hAnsi="Arial" w:cs="Arial"/>
        </w:rPr>
        <w:t xml:space="preserve"> </w:t>
      </w:r>
    </w:p>
    <w:p w:rsidR="00FA63B6" w:rsidRPr="00FA63B6" w:rsidRDefault="00FA63B6" w:rsidP="00FA63B6">
      <w:pPr>
        <w:spacing w:after="0" w:line="240" w:lineRule="auto"/>
        <w:jc w:val="both"/>
        <w:rPr>
          <w:rFonts w:ascii="Arial" w:hAnsi="Arial" w:cs="Arial"/>
        </w:rPr>
      </w:pPr>
    </w:p>
    <w:p w:rsidR="00FA63B6" w:rsidRPr="00FA63B6" w:rsidRDefault="00FA63B6" w:rsidP="00FA63B6">
      <w:pPr>
        <w:spacing w:after="0" w:line="240" w:lineRule="auto"/>
        <w:jc w:val="both"/>
        <w:rPr>
          <w:rFonts w:ascii="Arial" w:hAnsi="Arial" w:cs="Arial"/>
        </w:rPr>
      </w:pPr>
      <w:r w:rsidRPr="00FA63B6">
        <w:rPr>
          <w:rFonts w:ascii="Arial" w:hAnsi="Arial" w:cs="Arial"/>
        </w:rPr>
        <w:t>- La contabilidad digital en Venezuela</w:t>
      </w:r>
      <w:r w:rsidR="0038607E">
        <w:rPr>
          <w:rFonts w:ascii="Arial" w:hAnsi="Arial" w:cs="Arial"/>
        </w:rPr>
        <w:t xml:space="preserve"> (sector público)</w:t>
      </w:r>
      <w:r w:rsidRPr="00FA63B6">
        <w:rPr>
          <w:rFonts w:ascii="Arial" w:hAnsi="Arial" w:cs="Arial"/>
        </w:rPr>
        <w:t xml:space="preserve"> </w:t>
      </w:r>
    </w:p>
    <w:p w:rsidR="00FA63B6" w:rsidRPr="00FA63B6" w:rsidRDefault="00FA63B6" w:rsidP="00FA63B6">
      <w:pPr>
        <w:spacing w:after="0" w:line="240" w:lineRule="auto"/>
        <w:jc w:val="both"/>
        <w:rPr>
          <w:rFonts w:ascii="Arial" w:hAnsi="Arial" w:cs="Arial"/>
        </w:rPr>
      </w:pPr>
      <w:r w:rsidRPr="00FA63B6">
        <w:rPr>
          <w:rFonts w:ascii="Arial" w:hAnsi="Arial" w:cs="Arial"/>
        </w:rPr>
        <w:t>avanza impulsada por la necesidad de eficiencia y cumplimiento normativo, enfocándose en la facturación electrónica obligatoria para ciertos contribuyentes (</w:t>
      </w:r>
      <w:hyperlink r:id="rId7" w:history="1">
        <w:r w:rsidRPr="00FA63B6">
          <w:rPr>
            <w:rStyle w:val="Hipervnculo"/>
            <w:rFonts w:ascii="Arial" w:hAnsi="Arial" w:cs="Arial"/>
          </w:rPr>
          <w:t>SENIAT</w:t>
        </w:r>
      </w:hyperlink>
      <w:r w:rsidRPr="00FA63B6">
        <w:rPr>
          <w:rFonts w:ascii="Arial" w:hAnsi="Arial" w:cs="Arial"/>
        </w:rPr>
        <w:t xml:space="preserve">), la adopción de </w:t>
      </w:r>
      <w:proofErr w:type="spellStart"/>
      <w:r w:rsidRPr="00FA63B6">
        <w:rPr>
          <w:rFonts w:ascii="Arial" w:hAnsi="Arial" w:cs="Arial"/>
        </w:rPr>
        <w:t>softwares</w:t>
      </w:r>
      <w:proofErr w:type="spellEnd"/>
      <w:r w:rsidRPr="00FA63B6">
        <w:rPr>
          <w:rFonts w:ascii="Arial" w:hAnsi="Arial" w:cs="Arial"/>
        </w:rPr>
        <w:t xml:space="preserve"> especializados (</w:t>
      </w:r>
      <w:proofErr w:type="spellStart"/>
      <w:r w:rsidR="00ED7580" w:rsidRPr="00FA63B6">
        <w:rPr>
          <w:rFonts w:ascii="Arial" w:hAnsi="Arial" w:cs="Arial"/>
        </w:rPr>
        <w:fldChar w:fldCharType="begin"/>
      </w:r>
      <w:r w:rsidRPr="00FA63B6">
        <w:rPr>
          <w:rFonts w:ascii="Arial" w:hAnsi="Arial" w:cs="Arial"/>
        </w:rPr>
        <w:instrText xml:space="preserve"> HYPERLINK "https://www.google.com/search?q=Odoo&amp;sca_esv=f73d9469f7b455ed&amp;sxsrf=AE3TifNtJw9Shm3HxR6vLzAZL6Ejrl5Z3g%3A1766608141885&amp;source=hp&amp;ei=DU1MabrSMe-XwbkP8rvXyQQ&amp;iflsig=AOw8s4IAAAAAaUxbHVwDYG3tvswspi_xdtMUVL8rXtJO&amp;ved=2ahUKEwi7vJ-qiNeRAxWiSjABHcGWDzkQgK4QegQIARAD&amp;uact=5&amp;oq=contabilidad+digital+en+venezuela&amp;gs_lp=Egdnd3Mtd2l6IiFjb250YWJpbGlkYWQgZGlnaXRhbCBlbiB2ZW5lenVlbGEyBhAAGBYYHjIIEAAYgAQYogQyCBAAGIAEGKIEMggQABiABBiiBDIIEAAYgAQYogRIjKACUOQHWNOdAnAJeACQAQCYAdsGoAGBT6oBDjAuMjguMy4xLjQuMS40uAEDyAEA-AEBmAIyoALmW6gCCsICBxAjGCcY6gLCAgoQIxjwBRgnGOoCwgIKECMYgAQYJxiKBcICBBAjGCfCAggQABiABBixA8ICCxAAGIAEGLEDGIMBwgILEC4YgAQYsQMYgwHCAg4QLhiABBixAxjRAxjHAcICBRAAGIAEwgIOEAAYgAQYsQMYgwEYigXCAggQLhiABBixA8ICCxAuGIAEGNEDGMcBwgILEC4YgAQYxwEYrwHCAg4QLhiABBixAxiDARiKBcICBRAuGIAEwgIIEAAYFhgKGB7CAgUQABjvBcICCBAAGKIEGIkFmAOnAfEFUD2TivOzUY6SBw44LjI2LjYuMC41LjIuM6AHwZACsgcOMC4yNS42LjAuNS4yLjO4B8BYwgcNMi0zLjIzLjIwLjIuMsgHlwqACAA&amp;sclient=gws-wiz&amp;mstk=AUtExfCd-gg0nDrB35c00tlctZ2dlOajIdSCv_kVwwIwD5l7mHjYwkHuyUCEXt06aZdlN2XKObLp2ksReoDRODfJHz9zRiBXSXSp5Ndt9LfIdyg4UIh2_pWVs5MyErlAOrZd3GQj7N6sbyRMQ3xpoK7i4MjtGDOkiq6RM_b9kgFxp1jU0L4&amp;csui=3" </w:instrText>
      </w:r>
      <w:r w:rsidR="00ED7580" w:rsidRPr="00FA63B6">
        <w:rPr>
          <w:rFonts w:ascii="Arial" w:hAnsi="Arial" w:cs="Arial"/>
        </w:rPr>
        <w:fldChar w:fldCharType="separate"/>
      </w:r>
      <w:r w:rsidRPr="00FA63B6">
        <w:rPr>
          <w:rStyle w:val="Hipervnculo"/>
          <w:rFonts w:ascii="Arial" w:hAnsi="Arial" w:cs="Arial"/>
        </w:rPr>
        <w:t>Odoo</w:t>
      </w:r>
      <w:proofErr w:type="spellEnd"/>
      <w:r w:rsidR="00ED7580" w:rsidRPr="00FA63B6">
        <w:rPr>
          <w:rFonts w:ascii="Arial" w:hAnsi="Arial" w:cs="Arial"/>
        </w:rPr>
        <w:fldChar w:fldCharType="end"/>
      </w:r>
      <w:r w:rsidRPr="00FA63B6">
        <w:rPr>
          <w:rFonts w:ascii="Arial" w:hAnsi="Arial" w:cs="Arial"/>
        </w:rPr>
        <w:t xml:space="preserve">, </w:t>
      </w:r>
      <w:hyperlink r:id="rId8" w:history="1">
        <w:proofErr w:type="spellStart"/>
        <w:r w:rsidRPr="00FA63B6">
          <w:rPr>
            <w:rStyle w:val="Hipervnculo"/>
            <w:rFonts w:ascii="Arial" w:hAnsi="Arial" w:cs="Arial"/>
          </w:rPr>
          <w:t>Zoho</w:t>
        </w:r>
        <w:proofErr w:type="spellEnd"/>
      </w:hyperlink>
      <w:r w:rsidRPr="00FA63B6">
        <w:rPr>
          <w:rFonts w:ascii="Arial" w:hAnsi="Arial" w:cs="Arial"/>
        </w:rPr>
        <w:t xml:space="preserve">, </w:t>
      </w:r>
      <w:hyperlink r:id="rId9" w:history="1">
        <w:r w:rsidRPr="00FA63B6">
          <w:rPr>
            <w:rStyle w:val="Hipervnculo"/>
            <w:rFonts w:ascii="Arial" w:hAnsi="Arial" w:cs="Arial"/>
          </w:rPr>
          <w:t>K2B</w:t>
        </w:r>
      </w:hyperlink>
      <w:r w:rsidRPr="00FA63B6">
        <w:rPr>
          <w:rFonts w:ascii="Arial" w:hAnsi="Arial" w:cs="Arial"/>
        </w:rPr>
        <w:t>), y la digitalización de procesos internos mediante sistemas en la nube, todo bajo un marco regulatorio que busca modernizar la gestión financiera pública (</w:t>
      </w:r>
      <w:hyperlink r:id="rId10" w:history="1">
        <w:r w:rsidRPr="00FA63B6">
          <w:rPr>
            <w:rStyle w:val="Hipervnculo"/>
            <w:rFonts w:ascii="Arial" w:hAnsi="Arial" w:cs="Arial"/>
          </w:rPr>
          <w:t>ONCOP</w:t>
        </w:r>
      </w:hyperlink>
      <w:r w:rsidRPr="00FA63B6">
        <w:rPr>
          <w:rFonts w:ascii="Arial" w:hAnsi="Arial" w:cs="Arial"/>
        </w:rPr>
        <w:t>) y privada, transformando el rol del contador hacia la tecnología y análisis de datos.</w:t>
      </w:r>
      <w:r w:rsidRPr="00FA63B6">
        <w:rPr>
          <w:rStyle w:val="vkekvd"/>
          <w:rFonts w:ascii="Arial" w:hAnsi="Arial" w:cs="Arial"/>
        </w:rPr>
        <w:t> </w:t>
      </w:r>
    </w:p>
    <w:p w:rsidR="00790895" w:rsidRDefault="00790895" w:rsidP="00FA63B6">
      <w:pPr>
        <w:spacing w:after="0" w:line="240" w:lineRule="auto"/>
        <w:jc w:val="both"/>
        <w:rPr>
          <w:rFonts w:ascii="Arial" w:hAnsi="Arial" w:cs="Arial"/>
        </w:rPr>
      </w:pPr>
    </w:p>
    <w:p w:rsidR="00FA63B6" w:rsidRPr="00FA63B6" w:rsidRDefault="00790895" w:rsidP="00FA63B6">
      <w:pPr>
        <w:spacing w:after="0" w:line="240" w:lineRule="auto"/>
        <w:jc w:val="both"/>
        <w:rPr>
          <w:rFonts w:ascii="Arial" w:hAnsi="Arial" w:cs="Arial"/>
        </w:rPr>
      </w:pPr>
      <w:r>
        <w:rPr>
          <w:rFonts w:ascii="Arial" w:hAnsi="Arial" w:cs="Arial"/>
        </w:rPr>
        <w:t xml:space="preserve">- </w:t>
      </w:r>
      <w:r w:rsidR="00FA63B6" w:rsidRPr="00FA63B6">
        <w:rPr>
          <w:rFonts w:ascii="Arial" w:hAnsi="Arial" w:cs="Arial"/>
        </w:rPr>
        <w:t>Marco Regulatorio y Cumplimiento</w:t>
      </w:r>
    </w:p>
    <w:p w:rsidR="00FA63B6" w:rsidRPr="00FA63B6" w:rsidRDefault="00FA63B6" w:rsidP="00FA63B6">
      <w:pPr>
        <w:numPr>
          <w:ilvl w:val="0"/>
          <w:numId w:val="1"/>
        </w:numPr>
        <w:spacing w:before="100" w:beforeAutospacing="1" w:after="0" w:line="240" w:lineRule="auto"/>
        <w:jc w:val="both"/>
        <w:rPr>
          <w:rFonts w:ascii="Arial" w:hAnsi="Arial" w:cs="Arial"/>
        </w:rPr>
      </w:pPr>
      <w:r w:rsidRPr="00FA63B6">
        <w:rPr>
          <w:rStyle w:val="Textoennegrita"/>
          <w:rFonts w:ascii="Arial" w:hAnsi="Arial" w:cs="Arial"/>
        </w:rPr>
        <w:t>Facturación Electrónica:</w:t>
      </w:r>
      <w:r w:rsidRPr="00FA63B6">
        <w:rPr>
          <w:rStyle w:val="t286pc"/>
          <w:rFonts w:ascii="Arial" w:hAnsi="Arial" w:cs="Arial"/>
        </w:rPr>
        <w:t xml:space="preserve"> El SENIAT exige el uso de sistemas de facturación autorizados, con listados públicos de software validados, obligando a operaciones electrónicas o mixtas a adoptar estas herramientas.</w:t>
      </w:r>
    </w:p>
    <w:p w:rsidR="00FA63B6" w:rsidRPr="00FA63B6" w:rsidRDefault="00FA63B6" w:rsidP="00FA63B6">
      <w:pPr>
        <w:numPr>
          <w:ilvl w:val="0"/>
          <w:numId w:val="1"/>
        </w:numPr>
        <w:spacing w:before="100" w:beforeAutospacing="1" w:after="0" w:line="240" w:lineRule="auto"/>
        <w:jc w:val="both"/>
        <w:rPr>
          <w:rFonts w:ascii="Arial" w:hAnsi="Arial" w:cs="Arial"/>
        </w:rPr>
      </w:pPr>
      <w:r w:rsidRPr="00FA63B6">
        <w:rPr>
          <w:rStyle w:val="Textoennegrita"/>
          <w:rFonts w:ascii="Arial" w:hAnsi="Arial" w:cs="Arial"/>
        </w:rPr>
        <w:t>Plan de Cuentas (ONCOP):</w:t>
      </w:r>
      <w:r w:rsidRPr="00FA63B6">
        <w:rPr>
          <w:rStyle w:val="t286pc"/>
          <w:rFonts w:ascii="Arial" w:hAnsi="Arial" w:cs="Arial"/>
        </w:rPr>
        <w:t xml:space="preserve"> La Oficina Nacional de Contabilidad Pública (ONCOP) establece el marco para la contabilidad pública, ofreciendo herramientas y un plan de cuentas patrimoniales digitalizado para la administración nacional.</w:t>
      </w:r>
    </w:p>
    <w:p w:rsidR="00FA63B6" w:rsidRPr="00FA63B6" w:rsidRDefault="00FA63B6" w:rsidP="00FA63B6">
      <w:pPr>
        <w:numPr>
          <w:ilvl w:val="0"/>
          <w:numId w:val="1"/>
        </w:numPr>
        <w:spacing w:before="100" w:beforeAutospacing="1" w:after="0" w:line="240" w:lineRule="auto"/>
        <w:jc w:val="both"/>
        <w:rPr>
          <w:rFonts w:ascii="Arial" w:hAnsi="Arial" w:cs="Arial"/>
        </w:rPr>
      </w:pPr>
      <w:r w:rsidRPr="00FA63B6">
        <w:rPr>
          <w:rStyle w:val="Textoennegrita"/>
          <w:rFonts w:ascii="Arial" w:hAnsi="Arial" w:cs="Arial"/>
        </w:rPr>
        <w:t>SIGECOF:</w:t>
      </w:r>
      <w:r w:rsidRPr="00FA63B6">
        <w:rPr>
          <w:rStyle w:val="t286pc"/>
          <w:rFonts w:ascii="Arial" w:hAnsi="Arial" w:cs="Arial"/>
        </w:rPr>
        <w:t xml:space="preserve"> El Sistema Integrado de Gestión y Control de las Finanzas Públicas (SIGECOF) es la herramienta electrónica que soporta la contabilidad de los organismos del Poder Nacional.</w:t>
      </w:r>
      <w:r w:rsidRPr="00FA63B6">
        <w:rPr>
          <w:rStyle w:val="vkekvd"/>
          <w:rFonts w:ascii="Arial" w:hAnsi="Arial" w:cs="Arial"/>
        </w:rPr>
        <w:t> </w:t>
      </w:r>
    </w:p>
    <w:p w:rsidR="00FA63B6" w:rsidRPr="00FA63B6" w:rsidRDefault="00FA63B6" w:rsidP="00FA63B6">
      <w:pPr>
        <w:spacing w:before="100" w:beforeAutospacing="1" w:after="0" w:line="240" w:lineRule="auto"/>
        <w:ind w:left="360"/>
        <w:jc w:val="both"/>
        <w:rPr>
          <w:rFonts w:ascii="Arial" w:hAnsi="Arial" w:cs="Arial"/>
        </w:rPr>
      </w:pPr>
      <w:r w:rsidRPr="00FA63B6">
        <w:rPr>
          <w:rFonts w:ascii="Arial" w:hAnsi="Arial" w:cs="Arial"/>
        </w:rPr>
        <w:t>- Herramientas y Soluciones</w:t>
      </w:r>
    </w:p>
    <w:p w:rsidR="00FA63B6" w:rsidRPr="00FA63B6" w:rsidRDefault="00FA63B6" w:rsidP="00FA63B6">
      <w:pPr>
        <w:numPr>
          <w:ilvl w:val="0"/>
          <w:numId w:val="3"/>
        </w:numPr>
        <w:spacing w:before="100" w:beforeAutospacing="1" w:after="0" w:line="240" w:lineRule="auto"/>
        <w:jc w:val="both"/>
        <w:rPr>
          <w:rFonts w:ascii="Arial" w:hAnsi="Arial" w:cs="Arial"/>
        </w:rPr>
      </w:pPr>
      <w:r w:rsidRPr="00FA63B6">
        <w:rPr>
          <w:rStyle w:val="Textoennegrita"/>
          <w:rFonts w:ascii="Arial" w:hAnsi="Arial" w:cs="Arial"/>
        </w:rPr>
        <w:t>Software Contable:</w:t>
      </w:r>
      <w:r w:rsidRPr="00FA63B6">
        <w:rPr>
          <w:rStyle w:val="t286pc"/>
          <w:rFonts w:ascii="Arial" w:hAnsi="Arial" w:cs="Arial"/>
        </w:rPr>
        <w:t xml:space="preserve"> Existen diversas soluciones en el mercado venezolano (K2B, </w:t>
      </w:r>
      <w:proofErr w:type="spellStart"/>
      <w:r w:rsidRPr="00FA63B6">
        <w:rPr>
          <w:rStyle w:val="t286pc"/>
          <w:rFonts w:ascii="Arial" w:hAnsi="Arial" w:cs="Arial"/>
        </w:rPr>
        <w:t>Sievensoft</w:t>
      </w:r>
      <w:proofErr w:type="spellEnd"/>
      <w:r w:rsidRPr="00FA63B6">
        <w:rPr>
          <w:rStyle w:val="t286pc"/>
          <w:rFonts w:ascii="Arial" w:hAnsi="Arial" w:cs="Arial"/>
        </w:rPr>
        <w:t xml:space="preserve">, </w:t>
      </w:r>
      <w:proofErr w:type="spellStart"/>
      <w:r w:rsidRPr="00FA63B6">
        <w:rPr>
          <w:rStyle w:val="t286pc"/>
          <w:rFonts w:ascii="Arial" w:hAnsi="Arial" w:cs="Arial"/>
        </w:rPr>
        <w:t>Softland</w:t>
      </w:r>
      <w:proofErr w:type="spellEnd"/>
      <w:r w:rsidRPr="00FA63B6">
        <w:rPr>
          <w:rStyle w:val="t286pc"/>
          <w:rFonts w:ascii="Arial" w:hAnsi="Arial" w:cs="Arial"/>
        </w:rPr>
        <w:t xml:space="preserve">, </w:t>
      </w:r>
      <w:proofErr w:type="spellStart"/>
      <w:r w:rsidRPr="00FA63B6">
        <w:rPr>
          <w:rStyle w:val="t286pc"/>
          <w:rFonts w:ascii="Arial" w:hAnsi="Arial" w:cs="Arial"/>
        </w:rPr>
        <w:t>Odoo</w:t>
      </w:r>
      <w:proofErr w:type="spellEnd"/>
      <w:r w:rsidRPr="00FA63B6">
        <w:rPr>
          <w:rStyle w:val="t286pc"/>
          <w:rFonts w:ascii="Arial" w:hAnsi="Arial" w:cs="Arial"/>
        </w:rPr>
        <w:t xml:space="preserve">, </w:t>
      </w:r>
      <w:proofErr w:type="spellStart"/>
      <w:r w:rsidRPr="00FA63B6">
        <w:rPr>
          <w:rStyle w:val="t286pc"/>
          <w:rFonts w:ascii="Arial" w:hAnsi="Arial" w:cs="Arial"/>
        </w:rPr>
        <w:t>Zoho</w:t>
      </w:r>
      <w:proofErr w:type="spellEnd"/>
      <w:r w:rsidRPr="00FA63B6">
        <w:rPr>
          <w:rStyle w:val="t286pc"/>
          <w:rFonts w:ascii="Arial" w:hAnsi="Arial" w:cs="Arial"/>
        </w:rPr>
        <w:t xml:space="preserve"> </w:t>
      </w:r>
      <w:proofErr w:type="spellStart"/>
      <w:r w:rsidRPr="00FA63B6">
        <w:rPr>
          <w:rStyle w:val="t286pc"/>
          <w:rFonts w:ascii="Arial" w:hAnsi="Arial" w:cs="Arial"/>
        </w:rPr>
        <w:t>Books</w:t>
      </w:r>
      <w:proofErr w:type="spellEnd"/>
      <w:r w:rsidRPr="00FA63B6">
        <w:rPr>
          <w:rStyle w:val="t286pc"/>
          <w:rFonts w:ascii="Arial" w:hAnsi="Arial" w:cs="Arial"/>
        </w:rPr>
        <w:t>) que permiten automatizar la creación de facturas, gestionar impuestos, realizar pagos masivos y llevar el control financiero.</w:t>
      </w:r>
    </w:p>
    <w:p w:rsidR="00FA63B6" w:rsidRPr="00FA63B6" w:rsidRDefault="00FA63B6" w:rsidP="00FA63B6">
      <w:pPr>
        <w:numPr>
          <w:ilvl w:val="0"/>
          <w:numId w:val="3"/>
        </w:numPr>
        <w:spacing w:before="100" w:beforeAutospacing="1" w:after="0" w:line="240" w:lineRule="auto"/>
        <w:jc w:val="both"/>
        <w:rPr>
          <w:rFonts w:ascii="Arial" w:hAnsi="Arial" w:cs="Arial"/>
        </w:rPr>
      </w:pPr>
      <w:r w:rsidRPr="00FA63B6">
        <w:rPr>
          <w:rStyle w:val="Textoennegrita"/>
          <w:rFonts w:ascii="Arial" w:hAnsi="Arial" w:cs="Arial"/>
        </w:rPr>
        <w:t>Sistemas en la Nube:</w:t>
      </w:r>
      <w:r w:rsidRPr="00FA63B6">
        <w:rPr>
          <w:rStyle w:val="t286pc"/>
          <w:rFonts w:ascii="Arial" w:hAnsi="Arial" w:cs="Arial"/>
        </w:rPr>
        <w:t xml:space="preserve"> Permiten el registro y análisis financiero desde cualquier lugar, optimizando la gestión y facilitando la integración con otras áreas.</w:t>
      </w:r>
      <w:r w:rsidRPr="00FA63B6">
        <w:rPr>
          <w:rStyle w:val="vkekvd"/>
          <w:rFonts w:ascii="Arial" w:hAnsi="Arial" w:cs="Arial"/>
        </w:rPr>
        <w:t> </w:t>
      </w:r>
    </w:p>
    <w:p w:rsidR="00FA63B6" w:rsidRPr="00FA63B6" w:rsidRDefault="00FA63B6" w:rsidP="00FA63B6">
      <w:pPr>
        <w:spacing w:before="100" w:beforeAutospacing="1" w:after="0" w:line="240" w:lineRule="auto"/>
        <w:ind w:left="360"/>
        <w:jc w:val="both"/>
        <w:rPr>
          <w:rFonts w:ascii="Arial" w:hAnsi="Arial" w:cs="Arial"/>
        </w:rPr>
      </w:pPr>
      <w:r w:rsidRPr="00FA63B6">
        <w:rPr>
          <w:rFonts w:ascii="Arial" w:hAnsi="Arial" w:cs="Arial"/>
        </w:rPr>
        <w:t>- Implicaciones y Beneficios</w:t>
      </w:r>
    </w:p>
    <w:p w:rsidR="00FA63B6" w:rsidRPr="00FA63B6" w:rsidRDefault="00FA63B6" w:rsidP="00FA63B6">
      <w:pPr>
        <w:numPr>
          <w:ilvl w:val="0"/>
          <w:numId w:val="5"/>
        </w:numPr>
        <w:spacing w:before="100" w:beforeAutospacing="1" w:after="0" w:line="240" w:lineRule="auto"/>
        <w:jc w:val="both"/>
        <w:rPr>
          <w:rFonts w:ascii="Arial" w:hAnsi="Arial" w:cs="Arial"/>
        </w:rPr>
      </w:pPr>
      <w:r w:rsidRPr="00FA63B6">
        <w:rPr>
          <w:rStyle w:val="Textoennegrita"/>
          <w:rFonts w:ascii="Arial" w:hAnsi="Arial" w:cs="Arial"/>
        </w:rPr>
        <w:t>Eficiencia y Precisión:</w:t>
      </w:r>
      <w:r w:rsidRPr="00FA63B6">
        <w:rPr>
          <w:rStyle w:val="t286pc"/>
          <w:rFonts w:ascii="Arial" w:hAnsi="Arial" w:cs="Arial"/>
        </w:rPr>
        <w:t xml:space="preserve"> Digitalizar procesos reduce errores manuales y agiliza la gestión financiera.</w:t>
      </w:r>
    </w:p>
    <w:p w:rsidR="00FA63B6" w:rsidRPr="00FA63B6" w:rsidRDefault="00FA63B6" w:rsidP="00FA63B6">
      <w:pPr>
        <w:numPr>
          <w:ilvl w:val="0"/>
          <w:numId w:val="5"/>
        </w:numPr>
        <w:spacing w:before="100" w:beforeAutospacing="1" w:after="0" w:line="240" w:lineRule="auto"/>
        <w:jc w:val="both"/>
        <w:rPr>
          <w:rFonts w:ascii="Arial" w:hAnsi="Arial" w:cs="Arial"/>
        </w:rPr>
      </w:pPr>
      <w:r w:rsidRPr="00FA63B6">
        <w:rPr>
          <w:rStyle w:val="Textoennegrita"/>
          <w:rFonts w:ascii="Arial" w:hAnsi="Arial" w:cs="Arial"/>
        </w:rPr>
        <w:t>Análisis de Datos:</w:t>
      </w:r>
      <w:r w:rsidRPr="00FA63B6">
        <w:rPr>
          <w:rStyle w:val="t286pc"/>
          <w:rFonts w:ascii="Arial" w:hAnsi="Arial" w:cs="Arial"/>
        </w:rPr>
        <w:t xml:space="preserve"> Permite obtener una visión integral de la situación financiera, identificar tendencias y tomar decisiones estratégicas.</w:t>
      </w:r>
    </w:p>
    <w:p w:rsidR="00FA63B6" w:rsidRPr="00FA63B6" w:rsidRDefault="00FA63B6" w:rsidP="00FA63B6">
      <w:pPr>
        <w:numPr>
          <w:ilvl w:val="0"/>
          <w:numId w:val="5"/>
        </w:numPr>
        <w:spacing w:before="100" w:beforeAutospacing="1" w:after="0" w:line="240" w:lineRule="auto"/>
        <w:jc w:val="both"/>
        <w:rPr>
          <w:rFonts w:ascii="Arial" w:hAnsi="Arial" w:cs="Arial"/>
        </w:rPr>
      </w:pPr>
      <w:r w:rsidRPr="00FA63B6">
        <w:rPr>
          <w:rStyle w:val="Textoennegrita"/>
          <w:rFonts w:ascii="Arial" w:hAnsi="Arial" w:cs="Arial"/>
        </w:rPr>
        <w:t>Transformación Profesional:</w:t>
      </w:r>
      <w:r w:rsidRPr="00FA63B6">
        <w:rPr>
          <w:rStyle w:val="t286pc"/>
          <w:rFonts w:ascii="Arial" w:hAnsi="Arial" w:cs="Arial"/>
        </w:rPr>
        <w:t xml:space="preserve"> Los contadores deben adaptarse, dominando no solo técnicas contables, sino también herramientas tecnológicas, análisis de datos, </w:t>
      </w:r>
      <w:proofErr w:type="spellStart"/>
      <w:r w:rsidRPr="00FA63B6">
        <w:rPr>
          <w:rStyle w:val="t286pc"/>
          <w:rFonts w:ascii="Arial" w:hAnsi="Arial" w:cs="Arial"/>
        </w:rPr>
        <w:t>big</w:t>
      </w:r>
      <w:proofErr w:type="spellEnd"/>
      <w:r w:rsidRPr="00FA63B6">
        <w:rPr>
          <w:rStyle w:val="t286pc"/>
          <w:rFonts w:ascii="Arial" w:hAnsi="Arial" w:cs="Arial"/>
        </w:rPr>
        <w:t xml:space="preserve"> data e inteligencia artificial para nuevos roles.</w:t>
      </w:r>
      <w:r w:rsidRPr="00FA63B6">
        <w:rPr>
          <w:rStyle w:val="vkekvd"/>
          <w:rFonts w:ascii="Arial" w:hAnsi="Arial" w:cs="Arial"/>
        </w:rPr>
        <w:t> </w:t>
      </w:r>
    </w:p>
    <w:p w:rsidR="00FA63B6" w:rsidRDefault="00FA63B6" w:rsidP="00FA63B6">
      <w:pPr>
        <w:spacing w:before="100" w:beforeAutospacing="1" w:after="0" w:line="240" w:lineRule="auto"/>
        <w:ind w:left="360"/>
        <w:jc w:val="both"/>
        <w:rPr>
          <w:rFonts w:ascii="Arial" w:hAnsi="Arial" w:cs="Arial"/>
        </w:rPr>
      </w:pPr>
      <w:r w:rsidRPr="00FA63B6">
        <w:rPr>
          <w:rFonts w:ascii="Arial" w:hAnsi="Arial" w:cs="Arial"/>
        </w:rPr>
        <w:t>- En Resumen</w:t>
      </w:r>
    </w:p>
    <w:p w:rsidR="00790895" w:rsidRPr="00FA63B6" w:rsidRDefault="00790895" w:rsidP="00FA63B6">
      <w:pPr>
        <w:spacing w:before="100" w:beforeAutospacing="1" w:after="0" w:line="240" w:lineRule="auto"/>
        <w:ind w:left="360"/>
        <w:jc w:val="both"/>
        <w:rPr>
          <w:rFonts w:ascii="Arial" w:hAnsi="Arial" w:cs="Arial"/>
        </w:rPr>
      </w:pPr>
    </w:p>
    <w:p w:rsidR="00FA63B6" w:rsidRDefault="00FA63B6" w:rsidP="00FA63B6">
      <w:pPr>
        <w:spacing w:after="0" w:line="240" w:lineRule="auto"/>
        <w:jc w:val="both"/>
        <w:rPr>
          <w:rFonts w:ascii="Arial" w:hAnsi="Arial" w:cs="Arial"/>
        </w:rPr>
      </w:pPr>
      <w:r w:rsidRPr="00FA63B6">
        <w:rPr>
          <w:rFonts w:ascii="Arial" w:hAnsi="Arial" w:cs="Arial"/>
        </w:rPr>
        <w:t>La contabilidad digital en Venezuela es una realidad marcada por la obligatoriedad de la facturación electrónica y la disponibilidad de software especializado, que busca modernizar la gestión financiera, aumentar la eficiencia y preparar a los profesionales para los desafíos tecnológicos actuales y futuros</w:t>
      </w:r>
    </w:p>
    <w:p w:rsidR="009C1FBA" w:rsidRDefault="009C1FBA" w:rsidP="00FA63B6">
      <w:pPr>
        <w:spacing w:after="0" w:line="240" w:lineRule="auto"/>
        <w:jc w:val="both"/>
        <w:rPr>
          <w:rFonts w:ascii="Arial" w:hAnsi="Arial" w:cs="Arial"/>
        </w:rPr>
      </w:pPr>
    </w:p>
    <w:p w:rsidR="009C1FBA" w:rsidRDefault="009C1FBA" w:rsidP="00FA63B6">
      <w:pPr>
        <w:spacing w:after="0" w:line="240" w:lineRule="auto"/>
        <w:jc w:val="both"/>
        <w:rPr>
          <w:rFonts w:ascii="Arial" w:hAnsi="Arial" w:cs="Arial"/>
        </w:rPr>
      </w:pPr>
    </w:p>
    <w:p w:rsidR="009C1FBA" w:rsidRDefault="009C1FBA" w:rsidP="00FA63B6">
      <w:pPr>
        <w:spacing w:after="0" w:line="240" w:lineRule="auto"/>
        <w:jc w:val="both"/>
        <w:rPr>
          <w:rFonts w:ascii="Arial" w:hAnsi="Arial" w:cs="Arial"/>
        </w:rPr>
      </w:pPr>
      <w:r>
        <w:rPr>
          <w:rFonts w:ascii="Arial" w:hAnsi="Arial" w:cs="Arial"/>
        </w:rPr>
        <w:lastRenderedPageBreak/>
        <w:t>CRITERIOS ASG</w:t>
      </w:r>
    </w:p>
    <w:p w:rsidR="00AB6D68" w:rsidRDefault="00AB6D68" w:rsidP="00FA63B6">
      <w:pPr>
        <w:spacing w:after="0" w:line="240" w:lineRule="auto"/>
        <w:jc w:val="both"/>
        <w:rPr>
          <w:rFonts w:ascii="Arial" w:hAnsi="Arial" w:cs="Arial"/>
        </w:rPr>
      </w:pPr>
      <w:r>
        <w:rPr>
          <w:rFonts w:ascii="Arial" w:hAnsi="Arial" w:cs="Arial"/>
        </w:rPr>
        <w:t xml:space="preserve">Fuente: </w:t>
      </w:r>
      <w:hyperlink r:id="rId11" w:history="1">
        <w:r w:rsidRPr="00431998">
          <w:rPr>
            <w:rStyle w:val="Hipervnculo"/>
            <w:rFonts w:ascii="Arial" w:hAnsi="Arial" w:cs="Arial"/>
          </w:rPr>
          <w:t>https://www.deloitte.com/es/es/services/risk-advisory/blogs/sostenibilidad-deloitte/que-son-criterios-esg-para-que-sirven.html</w:t>
        </w:r>
      </w:hyperlink>
      <w:r>
        <w:rPr>
          <w:rFonts w:ascii="Arial" w:hAnsi="Arial" w:cs="Arial"/>
        </w:rPr>
        <w:t xml:space="preserve"> </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Qué son los criterios ESG y para qué sirven</w:t>
      </w:r>
    </w:p>
    <w:p w:rsidR="009C1FBA" w:rsidRPr="009C1FBA" w:rsidRDefault="009C1FBA" w:rsidP="009C1FBA">
      <w:pPr>
        <w:spacing w:after="0" w:line="240" w:lineRule="auto"/>
        <w:jc w:val="both"/>
        <w:rPr>
          <w:rFonts w:ascii="Arial" w:hAnsi="Arial" w:cs="Arial"/>
        </w:rPr>
      </w:pPr>
      <w:r w:rsidRPr="009C1FBA">
        <w:rPr>
          <w:rFonts w:ascii="Arial" w:hAnsi="Arial" w:cs="Arial"/>
        </w:rPr>
        <w:t>Factores ambientales, sociales y de buen gobierno se cuelan dentro de los balances financieros</w:t>
      </w:r>
    </w:p>
    <w:p w:rsidR="009C1FBA" w:rsidRPr="009C1FBA" w:rsidRDefault="009C1FBA" w:rsidP="009C1FBA">
      <w:pPr>
        <w:spacing w:after="0" w:line="240" w:lineRule="auto"/>
        <w:jc w:val="both"/>
        <w:rPr>
          <w:rFonts w:ascii="Arial" w:hAnsi="Arial" w:cs="Arial"/>
        </w:rPr>
      </w:pPr>
      <w:r w:rsidRPr="009C1FBA">
        <w:rPr>
          <w:rFonts w:ascii="Arial" w:hAnsi="Arial" w:cs="Arial"/>
        </w:rPr>
        <w:t>Imprimir</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 xml:space="preserve">La mirada de los inversores está fija en las compañías que tienen una estrategia de negocio con criterios ESG. No es una moda, es una realidad que muestra un cambio en la conducta </w:t>
      </w:r>
      <w:proofErr w:type="gramStart"/>
      <w:r w:rsidRPr="009C1FBA">
        <w:rPr>
          <w:rFonts w:ascii="Arial" w:hAnsi="Arial" w:cs="Arial"/>
        </w:rPr>
        <w:t>de la inversores</w:t>
      </w:r>
      <w:proofErr w:type="gramEnd"/>
      <w:r w:rsidRPr="009C1FBA">
        <w:rPr>
          <w:rFonts w:ascii="Arial" w:hAnsi="Arial" w:cs="Arial"/>
        </w:rPr>
        <w:t>.</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 xml:space="preserve">Las siglas ESG, que responden en inglés, a las palabras </w:t>
      </w:r>
      <w:proofErr w:type="spellStart"/>
      <w:r w:rsidRPr="009C1FBA">
        <w:rPr>
          <w:rFonts w:ascii="Arial" w:hAnsi="Arial" w:cs="Arial"/>
        </w:rPr>
        <w:t>Enviromental</w:t>
      </w:r>
      <w:proofErr w:type="spellEnd"/>
      <w:r w:rsidRPr="009C1FBA">
        <w:rPr>
          <w:rFonts w:ascii="Arial" w:hAnsi="Arial" w:cs="Arial"/>
        </w:rPr>
        <w:t xml:space="preserve">, Social y </w:t>
      </w:r>
      <w:proofErr w:type="spellStart"/>
      <w:r w:rsidRPr="009C1FBA">
        <w:rPr>
          <w:rFonts w:ascii="Arial" w:hAnsi="Arial" w:cs="Arial"/>
        </w:rPr>
        <w:t>Governance</w:t>
      </w:r>
      <w:proofErr w:type="spellEnd"/>
      <w:r w:rsidRPr="009C1FBA">
        <w:rPr>
          <w:rFonts w:ascii="Arial" w:hAnsi="Arial" w:cs="Arial"/>
        </w:rPr>
        <w:t>, en la práctica, hacen referencia a los factores que convierten a una compañía en sostenible a través de su compromiso social, ambiental y de buen gobierno, sin descuidar nunca los aspectos financieros.</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El origen de este acrónimo se remonta a los inicios de la década de los 2000 y ha sido el resultado de la evolución de lo que se conocía como Inversión Socialmente Responsable (ISR). Pero va más allá de lo que conocíamos como ISR, ya que tiene un enfoque holístico de todos los procesos de una compañía, permitiendo ver el alcance del impacto que trasciende al negocio.</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Acertar en la identificación, gestión y medición de los criterios ESG dentro de una empresa tiene ya repercusiones directas en su capacidad para recibir inversión, en su reputación y, por extensión, en la sostenibilidad del negocio.</w:t>
      </w:r>
    </w:p>
    <w:p w:rsidR="009C1FBA" w:rsidRPr="009C1FBA" w:rsidRDefault="009C1FBA" w:rsidP="009C1FBA">
      <w:pPr>
        <w:spacing w:after="0" w:line="240" w:lineRule="auto"/>
        <w:jc w:val="both"/>
        <w:rPr>
          <w:rFonts w:ascii="Arial" w:hAnsi="Arial" w:cs="Arial"/>
        </w:rPr>
      </w:pPr>
      <w:r w:rsidRPr="009C1FBA">
        <w:rPr>
          <w:rFonts w:ascii="Arial" w:hAnsi="Arial" w:cs="Arial"/>
        </w:rPr>
        <w:t xml:space="preserve"> </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¿Para qué sirven los criterios ESG?</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Los criterios ESG tienen fronteras difusas. Lo más acertado es delimitar la capacidad de acción de la compañía en estos aspectos, de modo que los resultados intangibles sean fáciles de identificar por los inversores.</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Para lograr este objetivo es crucial el asesoramiento en un índice de ESG, que permita bucear de manera más directa sobre la información de interés en materia ambiental, social y de buen gobierno de las empresas.</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Ahora bien, un índice organizado y claro en materia de ESG, permitirá, en primer lugar, que los directivos y ejecutivos tomen decisiones más acertadas dentro de la compañía y, en segundo lugar, que los inversores reconozcan y premien los esfuerzos de las empresas con capital que se mantenga en el tiempo.</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Para determinar qué componentes forman parte de los criterios ESG es preciso analizarlos por separado.</w:t>
      </w:r>
    </w:p>
    <w:p w:rsidR="009C1FBA" w:rsidRPr="009C1FBA" w:rsidRDefault="009C1FBA" w:rsidP="009C1FBA">
      <w:pPr>
        <w:spacing w:after="0" w:line="240" w:lineRule="auto"/>
        <w:jc w:val="both"/>
        <w:rPr>
          <w:rFonts w:ascii="Arial" w:hAnsi="Arial" w:cs="Arial"/>
        </w:rPr>
      </w:pPr>
      <w:r w:rsidRPr="009C1FBA">
        <w:rPr>
          <w:rFonts w:ascii="Arial" w:hAnsi="Arial" w:cs="Arial"/>
        </w:rPr>
        <w:t xml:space="preserve"> </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Criterios Ambientales ESG</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Se consideran como criterios ambientales dentro de una estrategia ESG aquellas actividades empresariales que tienen un impacto positivo en el medio ambiente. Un ejemplo de esto pueden ser las actuaciones para reducir la contaminación y la generación de residuos o la emisión de gases de efecto invernadero.</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lastRenderedPageBreak/>
        <w:t>Las actividades no deben ser solo de mitigación de los efectos negativos del negocio y pueden tener una visión proactiva, como la reconversión de la matriz energética o la protección de la biodiversidad.</w:t>
      </w:r>
    </w:p>
    <w:p w:rsidR="009C1FBA" w:rsidRPr="009C1FBA" w:rsidRDefault="009C1FBA" w:rsidP="009C1FBA">
      <w:pPr>
        <w:spacing w:after="0" w:line="240" w:lineRule="auto"/>
        <w:jc w:val="both"/>
        <w:rPr>
          <w:rFonts w:ascii="Arial" w:hAnsi="Arial" w:cs="Arial"/>
        </w:rPr>
      </w:pPr>
      <w:r w:rsidRPr="009C1FBA">
        <w:rPr>
          <w:rFonts w:ascii="Arial" w:hAnsi="Arial" w:cs="Arial"/>
        </w:rPr>
        <w:t xml:space="preserve"> </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Criterios Sociales ESG</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En este apartado encontramos principalmente las acciones relacionadas con condiciones laborales y de respeto a los Derechos Humanos. También se incluye la gestión de relaciones con comunidades donde se opera, como población indígena, por ejemplo.</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Además, este conjunto de criterios destaca por la protección y la promoción de una empresa diversa y que genere inclusión, así como un espacio saludable para los empleados y la comunidad en general.</w:t>
      </w:r>
    </w:p>
    <w:p w:rsidR="009C1FBA" w:rsidRPr="009C1FBA" w:rsidRDefault="009C1FBA" w:rsidP="009C1FBA">
      <w:pPr>
        <w:spacing w:after="0" w:line="240" w:lineRule="auto"/>
        <w:jc w:val="both"/>
        <w:rPr>
          <w:rFonts w:ascii="Arial" w:hAnsi="Arial" w:cs="Arial"/>
        </w:rPr>
      </w:pPr>
      <w:r w:rsidRPr="009C1FBA">
        <w:rPr>
          <w:rFonts w:ascii="Arial" w:hAnsi="Arial" w:cs="Arial"/>
        </w:rPr>
        <w:t xml:space="preserve"> </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Criterios de Buen Gobierno ESG</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proofErr w:type="gramStart"/>
      <w:r w:rsidRPr="009C1FBA">
        <w:rPr>
          <w:rFonts w:ascii="Arial" w:hAnsi="Arial" w:cs="Arial"/>
        </w:rPr>
        <w:t>Este</w:t>
      </w:r>
      <w:proofErr w:type="gramEnd"/>
      <w:r w:rsidRPr="009C1FBA">
        <w:rPr>
          <w:rFonts w:ascii="Arial" w:hAnsi="Arial" w:cs="Arial"/>
        </w:rPr>
        <w:t xml:space="preserve"> área engloba las cuestiones relacionadas con el gobierno corporativo de las organizaciones, su calidad corporativa, su cultura y sus procesos de gestión. Desde la compensación de los directivos, pasando por planes de transparencia y lucha contra las prácticas antiéticas, hasta las acertadas estrategias fiscales.</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Cobra especial atención la elaboración de políticas internas sólidas y con indicadores claros que comprendan factores como la externalización, el cumplimiento normativo o la aptitud de los empleados, entre otros.</w:t>
      </w:r>
    </w:p>
    <w:p w:rsidR="009C1FBA" w:rsidRPr="009C1FBA" w:rsidRDefault="009C1FBA" w:rsidP="009C1FBA">
      <w:pPr>
        <w:spacing w:after="0" w:line="240" w:lineRule="auto"/>
        <w:jc w:val="both"/>
        <w:rPr>
          <w:rFonts w:ascii="Arial" w:hAnsi="Arial" w:cs="Arial"/>
        </w:rPr>
      </w:pPr>
      <w:r w:rsidRPr="009C1FBA">
        <w:rPr>
          <w:rFonts w:ascii="Arial" w:hAnsi="Arial" w:cs="Arial"/>
        </w:rPr>
        <w:t xml:space="preserve"> </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La inversión sostenible y su clave en ESG</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La inversión sostenible es aquella que suma a los criterios financieros las preocupaciones ambientales, sociales y de buen gobierno. Este modelo discrimina a las empresas por su estrategia en materia de sostenibilidad y está creciendo de manera notable en los últimos años.</w:t>
      </w:r>
    </w:p>
    <w:p w:rsidR="009C1FBA" w:rsidRPr="009C1FBA" w:rsidRDefault="009C1FBA" w:rsidP="009C1FBA">
      <w:pPr>
        <w:spacing w:after="0" w:line="240" w:lineRule="auto"/>
        <w:jc w:val="both"/>
        <w:rPr>
          <w:rFonts w:ascii="Arial" w:hAnsi="Arial" w:cs="Arial"/>
        </w:rPr>
      </w:pPr>
      <w:r w:rsidRPr="009C1FBA">
        <w:rPr>
          <w:rFonts w:ascii="Arial" w:hAnsi="Arial" w:cs="Arial"/>
        </w:rPr>
        <w:t xml:space="preserve"> </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¿Qué no es ESG?</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Ante la creciente atención acaparada por los criterios ESG en el mundo corporativo es necesario conocer qué estrategias se enmarcan dentro de sus parámetros y tienen realmente un impacto social.</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La base para identificar si una estrategia está enmarcada en los criterios ESG está en los Objetivos de Desarrollo Sostenible (ODS) fijados por la ONU en 2015. Este es el marco integral para avanzar en un plan sostenible.</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Ahora bien, los parámetros ESG no son:</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t>● Actividades enmarcadas únicamente en valores de forma general. Los inversores y directivos huyen de las declaraciones generales. Las acciones deben apoyarse con indicadores concretos que muestren la creación de un valor diferencial y aporten información útil.</w:t>
      </w:r>
    </w:p>
    <w:p w:rsidR="009C1FBA" w:rsidRPr="009C1FBA" w:rsidRDefault="009C1FBA" w:rsidP="009C1FBA">
      <w:pPr>
        <w:spacing w:after="0" w:line="240" w:lineRule="auto"/>
        <w:jc w:val="both"/>
        <w:rPr>
          <w:rFonts w:ascii="Arial" w:hAnsi="Arial" w:cs="Arial"/>
        </w:rPr>
      </w:pPr>
    </w:p>
    <w:p w:rsidR="009C1FBA" w:rsidRPr="009C1FBA" w:rsidRDefault="009C1FBA" w:rsidP="009C1FBA">
      <w:pPr>
        <w:spacing w:after="0" w:line="240" w:lineRule="auto"/>
        <w:jc w:val="both"/>
        <w:rPr>
          <w:rFonts w:ascii="Arial" w:hAnsi="Arial" w:cs="Arial"/>
        </w:rPr>
      </w:pPr>
      <w:r w:rsidRPr="009C1FBA">
        <w:rPr>
          <w:rFonts w:ascii="Arial" w:hAnsi="Arial" w:cs="Arial"/>
        </w:rPr>
        <w:lastRenderedPageBreak/>
        <w:t>● Nomenclaturas que acompañen a los procesos que ya existen. No se trata de cambiar de nombre lo que ya hacíamos, los parámetros ESG deben aunar novedad y modelo de negocio.</w:t>
      </w:r>
    </w:p>
    <w:p w:rsidR="009C1FBA" w:rsidRPr="009C1FBA" w:rsidRDefault="009C1FBA" w:rsidP="009C1FBA">
      <w:pPr>
        <w:spacing w:after="0" w:line="240" w:lineRule="auto"/>
        <w:jc w:val="both"/>
        <w:rPr>
          <w:rFonts w:ascii="Arial" w:hAnsi="Arial" w:cs="Arial"/>
        </w:rPr>
      </w:pPr>
    </w:p>
    <w:p w:rsidR="009C1FBA" w:rsidRDefault="009C1FBA" w:rsidP="009C1FBA">
      <w:pPr>
        <w:spacing w:after="0" w:line="240" w:lineRule="auto"/>
        <w:jc w:val="both"/>
        <w:rPr>
          <w:rFonts w:ascii="Arial" w:hAnsi="Arial" w:cs="Arial"/>
        </w:rPr>
      </w:pPr>
      <w:r w:rsidRPr="009C1FBA">
        <w:rPr>
          <w:rFonts w:ascii="Arial" w:hAnsi="Arial" w:cs="Arial"/>
        </w:rPr>
        <w:t>● Anexos dentro de las cuentas de resultados. El enfoque debe ser integrado y afectar de un modo transversal al negocio.</w:t>
      </w:r>
    </w:p>
    <w:p w:rsidR="00992730" w:rsidRDefault="00992730" w:rsidP="009C1FBA">
      <w:pPr>
        <w:spacing w:after="0" w:line="240" w:lineRule="auto"/>
        <w:jc w:val="both"/>
        <w:rPr>
          <w:rFonts w:ascii="Arial" w:hAnsi="Arial" w:cs="Arial"/>
        </w:rPr>
      </w:pPr>
    </w:p>
    <w:p w:rsidR="00992730" w:rsidRDefault="00992730" w:rsidP="009C1FBA">
      <w:pPr>
        <w:spacing w:after="0" w:line="240" w:lineRule="auto"/>
        <w:jc w:val="both"/>
        <w:rPr>
          <w:rFonts w:ascii="Arial" w:hAnsi="Arial" w:cs="Arial"/>
        </w:rPr>
      </w:pPr>
    </w:p>
    <w:p w:rsidR="00992730" w:rsidRDefault="00992730" w:rsidP="009C1FBA">
      <w:pPr>
        <w:spacing w:after="0" w:line="240" w:lineRule="auto"/>
        <w:jc w:val="both"/>
        <w:rPr>
          <w:rFonts w:ascii="Arial" w:hAnsi="Arial" w:cs="Arial"/>
        </w:rPr>
      </w:pPr>
    </w:p>
    <w:p w:rsidR="00992730" w:rsidRDefault="00992730" w:rsidP="00992730">
      <w:pPr>
        <w:pStyle w:val="NormalWeb"/>
      </w:pPr>
      <w:r>
        <w:t xml:space="preserve">- Fuente: </w:t>
      </w:r>
      <w:r w:rsidRPr="00992730">
        <w:t xml:space="preserve">Factores </w:t>
      </w:r>
      <w:proofErr w:type="spellStart"/>
      <w:r w:rsidRPr="00992730">
        <w:t>asg</w:t>
      </w:r>
      <w:proofErr w:type="spellEnd"/>
      <w:r w:rsidRPr="00992730">
        <w:t xml:space="preserve"> establecidos en </w:t>
      </w:r>
      <w:r>
        <w:t>Venezuela (</w:t>
      </w:r>
      <w:proofErr w:type="spellStart"/>
      <w:r>
        <w:t>Gemini</w:t>
      </w:r>
      <w:proofErr w:type="spellEnd"/>
      <w:r>
        <w:t>).</w:t>
      </w:r>
    </w:p>
    <w:p w:rsidR="00992730" w:rsidRPr="00992730" w:rsidRDefault="00992730" w:rsidP="00992730">
      <w:pPr>
        <w:spacing w:after="0"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sz w:val="24"/>
          <w:szCs w:val="24"/>
          <w:lang w:val="es-VE" w:eastAsia="es-VE"/>
        </w:rPr>
        <w:t>En Venezuela, los factores ASG (Ambientales, Sociales y de Gobernanza) se establecen mediante marcos regulatorios (Constitución, leyes ambientales y laborales) y estándares voluntarios de la industria (como los promovidos por la Bolsa de Valores y el Pacto Mundial), enfocándose en la gestión de riesgos climáticos, derechos laborales, diversidad, inclusión, transparencia y buen gobierno corporativo, aunque su adopción y reporte varían entre grandes empresas y pymes, impulsados por inversores y la necesidad de sostenibilidad</w:t>
      </w:r>
    </w:p>
    <w:p w:rsidR="00992730" w:rsidRPr="00992730" w:rsidRDefault="00992730" w:rsidP="00992730">
      <w:pPr>
        <w:spacing w:after="0"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sz w:val="24"/>
          <w:szCs w:val="24"/>
          <w:lang w:val="es-VE" w:eastAsia="es-VE"/>
        </w:rPr>
        <w:t>. </w:t>
      </w:r>
    </w:p>
    <w:p w:rsidR="00992730" w:rsidRPr="00992730" w:rsidRDefault="00992730" w:rsidP="00992730">
      <w:pPr>
        <w:spacing w:after="0"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sz w:val="24"/>
          <w:szCs w:val="24"/>
          <w:lang w:val="es-VE" w:eastAsia="es-VE"/>
        </w:rPr>
        <w:t>Factores Ambientales (A)</w:t>
      </w:r>
    </w:p>
    <w:p w:rsidR="00992730" w:rsidRPr="00992730" w:rsidRDefault="00992730" w:rsidP="00992730">
      <w:pPr>
        <w:numPr>
          <w:ilvl w:val="0"/>
          <w:numId w:val="7"/>
        </w:numPr>
        <w:spacing w:before="100" w:beforeAutospacing="1" w:after="100" w:afterAutospacing="1"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b/>
          <w:bCs/>
          <w:sz w:val="24"/>
          <w:szCs w:val="24"/>
          <w:lang w:val="es-VE" w:eastAsia="es-VE"/>
        </w:rPr>
        <w:t>Marco Legal:</w:t>
      </w:r>
      <w:r w:rsidRPr="00992730">
        <w:rPr>
          <w:rFonts w:ascii="Times New Roman" w:eastAsia="Times New Roman" w:hAnsi="Times New Roman" w:cs="Times New Roman"/>
          <w:sz w:val="24"/>
          <w:szCs w:val="24"/>
          <w:lang w:val="es-VE" w:eastAsia="es-VE"/>
        </w:rPr>
        <w:t xml:space="preserve"> Ley Orgánica del Ambiente, Ley Penal del Ambiente, Ley de Diversidad Biológica, Ley Forestal de Suelos y Aguas, Ley sobre Sustancias y Desechos Peligrosos, y la Constitución.</w:t>
      </w:r>
    </w:p>
    <w:p w:rsidR="00992730" w:rsidRPr="00992730" w:rsidRDefault="00992730" w:rsidP="00992730">
      <w:pPr>
        <w:numPr>
          <w:ilvl w:val="0"/>
          <w:numId w:val="7"/>
        </w:numPr>
        <w:spacing w:before="100" w:beforeAutospacing="1" w:after="100" w:afterAutospacing="1"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b/>
          <w:bCs/>
          <w:sz w:val="24"/>
          <w:szCs w:val="24"/>
          <w:lang w:val="es-VE" w:eastAsia="es-VE"/>
        </w:rPr>
        <w:t>Enfoque:</w:t>
      </w:r>
      <w:r w:rsidRPr="00992730">
        <w:rPr>
          <w:rFonts w:ascii="Times New Roman" w:eastAsia="Times New Roman" w:hAnsi="Times New Roman" w:cs="Times New Roman"/>
          <w:sz w:val="24"/>
          <w:szCs w:val="24"/>
          <w:lang w:val="es-VE" w:eastAsia="es-VE"/>
        </w:rPr>
        <w:t xml:space="preserve"> Cambio climático, contaminación, biodiversidad, uso de recursos naturales. </w:t>
      </w:r>
    </w:p>
    <w:p w:rsidR="00992730" w:rsidRPr="00992730" w:rsidRDefault="00992730" w:rsidP="00992730">
      <w:pPr>
        <w:numPr>
          <w:ilvl w:val="0"/>
          <w:numId w:val="8"/>
        </w:numPr>
        <w:spacing w:before="100" w:beforeAutospacing="1" w:after="100" w:afterAutospacing="1" w:line="240" w:lineRule="auto"/>
        <w:rPr>
          <w:rFonts w:ascii="Times New Roman" w:eastAsia="Times New Roman" w:hAnsi="Times New Roman" w:cs="Times New Roman"/>
          <w:sz w:val="24"/>
          <w:szCs w:val="24"/>
          <w:lang w:val="es-VE" w:eastAsia="es-VE"/>
        </w:rPr>
      </w:pPr>
    </w:p>
    <w:p w:rsidR="00992730" w:rsidRPr="00992730" w:rsidRDefault="00992730" w:rsidP="00992730">
      <w:pPr>
        <w:spacing w:after="0"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sz w:val="24"/>
          <w:szCs w:val="24"/>
          <w:lang w:val="es-VE" w:eastAsia="es-VE"/>
        </w:rPr>
        <w:t>Factores Sociales (S)</w:t>
      </w:r>
    </w:p>
    <w:p w:rsidR="00992730" w:rsidRPr="00992730" w:rsidRDefault="00992730" w:rsidP="00992730">
      <w:pPr>
        <w:numPr>
          <w:ilvl w:val="0"/>
          <w:numId w:val="9"/>
        </w:numPr>
        <w:spacing w:before="100" w:beforeAutospacing="1" w:after="100" w:afterAutospacing="1"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b/>
          <w:bCs/>
          <w:sz w:val="24"/>
          <w:szCs w:val="24"/>
          <w:lang w:val="es-VE" w:eastAsia="es-VE"/>
        </w:rPr>
        <w:t>Derechos Humanos y Laborales:</w:t>
      </w:r>
      <w:r w:rsidRPr="00992730">
        <w:rPr>
          <w:rFonts w:ascii="Times New Roman" w:eastAsia="Times New Roman" w:hAnsi="Times New Roman" w:cs="Times New Roman"/>
          <w:sz w:val="24"/>
          <w:szCs w:val="24"/>
          <w:lang w:val="es-VE" w:eastAsia="es-VE"/>
        </w:rPr>
        <w:t xml:space="preserve"> Condiciones de trabajo, salud y seguridad laboral, igualdad de oportunidades, trato justo a empleados, clientes y comunidades.</w:t>
      </w:r>
    </w:p>
    <w:p w:rsidR="00992730" w:rsidRPr="00992730" w:rsidRDefault="00992730" w:rsidP="00992730">
      <w:pPr>
        <w:numPr>
          <w:ilvl w:val="0"/>
          <w:numId w:val="9"/>
        </w:numPr>
        <w:spacing w:before="100" w:beforeAutospacing="1" w:after="100" w:afterAutospacing="1"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b/>
          <w:bCs/>
          <w:sz w:val="24"/>
          <w:szCs w:val="24"/>
          <w:lang w:val="es-VE" w:eastAsia="es-VE"/>
        </w:rPr>
        <w:t>Diversidad e Inclusión:</w:t>
      </w:r>
      <w:r w:rsidRPr="00992730">
        <w:rPr>
          <w:rFonts w:ascii="Times New Roman" w:eastAsia="Times New Roman" w:hAnsi="Times New Roman" w:cs="Times New Roman"/>
          <w:sz w:val="24"/>
          <w:szCs w:val="24"/>
          <w:lang w:val="es-VE" w:eastAsia="es-VE"/>
        </w:rPr>
        <w:t xml:space="preserve"> Promoción de la igualdad de género y derechos de pueblos originarios.</w:t>
      </w:r>
    </w:p>
    <w:p w:rsidR="00992730" w:rsidRPr="00992730" w:rsidRDefault="00992730" w:rsidP="00992730">
      <w:pPr>
        <w:numPr>
          <w:ilvl w:val="0"/>
          <w:numId w:val="9"/>
        </w:numPr>
        <w:spacing w:before="100" w:beforeAutospacing="1" w:after="100" w:afterAutospacing="1"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b/>
          <w:bCs/>
          <w:sz w:val="24"/>
          <w:szCs w:val="24"/>
          <w:lang w:val="es-VE" w:eastAsia="es-VE"/>
        </w:rPr>
        <w:t>Comunidad:</w:t>
      </w:r>
      <w:r w:rsidRPr="00992730">
        <w:rPr>
          <w:rFonts w:ascii="Times New Roman" w:eastAsia="Times New Roman" w:hAnsi="Times New Roman" w:cs="Times New Roman"/>
          <w:sz w:val="24"/>
          <w:szCs w:val="24"/>
          <w:lang w:val="es-VE" w:eastAsia="es-VE"/>
        </w:rPr>
        <w:t xml:space="preserve"> Compromiso con el bienestar social y desarrollo local. </w:t>
      </w:r>
    </w:p>
    <w:p w:rsidR="00992730" w:rsidRPr="00992730" w:rsidRDefault="00992730" w:rsidP="00992730">
      <w:pPr>
        <w:numPr>
          <w:ilvl w:val="0"/>
          <w:numId w:val="10"/>
        </w:numPr>
        <w:spacing w:before="100" w:beforeAutospacing="1" w:after="100" w:afterAutospacing="1" w:line="240" w:lineRule="auto"/>
        <w:rPr>
          <w:rFonts w:ascii="Times New Roman" w:eastAsia="Times New Roman" w:hAnsi="Times New Roman" w:cs="Times New Roman"/>
          <w:sz w:val="24"/>
          <w:szCs w:val="24"/>
          <w:lang w:val="es-VE" w:eastAsia="es-VE"/>
        </w:rPr>
      </w:pPr>
    </w:p>
    <w:p w:rsidR="00992730" w:rsidRPr="00992730" w:rsidRDefault="00992730" w:rsidP="00992730">
      <w:pPr>
        <w:spacing w:after="0"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sz w:val="24"/>
          <w:szCs w:val="24"/>
          <w:lang w:val="es-VE" w:eastAsia="es-VE"/>
        </w:rPr>
        <w:t>Factores de Gobernanza (G)</w:t>
      </w:r>
    </w:p>
    <w:p w:rsidR="00992730" w:rsidRPr="00992730" w:rsidRDefault="00992730" w:rsidP="00992730">
      <w:pPr>
        <w:numPr>
          <w:ilvl w:val="0"/>
          <w:numId w:val="11"/>
        </w:numPr>
        <w:spacing w:before="100" w:beforeAutospacing="1" w:after="100" w:afterAutospacing="1"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b/>
          <w:bCs/>
          <w:sz w:val="24"/>
          <w:szCs w:val="24"/>
          <w:lang w:val="es-VE" w:eastAsia="es-VE"/>
        </w:rPr>
        <w:t>Transparencia y Ética:</w:t>
      </w:r>
      <w:r w:rsidRPr="00992730">
        <w:rPr>
          <w:rFonts w:ascii="Times New Roman" w:eastAsia="Times New Roman" w:hAnsi="Times New Roman" w:cs="Times New Roman"/>
          <w:sz w:val="24"/>
          <w:szCs w:val="24"/>
          <w:lang w:val="es-VE" w:eastAsia="es-VE"/>
        </w:rPr>
        <w:t xml:space="preserve"> Lucha contra la corrupción, controles internos, ética empresarial.</w:t>
      </w:r>
    </w:p>
    <w:p w:rsidR="00992730" w:rsidRPr="00992730" w:rsidRDefault="00992730" w:rsidP="00992730">
      <w:pPr>
        <w:numPr>
          <w:ilvl w:val="0"/>
          <w:numId w:val="11"/>
        </w:numPr>
        <w:spacing w:before="100" w:beforeAutospacing="1" w:after="100" w:afterAutospacing="1"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b/>
          <w:bCs/>
          <w:sz w:val="24"/>
          <w:szCs w:val="24"/>
          <w:lang w:val="es-VE" w:eastAsia="es-VE"/>
        </w:rPr>
        <w:t>Estructura Corporativa:</w:t>
      </w:r>
      <w:r w:rsidRPr="00992730">
        <w:rPr>
          <w:rFonts w:ascii="Times New Roman" w:eastAsia="Times New Roman" w:hAnsi="Times New Roman" w:cs="Times New Roman"/>
          <w:sz w:val="24"/>
          <w:szCs w:val="24"/>
          <w:lang w:val="es-VE" w:eastAsia="es-VE"/>
        </w:rPr>
        <w:t xml:space="preserve"> Composición y diversidad de las juntas directivas.</w:t>
      </w:r>
    </w:p>
    <w:p w:rsidR="00992730" w:rsidRPr="00992730" w:rsidRDefault="00992730" w:rsidP="00992730">
      <w:pPr>
        <w:numPr>
          <w:ilvl w:val="0"/>
          <w:numId w:val="11"/>
        </w:numPr>
        <w:spacing w:before="100" w:beforeAutospacing="1" w:after="100" w:afterAutospacing="1"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b/>
          <w:bCs/>
          <w:sz w:val="24"/>
          <w:szCs w:val="24"/>
          <w:lang w:val="es-VE" w:eastAsia="es-VE"/>
        </w:rPr>
        <w:t>Reporte:</w:t>
      </w:r>
      <w:r w:rsidRPr="00992730">
        <w:rPr>
          <w:rFonts w:ascii="Times New Roman" w:eastAsia="Times New Roman" w:hAnsi="Times New Roman" w:cs="Times New Roman"/>
          <w:sz w:val="24"/>
          <w:szCs w:val="24"/>
          <w:lang w:val="es-VE" w:eastAsia="es-VE"/>
        </w:rPr>
        <w:t xml:space="preserve"> Exigencia creciente de divulgación de información no financiera para inversores y otros actores del mercado. </w:t>
      </w:r>
    </w:p>
    <w:p w:rsidR="00992730" w:rsidRPr="00992730" w:rsidRDefault="00992730" w:rsidP="00992730">
      <w:pPr>
        <w:numPr>
          <w:ilvl w:val="0"/>
          <w:numId w:val="12"/>
        </w:numPr>
        <w:spacing w:before="100" w:beforeAutospacing="1" w:after="100" w:afterAutospacing="1" w:line="240" w:lineRule="auto"/>
        <w:rPr>
          <w:rFonts w:ascii="Times New Roman" w:eastAsia="Times New Roman" w:hAnsi="Times New Roman" w:cs="Times New Roman"/>
          <w:sz w:val="24"/>
          <w:szCs w:val="24"/>
          <w:lang w:val="es-VE" w:eastAsia="es-VE"/>
        </w:rPr>
      </w:pPr>
    </w:p>
    <w:p w:rsidR="00992730" w:rsidRPr="00992730" w:rsidRDefault="00992730" w:rsidP="00992730">
      <w:pPr>
        <w:spacing w:after="0"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sz w:val="24"/>
          <w:szCs w:val="24"/>
          <w:lang w:val="es-VE" w:eastAsia="es-VE"/>
        </w:rPr>
        <w:lastRenderedPageBreak/>
        <w:t>Contexto en Venezuela</w:t>
      </w:r>
    </w:p>
    <w:p w:rsidR="00992730" w:rsidRPr="00992730" w:rsidRDefault="00992730" w:rsidP="00992730">
      <w:pPr>
        <w:numPr>
          <w:ilvl w:val="0"/>
          <w:numId w:val="13"/>
        </w:numPr>
        <w:spacing w:before="100" w:beforeAutospacing="1" w:after="100" w:afterAutospacing="1"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b/>
          <w:bCs/>
          <w:sz w:val="24"/>
          <w:szCs w:val="24"/>
          <w:lang w:val="es-VE" w:eastAsia="es-VE"/>
        </w:rPr>
        <w:t>Impulso:</w:t>
      </w:r>
      <w:r w:rsidRPr="00992730">
        <w:rPr>
          <w:rFonts w:ascii="Times New Roman" w:eastAsia="Times New Roman" w:hAnsi="Times New Roman" w:cs="Times New Roman"/>
          <w:sz w:val="24"/>
          <w:szCs w:val="24"/>
          <w:lang w:val="es-VE" w:eastAsia="es-VE"/>
        </w:rPr>
        <w:t xml:space="preserve"> Creciente interés por parte de la Bolsa de Valores (mediante guías para el reporte ASG) y la banca (</w:t>
      </w:r>
      <w:proofErr w:type="spellStart"/>
      <w:r w:rsidRPr="00992730">
        <w:rPr>
          <w:rFonts w:ascii="Times New Roman" w:eastAsia="Times New Roman" w:hAnsi="Times New Roman" w:cs="Times New Roman"/>
          <w:sz w:val="24"/>
          <w:szCs w:val="24"/>
          <w:lang w:val="es-VE" w:eastAsia="es-VE"/>
        </w:rPr>
        <w:t>Asobanca</w:t>
      </w:r>
      <w:proofErr w:type="spellEnd"/>
      <w:r w:rsidRPr="00992730">
        <w:rPr>
          <w:rFonts w:ascii="Times New Roman" w:eastAsia="Times New Roman" w:hAnsi="Times New Roman" w:cs="Times New Roman"/>
          <w:sz w:val="24"/>
          <w:szCs w:val="24"/>
          <w:lang w:val="es-VE" w:eastAsia="es-VE"/>
        </w:rPr>
        <w:t>), aunque la estandarización está en evolución.</w:t>
      </w:r>
    </w:p>
    <w:p w:rsidR="00992730" w:rsidRPr="00992730" w:rsidRDefault="00992730" w:rsidP="00992730">
      <w:pPr>
        <w:numPr>
          <w:ilvl w:val="0"/>
          <w:numId w:val="13"/>
        </w:numPr>
        <w:spacing w:before="100" w:beforeAutospacing="1" w:after="100" w:afterAutospacing="1"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b/>
          <w:bCs/>
          <w:sz w:val="24"/>
          <w:szCs w:val="24"/>
          <w:lang w:val="es-VE" w:eastAsia="es-VE"/>
        </w:rPr>
        <w:t>Adopción:</w:t>
      </w:r>
      <w:r w:rsidRPr="00992730">
        <w:rPr>
          <w:rFonts w:ascii="Times New Roman" w:eastAsia="Times New Roman" w:hAnsi="Times New Roman" w:cs="Times New Roman"/>
          <w:sz w:val="24"/>
          <w:szCs w:val="24"/>
          <w:lang w:val="es-VE" w:eastAsia="es-VE"/>
        </w:rPr>
        <w:t xml:space="preserve"> Impulsada por la sostenibilidad y la necesidad de acceso a financiamiento sostenible (finanzas verdes, bonos sociales).</w:t>
      </w:r>
    </w:p>
    <w:p w:rsidR="00992730" w:rsidRPr="00992730" w:rsidRDefault="00992730" w:rsidP="00992730">
      <w:pPr>
        <w:numPr>
          <w:ilvl w:val="0"/>
          <w:numId w:val="13"/>
        </w:numPr>
        <w:spacing w:before="100" w:beforeAutospacing="1" w:after="100" w:afterAutospacing="1" w:line="240" w:lineRule="auto"/>
        <w:rPr>
          <w:rFonts w:ascii="Times New Roman" w:eastAsia="Times New Roman" w:hAnsi="Times New Roman" w:cs="Times New Roman"/>
          <w:sz w:val="24"/>
          <w:szCs w:val="24"/>
          <w:lang w:val="es-VE" w:eastAsia="es-VE"/>
        </w:rPr>
      </w:pPr>
      <w:r w:rsidRPr="00992730">
        <w:rPr>
          <w:rFonts w:ascii="Times New Roman" w:eastAsia="Times New Roman" w:hAnsi="Times New Roman" w:cs="Times New Roman"/>
          <w:b/>
          <w:bCs/>
          <w:sz w:val="24"/>
          <w:szCs w:val="24"/>
          <w:lang w:val="es-VE" w:eastAsia="es-VE"/>
        </w:rPr>
        <w:t>Entidades Clave:</w:t>
      </w:r>
      <w:r w:rsidRPr="00992730">
        <w:rPr>
          <w:rFonts w:ascii="Times New Roman" w:eastAsia="Times New Roman" w:hAnsi="Times New Roman" w:cs="Times New Roman"/>
          <w:sz w:val="24"/>
          <w:szCs w:val="24"/>
          <w:lang w:val="es-VE" w:eastAsia="es-VE"/>
        </w:rPr>
        <w:t xml:space="preserve"> Universidades (UCAB) y gremios promueven la discusión y aplicación de estos criterios, adaptándolos a la realidad económica y empresarial del país</w:t>
      </w:r>
    </w:p>
    <w:p w:rsidR="00992730" w:rsidRDefault="00992730" w:rsidP="00992730">
      <w:pPr>
        <w:pStyle w:val="NormalWeb"/>
      </w:pPr>
    </w:p>
    <w:p w:rsidR="00992730" w:rsidRDefault="00992730" w:rsidP="00992730">
      <w:pPr>
        <w:pStyle w:val="NormalWeb"/>
      </w:pPr>
      <w:r>
        <w:t xml:space="preserve">- Fuente: </w:t>
      </w:r>
      <w:hyperlink r:id="rId12" w:history="1">
        <w:r w:rsidRPr="00431998">
          <w:rPr>
            <w:rStyle w:val="Hipervnculo"/>
          </w:rPr>
          <w:t>https://asobanca.com.ve/glossary/criterios-asg-ambientales-sociales-gobernanza-esg-environmental-social-governance-criteria/</w:t>
        </w:r>
      </w:hyperlink>
      <w:r>
        <w:t xml:space="preserve"> </w:t>
      </w:r>
    </w:p>
    <w:p w:rsidR="00992730" w:rsidRDefault="00992730" w:rsidP="00992730">
      <w:pPr>
        <w:pStyle w:val="NormalWeb"/>
      </w:pPr>
      <w:r>
        <w:t>Son un conjunto de estándares que miden el desempeño de una empresa en tres (3) áreas clave: su impacto en el medio ambiente (A), su gestión de las relaciones con empleados, proveedores y la comunidad (S), y la calidad de su gobierno corporativo (G).</w:t>
      </w:r>
    </w:p>
    <w:p w:rsidR="00992730" w:rsidRDefault="00992730" w:rsidP="00992730">
      <w:pPr>
        <w:pStyle w:val="NormalWeb"/>
      </w:pPr>
      <w:r>
        <w:t xml:space="preserve">Contexto y Relevancia: Los criterios ASG son el pilar de las finanzas sostenibles. Los inversores los utilizan para evaluar los riesgos y oportunidades no financieros de una empresa, partiendo de la premisa de que </w:t>
      </w:r>
      <w:bookmarkStart w:id="0" w:name="_GoBack"/>
      <w:bookmarkEnd w:id="0"/>
      <w:r>
        <w:t xml:space="preserve">un buen desempeño en ASG está correlacionado con una mejor rentabilidad y </w:t>
      </w:r>
      <w:proofErr w:type="spellStart"/>
      <w:r>
        <w:t>resiliencia</w:t>
      </w:r>
      <w:proofErr w:type="spellEnd"/>
      <w:r>
        <w:t xml:space="preserve"> a largo plazo.</w:t>
      </w:r>
    </w:p>
    <w:p w:rsidR="00992730" w:rsidRPr="00FA63B6" w:rsidRDefault="00992730" w:rsidP="009C1FBA">
      <w:pPr>
        <w:spacing w:after="0" w:line="240" w:lineRule="auto"/>
        <w:jc w:val="both"/>
        <w:rPr>
          <w:rFonts w:ascii="Arial" w:hAnsi="Arial" w:cs="Arial"/>
        </w:rPr>
      </w:pPr>
    </w:p>
    <w:p w:rsidR="00FA63B6" w:rsidRPr="00FA63B6" w:rsidRDefault="006F2B13" w:rsidP="00FA63B6">
      <w:pPr>
        <w:spacing w:after="0" w:line="240" w:lineRule="auto"/>
        <w:jc w:val="both"/>
        <w:rPr>
          <w:rFonts w:ascii="Arial" w:hAnsi="Arial" w:cs="Arial"/>
          <w:sz w:val="24"/>
          <w:szCs w:val="24"/>
        </w:rPr>
      </w:pPr>
      <w:r>
        <w:rPr>
          <w:rFonts w:ascii="Arial" w:hAnsi="Arial" w:cs="Arial"/>
          <w:sz w:val="24"/>
          <w:szCs w:val="24"/>
        </w:rPr>
        <w:t xml:space="preserve">- Fuente: ONU Venezuela </w:t>
      </w:r>
      <w:hyperlink r:id="rId13" w:history="1">
        <w:r w:rsidRPr="00431998">
          <w:rPr>
            <w:rStyle w:val="Hipervnculo"/>
            <w:rFonts w:ascii="Arial" w:hAnsi="Arial" w:cs="Arial"/>
            <w:sz w:val="24"/>
            <w:szCs w:val="24"/>
          </w:rPr>
          <w:t>https://venezuela.un.org/es/sdgs</w:t>
        </w:r>
      </w:hyperlink>
      <w:r>
        <w:rPr>
          <w:rFonts w:ascii="Arial" w:hAnsi="Arial" w:cs="Arial"/>
          <w:sz w:val="24"/>
          <w:szCs w:val="24"/>
        </w:rPr>
        <w:t xml:space="preserve"> </w:t>
      </w:r>
    </w:p>
    <w:sectPr w:rsidR="00FA63B6" w:rsidRPr="00FA63B6" w:rsidSect="00ED75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77824"/>
    <w:multiLevelType w:val="multilevel"/>
    <w:tmpl w:val="990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6A47E1"/>
    <w:multiLevelType w:val="multilevel"/>
    <w:tmpl w:val="A88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CA2FA4"/>
    <w:multiLevelType w:val="multilevel"/>
    <w:tmpl w:val="B620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613374"/>
    <w:multiLevelType w:val="multilevel"/>
    <w:tmpl w:val="2C8A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0E6D6C"/>
    <w:multiLevelType w:val="multilevel"/>
    <w:tmpl w:val="5BF6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B8525A"/>
    <w:multiLevelType w:val="multilevel"/>
    <w:tmpl w:val="233A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9A1B55"/>
    <w:multiLevelType w:val="multilevel"/>
    <w:tmpl w:val="84AE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AB0F88"/>
    <w:multiLevelType w:val="multilevel"/>
    <w:tmpl w:val="34E0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523DC6"/>
    <w:multiLevelType w:val="multilevel"/>
    <w:tmpl w:val="0CF6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DA2941"/>
    <w:multiLevelType w:val="multilevel"/>
    <w:tmpl w:val="B852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4041EC"/>
    <w:multiLevelType w:val="multilevel"/>
    <w:tmpl w:val="90CC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6B29D1"/>
    <w:multiLevelType w:val="multilevel"/>
    <w:tmpl w:val="C3AA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2520A7"/>
    <w:multiLevelType w:val="multilevel"/>
    <w:tmpl w:val="D18C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2"/>
  </w:num>
  <w:num w:numId="4">
    <w:abstractNumId w:val="11"/>
  </w:num>
  <w:num w:numId="5">
    <w:abstractNumId w:val="5"/>
  </w:num>
  <w:num w:numId="6">
    <w:abstractNumId w:val="2"/>
  </w:num>
  <w:num w:numId="7">
    <w:abstractNumId w:val="6"/>
  </w:num>
  <w:num w:numId="8">
    <w:abstractNumId w:val="1"/>
  </w:num>
  <w:num w:numId="9">
    <w:abstractNumId w:val="7"/>
  </w:num>
  <w:num w:numId="10">
    <w:abstractNumId w:val="8"/>
  </w:num>
  <w:num w:numId="11">
    <w:abstractNumId w:val="10"/>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useFELayout/>
    <w:compatSetting w:name="compatibilityMode" w:uri="http://schemas.microsoft.com/office/word" w:val="12"/>
  </w:compat>
  <w:rsids>
    <w:rsidRoot w:val="00FA63B6"/>
    <w:rsid w:val="0038607E"/>
    <w:rsid w:val="006F2B13"/>
    <w:rsid w:val="00790895"/>
    <w:rsid w:val="00992730"/>
    <w:rsid w:val="009C1FBA"/>
    <w:rsid w:val="00AB6D68"/>
    <w:rsid w:val="00BA5E13"/>
    <w:rsid w:val="00ED7580"/>
    <w:rsid w:val="00FA63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F4A061-55A9-4610-BA28-F07C7250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58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A63B6"/>
    <w:rPr>
      <w:color w:val="0000FF" w:themeColor="hyperlink"/>
      <w:u w:val="single"/>
    </w:rPr>
  </w:style>
  <w:style w:type="character" w:customStyle="1" w:styleId="vkekvd">
    <w:name w:val="vkekvd"/>
    <w:basedOn w:val="Fuentedeprrafopredeter"/>
    <w:rsid w:val="00FA63B6"/>
  </w:style>
  <w:style w:type="character" w:customStyle="1" w:styleId="t286pc">
    <w:name w:val="t286pc"/>
    <w:basedOn w:val="Fuentedeprrafopredeter"/>
    <w:rsid w:val="00FA63B6"/>
  </w:style>
  <w:style w:type="character" w:styleId="Textoennegrita">
    <w:name w:val="Strong"/>
    <w:basedOn w:val="Fuentedeprrafopredeter"/>
    <w:uiPriority w:val="22"/>
    <w:qFormat/>
    <w:rsid w:val="00FA63B6"/>
    <w:rPr>
      <w:b/>
      <w:bCs/>
    </w:rPr>
  </w:style>
  <w:style w:type="paragraph" w:styleId="NormalWeb">
    <w:name w:val="Normal (Web)"/>
    <w:basedOn w:val="Normal"/>
    <w:uiPriority w:val="99"/>
    <w:semiHidden/>
    <w:unhideWhenUsed/>
    <w:rsid w:val="00992730"/>
    <w:pPr>
      <w:spacing w:before="100" w:beforeAutospacing="1" w:after="100" w:afterAutospacing="1" w:line="240" w:lineRule="auto"/>
    </w:pPr>
    <w:rPr>
      <w:rFonts w:ascii="Times New Roman" w:eastAsia="Times New Roman" w:hAnsi="Times New Roman" w:cs="Times New Roman"/>
      <w:sz w:val="24"/>
      <w:szCs w:val="24"/>
      <w:lang w:val="es-VE"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8419533">
      <w:bodyDiv w:val="1"/>
      <w:marLeft w:val="0"/>
      <w:marRight w:val="0"/>
      <w:marTop w:val="0"/>
      <w:marBottom w:val="0"/>
      <w:divBdr>
        <w:top w:val="none" w:sz="0" w:space="0" w:color="auto"/>
        <w:left w:val="none" w:sz="0" w:space="0" w:color="auto"/>
        <w:bottom w:val="none" w:sz="0" w:space="0" w:color="auto"/>
        <w:right w:val="none" w:sz="0" w:space="0" w:color="auto"/>
      </w:divBdr>
      <w:divsChild>
        <w:div w:id="885719801">
          <w:marLeft w:val="0"/>
          <w:marRight w:val="0"/>
          <w:marTop w:val="0"/>
          <w:marBottom w:val="0"/>
          <w:divBdr>
            <w:top w:val="none" w:sz="0" w:space="0" w:color="auto"/>
            <w:left w:val="none" w:sz="0" w:space="0" w:color="auto"/>
            <w:bottom w:val="none" w:sz="0" w:space="0" w:color="auto"/>
            <w:right w:val="none" w:sz="0" w:space="0" w:color="auto"/>
          </w:divBdr>
        </w:div>
        <w:div w:id="193158181">
          <w:marLeft w:val="0"/>
          <w:marRight w:val="0"/>
          <w:marTop w:val="0"/>
          <w:marBottom w:val="0"/>
          <w:divBdr>
            <w:top w:val="none" w:sz="0" w:space="0" w:color="auto"/>
            <w:left w:val="none" w:sz="0" w:space="0" w:color="auto"/>
            <w:bottom w:val="none" w:sz="0" w:space="0" w:color="auto"/>
            <w:right w:val="none" w:sz="0" w:space="0" w:color="auto"/>
          </w:divBdr>
        </w:div>
        <w:div w:id="1469668937">
          <w:marLeft w:val="0"/>
          <w:marRight w:val="0"/>
          <w:marTop w:val="0"/>
          <w:marBottom w:val="0"/>
          <w:divBdr>
            <w:top w:val="none" w:sz="0" w:space="0" w:color="auto"/>
            <w:left w:val="none" w:sz="0" w:space="0" w:color="auto"/>
            <w:bottom w:val="none" w:sz="0" w:space="0" w:color="auto"/>
            <w:right w:val="none" w:sz="0" w:space="0" w:color="auto"/>
          </w:divBdr>
        </w:div>
        <w:div w:id="830412213">
          <w:marLeft w:val="0"/>
          <w:marRight w:val="0"/>
          <w:marTop w:val="0"/>
          <w:marBottom w:val="0"/>
          <w:divBdr>
            <w:top w:val="none" w:sz="0" w:space="0" w:color="auto"/>
            <w:left w:val="none" w:sz="0" w:space="0" w:color="auto"/>
            <w:bottom w:val="none" w:sz="0" w:space="0" w:color="auto"/>
            <w:right w:val="none" w:sz="0" w:space="0" w:color="auto"/>
          </w:divBdr>
        </w:div>
        <w:div w:id="319044267">
          <w:marLeft w:val="0"/>
          <w:marRight w:val="0"/>
          <w:marTop w:val="0"/>
          <w:marBottom w:val="0"/>
          <w:divBdr>
            <w:top w:val="none" w:sz="0" w:space="0" w:color="auto"/>
            <w:left w:val="none" w:sz="0" w:space="0" w:color="auto"/>
            <w:bottom w:val="none" w:sz="0" w:space="0" w:color="auto"/>
            <w:right w:val="none" w:sz="0" w:space="0" w:color="auto"/>
          </w:divBdr>
        </w:div>
      </w:divsChild>
    </w:div>
    <w:div w:id="1051347225">
      <w:bodyDiv w:val="1"/>
      <w:marLeft w:val="0"/>
      <w:marRight w:val="0"/>
      <w:marTop w:val="0"/>
      <w:marBottom w:val="0"/>
      <w:divBdr>
        <w:top w:val="none" w:sz="0" w:space="0" w:color="auto"/>
        <w:left w:val="none" w:sz="0" w:space="0" w:color="auto"/>
        <w:bottom w:val="none" w:sz="0" w:space="0" w:color="auto"/>
        <w:right w:val="none" w:sz="0" w:space="0" w:color="auto"/>
      </w:divBdr>
      <w:divsChild>
        <w:div w:id="1877309207">
          <w:marLeft w:val="0"/>
          <w:marRight w:val="0"/>
          <w:marTop w:val="0"/>
          <w:marBottom w:val="0"/>
          <w:divBdr>
            <w:top w:val="none" w:sz="0" w:space="0" w:color="auto"/>
            <w:left w:val="none" w:sz="0" w:space="0" w:color="auto"/>
            <w:bottom w:val="none" w:sz="0" w:space="0" w:color="auto"/>
            <w:right w:val="none" w:sz="0" w:space="0" w:color="auto"/>
          </w:divBdr>
        </w:div>
        <w:div w:id="1402828369">
          <w:marLeft w:val="0"/>
          <w:marRight w:val="0"/>
          <w:marTop w:val="0"/>
          <w:marBottom w:val="0"/>
          <w:divBdr>
            <w:top w:val="none" w:sz="0" w:space="0" w:color="auto"/>
            <w:left w:val="none" w:sz="0" w:space="0" w:color="auto"/>
            <w:bottom w:val="none" w:sz="0" w:space="0" w:color="auto"/>
            <w:right w:val="none" w:sz="0" w:space="0" w:color="auto"/>
          </w:divBdr>
        </w:div>
        <w:div w:id="1815371031">
          <w:marLeft w:val="0"/>
          <w:marRight w:val="0"/>
          <w:marTop w:val="0"/>
          <w:marBottom w:val="0"/>
          <w:divBdr>
            <w:top w:val="none" w:sz="0" w:space="0" w:color="auto"/>
            <w:left w:val="none" w:sz="0" w:space="0" w:color="auto"/>
            <w:bottom w:val="none" w:sz="0" w:space="0" w:color="auto"/>
            <w:right w:val="none" w:sz="0" w:space="0" w:color="auto"/>
          </w:divBdr>
        </w:div>
        <w:div w:id="1312172940">
          <w:marLeft w:val="0"/>
          <w:marRight w:val="0"/>
          <w:marTop w:val="0"/>
          <w:marBottom w:val="0"/>
          <w:divBdr>
            <w:top w:val="none" w:sz="0" w:space="0" w:color="auto"/>
            <w:left w:val="none" w:sz="0" w:space="0" w:color="auto"/>
            <w:bottom w:val="none" w:sz="0" w:space="0" w:color="auto"/>
            <w:right w:val="none" w:sz="0" w:space="0" w:color="auto"/>
          </w:divBdr>
        </w:div>
        <w:div w:id="2064982508">
          <w:marLeft w:val="0"/>
          <w:marRight w:val="0"/>
          <w:marTop w:val="0"/>
          <w:marBottom w:val="0"/>
          <w:divBdr>
            <w:top w:val="none" w:sz="0" w:space="0" w:color="auto"/>
            <w:left w:val="none" w:sz="0" w:space="0" w:color="auto"/>
            <w:bottom w:val="none" w:sz="0" w:space="0" w:color="auto"/>
            <w:right w:val="none" w:sz="0" w:space="0" w:color="auto"/>
          </w:divBdr>
        </w:div>
        <w:div w:id="1515071359">
          <w:marLeft w:val="0"/>
          <w:marRight w:val="0"/>
          <w:marTop w:val="0"/>
          <w:marBottom w:val="0"/>
          <w:divBdr>
            <w:top w:val="none" w:sz="0" w:space="0" w:color="auto"/>
            <w:left w:val="none" w:sz="0" w:space="0" w:color="auto"/>
            <w:bottom w:val="none" w:sz="0" w:space="0" w:color="auto"/>
            <w:right w:val="none" w:sz="0" w:space="0" w:color="auto"/>
          </w:divBdr>
        </w:div>
      </w:divsChild>
    </w:div>
    <w:div w:id="1088573767">
      <w:bodyDiv w:val="1"/>
      <w:marLeft w:val="0"/>
      <w:marRight w:val="0"/>
      <w:marTop w:val="0"/>
      <w:marBottom w:val="0"/>
      <w:divBdr>
        <w:top w:val="none" w:sz="0" w:space="0" w:color="auto"/>
        <w:left w:val="none" w:sz="0" w:space="0" w:color="auto"/>
        <w:bottom w:val="none" w:sz="0" w:space="0" w:color="auto"/>
        <w:right w:val="none" w:sz="0" w:space="0" w:color="auto"/>
      </w:divBdr>
    </w:div>
    <w:div w:id="2124304868">
      <w:bodyDiv w:val="1"/>
      <w:marLeft w:val="0"/>
      <w:marRight w:val="0"/>
      <w:marTop w:val="0"/>
      <w:marBottom w:val="0"/>
      <w:divBdr>
        <w:top w:val="none" w:sz="0" w:space="0" w:color="auto"/>
        <w:left w:val="none" w:sz="0" w:space="0" w:color="auto"/>
        <w:bottom w:val="none" w:sz="0" w:space="0" w:color="auto"/>
        <w:right w:val="none" w:sz="0" w:space="0" w:color="auto"/>
      </w:divBdr>
      <w:divsChild>
        <w:div w:id="707100038">
          <w:marLeft w:val="0"/>
          <w:marRight w:val="0"/>
          <w:marTop w:val="0"/>
          <w:marBottom w:val="0"/>
          <w:divBdr>
            <w:top w:val="none" w:sz="0" w:space="0" w:color="auto"/>
            <w:left w:val="none" w:sz="0" w:space="0" w:color="auto"/>
            <w:bottom w:val="none" w:sz="0" w:space="0" w:color="auto"/>
            <w:right w:val="none" w:sz="0" w:space="0" w:color="auto"/>
          </w:divBdr>
          <w:divsChild>
            <w:div w:id="683290872">
              <w:marLeft w:val="0"/>
              <w:marRight w:val="0"/>
              <w:marTop w:val="0"/>
              <w:marBottom w:val="0"/>
              <w:divBdr>
                <w:top w:val="none" w:sz="0" w:space="0" w:color="auto"/>
                <w:left w:val="none" w:sz="0" w:space="0" w:color="auto"/>
                <w:bottom w:val="none" w:sz="0" w:space="0" w:color="auto"/>
                <w:right w:val="none" w:sz="0" w:space="0" w:color="auto"/>
              </w:divBdr>
            </w:div>
          </w:divsChild>
        </w:div>
        <w:div w:id="943928067">
          <w:marLeft w:val="0"/>
          <w:marRight w:val="0"/>
          <w:marTop w:val="0"/>
          <w:marBottom w:val="0"/>
          <w:divBdr>
            <w:top w:val="none" w:sz="0" w:space="0" w:color="auto"/>
            <w:left w:val="none" w:sz="0" w:space="0" w:color="auto"/>
            <w:bottom w:val="none" w:sz="0" w:space="0" w:color="auto"/>
            <w:right w:val="none" w:sz="0" w:space="0" w:color="auto"/>
          </w:divBdr>
          <w:divsChild>
            <w:div w:id="953515729">
              <w:marLeft w:val="0"/>
              <w:marRight w:val="0"/>
              <w:marTop w:val="0"/>
              <w:marBottom w:val="0"/>
              <w:divBdr>
                <w:top w:val="none" w:sz="0" w:space="0" w:color="auto"/>
                <w:left w:val="none" w:sz="0" w:space="0" w:color="auto"/>
                <w:bottom w:val="none" w:sz="0" w:space="0" w:color="auto"/>
                <w:right w:val="none" w:sz="0" w:space="0" w:color="auto"/>
              </w:divBdr>
              <w:divsChild>
                <w:div w:id="337075628">
                  <w:marLeft w:val="0"/>
                  <w:marRight w:val="0"/>
                  <w:marTop w:val="0"/>
                  <w:marBottom w:val="0"/>
                  <w:divBdr>
                    <w:top w:val="none" w:sz="0" w:space="0" w:color="auto"/>
                    <w:left w:val="none" w:sz="0" w:space="0" w:color="auto"/>
                    <w:bottom w:val="none" w:sz="0" w:space="0" w:color="auto"/>
                    <w:right w:val="none" w:sz="0" w:space="0" w:color="auto"/>
                  </w:divBdr>
                  <w:divsChild>
                    <w:div w:id="7813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840591">
          <w:marLeft w:val="0"/>
          <w:marRight w:val="0"/>
          <w:marTop w:val="0"/>
          <w:marBottom w:val="0"/>
          <w:divBdr>
            <w:top w:val="none" w:sz="0" w:space="0" w:color="auto"/>
            <w:left w:val="none" w:sz="0" w:space="0" w:color="auto"/>
            <w:bottom w:val="none" w:sz="0" w:space="0" w:color="auto"/>
            <w:right w:val="none" w:sz="0" w:space="0" w:color="auto"/>
          </w:divBdr>
          <w:divsChild>
            <w:div w:id="1737626605">
              <w:marLeft w:val="0"/>
              <w:marRight w:val="0"/>
              <w:marTop w:val="0"/>
              <w:marBottom w:val="0"/>
              <w:divBdr>
                <w:top w:val="none" w:sz="0" w:space="0" w:color="auto"/>
                <w:left w:val="none" w:sz="0" w:space="0" w:color="auto"/>
                <w:bottom w:val="none" w:sz="0" w:space="0" w:color="auto"/>
                <w:right w:val="none" w:sz="0" w:space="0" w:color="auto"/>
              </w:divBdr>
              <w:divsChild>
                <w:div w:id="218980528">
                  <w:marLeft w:val="0"/>
                  <w:marRight w:val="0"/>
                  <w:marTop w:val="0"/>
                  <w:marBottom w:val="0"/>
                  <w:divBdr>
                    <w:top w:val="none" w:sz="0" w:space="0" w:color="auto"/>
                    <w:left w:val="none" w:sz="0" w:space="0" w:color="auto"/>
                    <w:bottom w:val="none" w:sz="0" w:space="0" w:color="auto"/>
                    <w:right w:val="none" w:sz="0" w:space="0" w:color="auto"/>
                  </w:divBdr>
                  <w:divsChild>
                    <w:div w:id="2284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75874">
          <w:marLeft w:val="0"/>
          <w:marRight w:val="0"/>
          <w:marTop w:val="0"/>
          <w:marBottom w:val="0"/>
          <w:divBdr>
            <w:top w:val="none" w:sz="0" w:space="0" w:color="auto"/>
            <w:left w:val="none" w:sz="0" w:space="0" w:color="auto"/>
            <w:bottom w:val="none" w:sz="0" w:space="0" w:color="auto"/>
            <w:right w:val="none" w:sz="0" w:space="0" w:color="auto"/>
          </w:divBdr>
          <w:divsChild>
            <w:div w:id="523980945">
              <w:marLeft w:val="0"/>
              <w:marRight w:val="0"/>
              <w:marTop w:val="0"/>
              <w:marBottom w:val="0"/>
              <w:divBdr>
                <w:top w:val="none" w:sz="0" w:space="0" w:color="auto"/>
                <w:left w:val="none" w:sz="0" w:space="0" w:color="auto"/>
                <w:bottom w:val="none" w:sz="0" w:space="0" w:color="auto"/>
                <w:right w:val="none" w:sz="0" w:space="0" w:color="auto"/>
              </w:divBdr>
              <w:divsChild>
                <w:div w:id="1012226272">
                  <w:marLeft w:val="0"/>
                  <w:marRight w:val="0"/>
                  <w:marTop w:val="0"/>
                  <w:marBottom w:val="0"/>
                  <w:divBdr>
                    <w:top w:val="none" w:sz="0" w:space="0" w:color="auto"/>
                    <w:left w:val="none" w:sz="0" w:space="0" w:color="auto"/>
                    <w:bottom w:val="none" w:sz="0" w:space="0" w:color="auto"/>
                    <w:right w:val="none" w:sz="0" w:space="0" w:color="auto"/>
                  </w:divBdr>
                  <w:divsChild>
                    <w:div w:id="392001559">
                      <w:marLeft w:val="0"/>
                      <w:marRight w:val="0"/>
                      <w:marTop w:val="0"/>
                      <w:marBottom w:val="0"/>
                      <w:divBdr>
                        <w:top w:val="none" w:sz="0" w:space="0" w:color="auto"/>
                        <w:left w:val="none" w:sz="0" w:space="0" w:color="auto"/>
                        <w:bottom w:val="none" w:sz="0" w:space="0" w:color="auto"/>
                        <w:right w:val="none" w:sz="0" w:space="0" w:color="auto"/>
                      </w:divBdr>
                      <w:divsChild>
                        <w:div w:id="120875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Zoho&amp;sca_esv=f73d9469f7b455ed&amp;sxsrf=AE3TifNtJw9Shm3HxR6vLzAZL6Ejrl5Z3g%3A1766608141885&amp;source=hp&amp;ei=DU1MabrSMe-XwbkP8rvXyQQ&amp;iflsig=AOw8s4IAAAAAaUxbHVwDYG3tvswspi_xdtMUVL8rXtJO&amp;ved=2ahUKEwi7vJ-qiNeRAxWiSjABHcGWDzkQgK4QegQIARAE&amp;uact=5&amp;oq=contabilidad+digital+en+venezuela&amp;gs_lp=Egdnd3Mtd2l6IiFjb250YWJpbGlkYWQgZGlnaXRhbCBlbiB2ZW5lenVlbGEyBhAAGBYYHjIIEAAYgAQYogQyCBAAGIAEGKIEMggQABiABBiiBDIIEAAYgAQYogRIjKACUOQHWNOdAnAJeACQAQCYAdsGoAGBT6oBDjAuMjguMy4xLjQuMS40uAEDyAEA-AEBmAIyoALmW6gCCsICBxAjGCcY6gLCAgoQIxjwBRgnGOoCwgIKECMYgAQYJxiKBcICBBAjGCfCAggQABiABBixA8ICCxAAGIAEGLEDGIMBwgILEC4YgAQYsQMYgwHCAg4QLhiABBixAxjRAxjHAcICBRAAGIAEwgIOEAAYgAQYsQMYgwEYigXCAggQLhiABBixA8ICCxAuGIAEGNEDGMcBwgILEC4YgAQYxwEYrwHCAg4QLhiABBixAxiDARiKBcICBRAuGIAEwgIIEAAYFhgKGB7CAgUQABjvBcICCBAAGKIEGIkFmAOnAfEFUD2TivOzUY6SBw44LjI2LjYuMC41LjIuM6AHwZACsgcOMC4yNS42LjAuNS4yLjO4B8BYwgcNMi0zLjIzLjIwLjIuMsgHlwqACAA&amp;sclient=gws-wiz&amp;mstk=AUtExfCd-gg0nDrB35c00tlctZ2dlOajIdSCv_kVwwIwD5l7mHjYwkHuyUCEXt06aZdlN2XKObLp2ksReoDRODfJHz9zRiBXSXSp5Ndt9LfIdyg4UIh2_pWVs5MyErlAOrZd3GQj7N6sbyRMQ3xpoK7i4MjtGDOkiq6RM_b9kgFxp1jU0L4&amp;csui=3" TargetMode="External"/><Relationship Id="rId13" Type="http://schemas.openxmlformats.org/officeDocument/2006/relationships/hyperlink" Target="https://venezuela.un.org/es/sdgs" TargetMode="External"/><Relationship Id="rId3" Type="http://schemas.openxmlformats.org/officeDocument/2006/relationships/settings" Target="settings.xml"/><Relationship Id="rId7" Type="http://schemas.openxmlformats.org/officeDocument/2006/relationships/hyperlink" Target="https://www.google.com/search?q=SENIAT&amp;sca_esv=f73d9469f7b455ed&amp;sxsrf=AE3TifNtJw9Shm3HxR6vLzAZL6Ejrl5Z3g%3A1766608141885&amp;source=hp&amp;ei=DU1MabrSMe-XwbkP8rvXyQQ&amp;iflsig=AOw8s4IAAAAAaUxbHVwDYG3tvswspi_xdtMUVL8rXtJO&amp;ved=2ahUKEwi7vJ-qiNeRAxWiSjABHcGWDzkQgK4QegQIARAC&amp;uact=5&amp;oq=contabilidad+digital+en+venezuela&amp;gs_lp=Egdnd3Mtd2l6IiFjb250YWJpbGlkYWQgZGlnaXRhbCBlbiB2ZW5lenVlbGEyBhAAGBYYHjIIEAAYgAQYogQyCBAAGIAEGKIEMggQABiABBiiBDIIEAAYgAQYogRIjKACUOQHWNOdAnAJeACQAQCYAdsGoAGBT6oBDjAuMjguMy4xLjQuMS40uAEDyAEA-AEBmAIyoALmW6gCCsICBxAjGCcY6gLCAgoQIxjwBRgnGOoCwgIKECMYgAQYJxiKBcICBBAjGCfCAggQABiABBixA8ICCxAAGIAEGLEDGIMBwgILEC4YgAQYsQMYgwHCAg4QLhiABBixAxjRAxjHAcICBRAAGIAEwgIOEAAYgAQYsQMYgwEYigXCAggQLhiABBixA8ICCxAuGIAEGNEDGMcBwgILEC4YgAQYxwEYrwHCAg4QLhiABBixAxiDARiKBcICBRAuGIAEwgIIEAAYFhgKGB7CAgUQABjvBcICCBAAGKIEGIkFmAOnAfEFUD2TivOzUY6SBw44LjI2LjYuMC41LjIuM6AHwZACsgcOMC4yNS42LjAuNS4yLjO4B8BYwgcNMi0zLjIzLjIwLjIuMsgHlwqACAA&amp;sclient=gws-wiz&amp;mstk=AUtExfCd-gg0nDrB35c00tlctZ2dlOajIdSCv_kVwwIwD5l7mHjYwkHuyUCEXt06aZdlN2XKObLp2ksReoDRODfJHz9zRiBXSXSp5Ndt9LfIdyg4UIh2_pWVs5MyErlAOrZd3GQj7N6sbyRMQ3xpoK7i4MjtGDOkiq6RM_b9kgFxp1jU0L4&amp;csui=3" TargetMode="External"/><Relationship Id="rId12" Type="http://schemas.openxmlformats.org/officeDocument/2006/relationships/hyperlink" Target="https://asobanca.com.ve/glossary/criterios-asg-ambientales-sociales-gobernanza-esg-environmental-social-governance-criter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channel/UCLPRYTdlBxWFF5uWc82zzhg" TargetMode="External"/><Relationship Id="rId11" Type="http://schemas.openxmlformats.org/officeDocument/2006/relationships/hyperlink" Target="https://www.deloitte.com/es/es/services/risk-advisory/blogs/sostenibilidad-deloitte/que-son-criterios-esg-para-que-sirven.html" TargetMode="External"/><Relationship Id="rId5" Type="http://schemas.openxmlformats.org/officeDocument/2006/relationships/hyperlink" Target="http://www.oncop.gob.ve/site/vistas/principal/normativa_legal.php?op=%3CMA==/" TargetMode="External"/><Relationship Id="rId15" Type="http://schemas.openxmlformats.org/officeDocument/2006/relationships/theme" Target="theme/theme1.xml"/><Relationship Id="rId10" Type="http://schemas.openxmlformats.org/officeDocument/2006/relationships/hyperlink" Target="https://www.google.com/search?q=ONCOP&amp;sca_esv=f73d9469f7b455ed&amp;sxsrf=AE3TifNtJw9Shm3HxR6vLzAZL6Ejrl5Z3g%3A1766608141885&amp;source=hp&amp;ei=DU1MabrSMe-XwbkP8rvXyQQ&amp;iflsig=AOw8s4IAAAAAaUxbHVwDYG3tvswspi_xdtMUVL8rXtJO&amp;ved=2ahUKEwi7vJ-qiNeRAxWiSjABHcGWDzkQgK4QegQIARAG&amp;uact=5&amp;oq=contabilidad+digital+en+venezuela&amp;gs_lp=Egdnd3Mtd2l6IiFjb250YWJpbGlkYWQgZGlnaXRhbCBlbiB2ZW5lenVlbGEyBhAAGBYYHjIIEAAYgAQYogQyCBAAGIAEGKIEMggQABiABBiiBDIIEAAYgAQYogRIjKACUOQHWNOdAnAJeACQAQCYAdsGoAGBT6oBDjAuMjguMy4xLjQuMS40uAEDyAEA-AEBmAIyoALmW6gCCsICBxAjGCcY6gLCAgoQIxjwBRgnGOoCwgIKECMYgAQYJxiKBcICBBAjGCfCAggQABiABBixA8ICCxAAGIAEGLEDGIMBwgILEC4YgAQYsQMYgwHCAg4QLhiABBixAxjRAxjHAcICBRAAGIAEwgIOEAAYgAQYsQMYgwEYigXCAggQLhiABBixA8ICCxAuGIAEGNEDGMcBwgILEC4YgAQYxwEYrwHCAg4QLhiABBixAxiDARiKBcICBRAuGIAEwgIIEAAYFhgKGB7CAgUQABjvBcICCBAAGKIEGIkFmAOnAfEFUD2TivOzUY6SBw44LjI2LjYuMC41LjIuM6AHwZACsgcOMC4yNS42LjAuNS4yLjO4B8BYwgcNMi0zLjIzLjIwLjIuMsgHlwqACAA&amp;sclient=gws-wiz&amp;mstk=AUtExfCd-gg0nDrB35c00tlctZ2dlOajIdSCv_kVwwIwD5l7mHjYwkHuyUCEXt06aZdlN2XKObLp2ksReoDRODfJHz9zRiBXSXSp5Ndt9LfIdyg4UIh2_pWVs5MyErlAOrZd3GQj7N6sbyRMQ3xpoK7i4MjtGDOkiq6RM_b9kgFxp1jU0L4&amp;csui=3" TargetMode="External"/><Relationship Id="rId4" Type="http://schemas.openxmlformats.org/officeDocument/2006/relationships/webSettings" Target="webSettings.xml"/><Relationship Id="rId9" Type="http://schemas.openxmlformats.org/officeDocument/2006/relationships/hyperlink" Target="https://www.google.com/search?q=K2B&amp;sca_esv=f73d9469f7b455ed&amp;sxsrf=AE3TifNtJw9Shm3HxR6vLzAZL6Ejrl5Z3g%3A1766608141885&amp;source=hp&amp;ei=DU1MabrSMe-XwbkP8rvXyQQ&amp;iflsig=AOw8s4IAAAAAaUxbHVwDYG3tvswspi_xdtMUVL8rXtJO&amp;ved=2ahUKEwi7vJ-qiNeRAxWiSjABHcGWDzkQgK4QegQIARAF&amp;uact=5&amp;oq=contabilidad+digital+en+venezuela&amp;gs_lp=Egdnd3Mtd2l6IiFjb250YWJpbGlkYWQgZGlnaXRhbCBlbiB2ZW5lenVlbGEyBhAAGBYYHjIIEAAYgAQYogQyCBAAGIAEGKIEMggQABiABBiiBDIIEAAYgAQYogRIjKACUOQHWNOdAnAJeACQAQCYAdsGoAGBT6oBDjAuMjguMy4xLjQuMS40uAEDyAEA-AEBmAIyoALmW6gCCsICBxAjGCcY6gLCAgoQIxjwBRgnGOoCwgIKECMYgAQYJxiKBcICBBAjGCfCAggQABiABBixA8ICCxAAGIAEGLEDGIMBwgILEC4YgAQYsQMYgwHCAg4QLhiABBixAxjRAxjHAcICBRAAGIAEwgIOEAAYgAQYsQMYgwEYigXCAggQLhiABBixA8ICCxAuGIAEGNEDGMcBwgILEC4YgAQYxwEYrwHCAg4QLhiABBixAxiDARiKBcICBRAuGIAEwgIIEAAYFhgKGB7CAgUQABjvBcICCBAAGKIEGIkFmAOnAfEFUD2TivOzUY6SBw44LjI2LjYuMC41LjIuM6AHwZACsgcOMC4yNS42LjAuNS4yLjO4B8BYwgcNMi0zLjIzLjIwLjIuMsgHlwqACAA&amp;sclient=gws-wiz&amp;mstk=AUtExfCd-gg0nDrB35c00tlctZ2dlOajIdSCv_kVwwIwD5l7mHjYwkHuyUCEXt06aZdlN2XKObLp2ksReoDRODfJHz9zRiBXSXSp5Ndt9LfIdyg4UIh2_pWVs5MyErlAOrZd3GQj7N6sbyRMQ3xpoK7i4MjtGDOkiq6RM_b9kgFxp1jU0L4&amp;csui=3"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1683</TotalTime>
  <Pages>5</Pages>
  <Words>2586</Words>
  <Characters>14224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Cuenta Microsoft</cp:lastModifiedBy>
  <cp:revision>8</cp:revision>
  <dcterms:created xsi:type="dcterms:W3CDTF">2025-12-24T20:34:00Z</dcterms:created>
  <dcterms:modified xsi:type="dcterms:W3CDTF">2025-12-29T19:56:00Z</dcterms:modified>
</cp:coreProperties>
</file>