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September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rPr>
          <w:rFonts w:ascii="Times New Roman" w:hAnsi="Times New Roman" w:cs="Times New Roman"/>
        </w:rPr>
        <w:t>4</w:t>
      </w:r>
      <w:r w:rsidR="00A00D09">
        <w:rPr>
          <w:rFonts w:ascii="Times New Roman" w:hAnsi="Times New Roman" w:cs="Times New Roman"/>
        </w:rPr>
        <w:t>. China Walls</w:t>
      </w:r>
      <w:r w:rsidR="00C23D31">
        <w:rPr>
          <w:rFonts w:ascii="Times New Roman" w:hAnsi="Times New Roman" w:cs="Times New Roman"/>
        </w:rPr>
        <w:tab/>
        <w:t xml:space="preserve">Conditionally accepted at </w:t>
      </w:r>
      <w:r>
        <w:rPr>
          <w:rFonts w:ascii="Times New Roman" w:hAnsi="Times New Roman" w:cs="Times New Roman"/>
        </w:rPr>
        <w:t>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Holden Conference,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100" w:lineRule="exact"/>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