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E37DAF">
      <w:pPr>
        <w:pStyle w:val="2"/>
        <w:keepNext/>
        <w:pageBreakBefore/>
        <w:jc w:val="center"/>
        <w:rPr>
          <w:rFonts w:hint="default" w:ascii="Times New Roman Regular" w:hAnsi="Times New Roman Regular" w:cs="Times New Roman Regular"/>
          <w:sz w:val="24"/>
          <w:szCs w:val="24"/>
          <w:lang w:val="en-US" w:eastAsia="zh-CN"/>
        </w:rPr>
      </w:pPr>
      <w:r>
        <w:rPr>
          <w:rFonts w:ascii="Times New Roman" w:hAnsi="Times New Roman" w:eastAsia="Times New Roman"/>
        </w:rPr>
        <w:t xml:space="preserve">Supplementary Material 1: Comparison-Structure Routing Specification</w:t>
      </w:r>
    </w:p>
    <w:bookmarkEnd w:id="0"/>
    <w:p w14:paraId="2FD77C00">
      <w:pPr>
        <w:spacing w:after="80" w:line="259" w:lineRule="auto"/>
        <w:ind w:left="0" w:right="0" w:firstLine="0"/>
        <w:jc w:val="both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</w:rPr>
        <w:t xml:space="preserve">TRACE-CU used a two-stage comparison-routing process. LLM-assisted contextual analysis first generated a candidate comparison-structure label from the PubMed abstract. The prespecified hierarchical rules below were subsequently applied to route assignment and ambiguity resolution and did not replace the upstream contextual-recognition step.</w:t>
      </w:r>
    </w:p>
    <w:p w14:paraId="74696BEA">
      <w:pPr>
        <w:spacing w:after="30" w:line="252" w:lineRule="auto"/>
        <w:ind w:left="720" w:hanging="360"/>
        <w:jc w:val="left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sz w:val="19"/>
        </w:rPr>
        <w:t>1. Explicit comparator check. If the abstract reported one therapeutic strategy without an explicit concurrent comparator, the evaluation was assigned to `Single-arm therapeutic evaluation`.</w:t>
      </w:r>
    </w:p>
    <w:p w14:paraId="04EAFB99">
      <w:pPr>
        <w:spacing w:after="30" w:line="252" w:lineRule="auto"/>
        <w:ind w:left="720" w:hanging="360"/>
        <w:jc w:val="left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sz w:val="19"/>
        </w:rPr>
        <w:t>2. Multi-arm pair check. If the study contained three or more treatment arms, cohorts, or strategies and the abstract explicitly reported a treatment-pair comparison, the evaluation was assigned to `Pairwise comparison within a multi-arm trial`.</w:t>
      </w:r>
    </w:p>
    <w:p w14:paraId="21AEB8E1">
      <w:pPr>
        <w:spacing w:after="30" w:line="252" w:lineRule="auto"/>
        <w:ind w:left="720" w:hanging="360"/>
        <w:jc w:val="left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sz w:val="19"/>
        </w:rPr>
        <w:t>3. Population-boundary check. If the evaluation was not assigned to the multi-arm pairwise route and the reported result was independently attributable to an explicitly defined subgroup or population boundary, it was assigned to `Population-specific therapeutic comparison`.</w:t>
      </w:r>
    </w:p>
    <w:p w14:paraId="78C0CC3A">
      <w:pPr>
        <w:spacing w:after="30" w:line="252" w:lineRule="auto"/>
        <w:ind w:left="720" w:hanging="360"/>
        <w:jc w:val="left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sz w:val="19"/>
        </w:rPr>
        <w:t>4. Standard pairwise check. If two therapeutic strategies were explicitly compared and the evaluation did not meet the preceding criteria, it was assigned to `Pairwise therapeutic comparison`.</w:t>
      </w:r>
    </w:p>
    <w:p w14:paraId="2BCEDA61">
      <w:pPr>
        <w:spacing w:after="30" w:line="252" w:lineRule="auto"/>
        <w:ind w:left="720" w:hanging="360"/>
        <w:jc w:val="left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sz w:val="19"/>
        </w:rPr>
        <w:t>5. Insufficient-structure check. If the abstract did not provide sufficient information to determine a clinically interpretable comparison boundary, the structure was marked `Unresolved` and routed to manual review. An unresolved record was not converted into a verified CU slot.</w:t>
      </w:r>
    </w:p>
    <w:p w14:paraId="2BA5DF74">
      <w:pPr>
        <w:spacing w:after="80" w:line="259" w:lineRule="auto"/>
        <w:ind w:left="0" w:right="0" w:firstLine="0"/>
        <w:jc w:val="both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sz w:val="19"/>
        </w:rPr>
        <w:t>This precedence rule prevented duplicate primary labels. For example, a subgroup comparison reported within a three-arm trial was assigned to the multi-arm pairwise route, while the subgroup definition remained part of the population context. A subgroup-specific result from a two-arm study could be assigned to the population-specific route when it represented an independently reported therapeutic evaluation.</w:t>
      </w:r>
    </w:p>
    <w:p w14:paraId="36AD469B">
      <w:pPr>
        <w:spacing w:after="80" w:line="259" w:lineRule="auto"/>
        <w:ind w:left="0" w:right="0" w:firstLine="0"/>
        <w:jc w:val="both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  <w:sz w:val="19"/>
        </w:rPr>
        <w:t>The primary route label was an operational processing label. It did not replace the original study-design or phase metadata.</w:t>
      </w:r>
    </w:p>
    <w:p>
      <w:pPr>
        <w:spacing w:after="80" w:line="259" w:lineRule="auto"/>
        <w:ind w:left="0" w:right="0" w:firstLine="0"/>
        <w:jc w:val="both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</w:rPr>
        <w:t xml:space="preserve">Dose, administration-frequency, treatment-sequence, schedule, and factorial comparisons were processed by the general comparison-analysis module according to source-supported contextual relationships in the abstract. A CU was instantiated only when the comparison was explicitly reported and was mapped to the existing pairwise or multi-arm route according to the reported treatment structure; unreported or merely theoretically possible contrasts were not generated.</w:t>
      </w:r>
    </w:p>
    <w:p w14:paraId="0BB68C70">
      <w:pPr>
        <w:pStyle w:val="7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</w:rPr>
        <w:t xml:space="preserve">Table </w:t>
      </w:r>
      <w:r>
        <w:rPr>
          <w:rFonts w:hint="eastAsia" w:ascii="Times New Roman Regular" w:hAnsi="Times New Roman Regular" w:eastAsia="宋体" w:cs="Times New Roman Regular"/>
          <w:b/>
          <w:lang w:val="en-US" w:eastAsia="zh-CN"/>
        </w:rPr>
        <w:t>1</w:t>
      </w:r>
      <w:r>
        <w:rPr>
          <w:rFonts w:hint="default" w:ascii="Times New Roman Regular" w:hAnsi="Times New Roman Regular" w:cs="Times New Roman Regular"/>
          <w:b/>
        </w:rPr>
        <w:t>. Four comparison structures and CU-slot rules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3"/>
        <w:gridCol w:w="2033"/>
        <w:gridCol w:w="2033"/>
        <w:gridCol w:w="2033"/>
        <w:gridCol w:w="2033"/>
      </w:tblGrid>
      <w:tr w14:paraId="70DBD246">
        <w:trPr>
          <w:cantSplit/>
          <w:tblHeader/>
          <w:jc w:val="center"/>
        </w:trPr>
        <w:tc>
          <w:tcPr>
            <w:tcW w:w="203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DDF28">
            <w:pPr>
              <w:spacing w:before="0"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sz w:val="16"/>
              </w:rPr>
              <w:t>Primary comparison structure</w:t>
            </w:r>
          </w:p>
        </w:tc>
        <w:tc>
          <w:tcPr>
            <w:tcW w:w="203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FA377">
            <w:pPr>
              <w:spacing w:before="0"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sz w:val="16"/>
              </w:rPr>
              <w:t>Required source-supported conditions</w:t>
            </w:r>
          </w:p>
        </w:tc>
        <w:tc>
          <w:tcPr>
            <w:tcW w:w="203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27303">
            <w:pPr>
              <w:spacing w:before="0"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sz w:val="16"/>
              </w:rPr>
              <w:t>Comparator status</w:t>
            </w:r>
          </w:p>
        </w:tc>
        <w:tc>
          <w:tcPr>
            <w:tcW w:w="203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CA1460">
            <w:pPr>
              <w:spacing w:before="0"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sz w:val="16"/>
              </w:rPr>
              <w:t>Comparison-slot rule</w:t>
            </w:r>
          </w:p>
        </w:tc>
        <w:tc>
          <w:tcPr>
            <w:tcW w:w="203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91260">
            <w:pPr>
              <w:spacing w:before="0" w:after="0" w:line="240" w:lineRule="auto"/>
              <w:jc w:val="center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eastAsia="Times New Roman" w:cs="Times New Roman Regular"/>
                <w:b/>
                <w:sz w:val="16"/>
              </w:rPr>
              <w:t>Prohibited automatic action</w:t>
            </w:r>
          </w:p>
        </w:tc>
      </w:tr>
      <w:tr w14:paraId="237AFC5A">
        <w:trPr>
          <w:cantSplit/>
          <w:jc w:val="center"/>
        </w:trPr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C9833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Pairwise therapeutic comparison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F6215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Two explicitly contrasted therapeutic strategies, one shared outcome context, and a source-supported treatment pair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5EE23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Required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449017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Create one comparison slot for each explicitly reported treatment pair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42D203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Do not infer a comparison merely because two treatments occur in the same abstract</w:t>
            </w:r>
          </w:p>
        </w:tc>
      </w:tr>
      <w:tr w14:paraId="5F37411E">
        <w:trPr>
          <w:cantSplit/>
          <w:jc w:val="center"/>
        </w:trPr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22F57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Single-arm therapeutic evaluation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6BDAC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One therapeutic strategy evaluated without an explicit concurrent comparator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79B443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Not applicable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348609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Create one comparison slot for each independently interpretable single-strategy evaluation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60857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Do not create a historical, registry-derived, or model-inferred comparator</w:t>
            </w:r>
          </w:p>
        </w:tc>
      </w:tr>
      <w:tr w14:paraId="3D8AD97C">
        <w:trPr>
          <w:cantSplit/>
          <w:jc w:val="center"/>
        </w:trPr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0E8B0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Population-specific therapeutic comparison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112BF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An explicitly defined subgroup or population boundary with an independently attributable treatment evaluation and result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CF87D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Conditional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4BD43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Create a population-bounded comparison slot only when treatment and outcome evidence are independently attributable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D69541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Do not create a CU from a subgroup label alone or infer an unreported biomarker population</w:t>
            </w:r>
          </w:p>
        </w:tc>
      </w:tr>
      <w:tr w14:paraId="4ABDE08F">
        <w:trPr>
          <w:cantSplit/>
          <w:jc w:val="center"/>
        </w:trPr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24817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Pairwise comparison within a multi-arm trial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113F9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A study with three or more reported arms, cohorts, or strategies and an explicitly reported treatment-pair comparison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BBDED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Required for each pairwise slot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02121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Create an independent slot for every explicitly reported treatment pair; a shared comparator may be reused</w:t>
            </w:r>
          </w:p>
        </w:tc>
        <w:tc>
          <w:tcPr>
            <w:tcW w:w="203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533DE">
            <w:pPr>
              <w:spacing w:after="0" w:line="240" w:lineRule="auto"/>
              <w:jc w:val="left"/>
              <w:rPr>
                <w:rFonts w:hint="default" w:ascii="Times New Roman Regular" w:hAnsi="Times New Roman Regular" w:cs="Times New Roman Regular"/>
              </w:rPr>
            </w:pPr>
            <w:r>
              <w:rPr>
                <w:rFonts w:hint="default" w:ascii="Times New Roman Regular" w:hAnsi="Times New Roman Regular" w:cs="Times New Roman Regular"/>
                <w:sz w:val="15"/>
              </w:rPr>
              <w:t>Do not enumerate all mathematically possible treatment pairs</w:t>
            </w:r>
          </w:p>
        </w:tc>
      </w:tr>
    </w:tbl>
    <w:p w14:paraId="4389E2EE">
      <w:pPr>
        <w:keepNext/>
        <w:spacing w:after="80" w:line="259" w:lineRule="auto"/>
        <w:ind w:left="0" w:right="0" w:firstLine="0"/>
        <w:jc w:val="center"/>
        <w:rPr>
          <w:rFonts w:hint="default" w:ascii="Times New Roman Regular" w:hAnsi="Times New Roman Regular" w:eastAsia="宋体" w:cs="Times New Roman Regular"/>
        </w:rPr>
      </w:pPr>
      <w:r>
        <w:rPr>
          <w:rFonts w:hint="default" w:ascii="Times New Roman Regular" w:hAnsi="Times New Roman Regular" w:eastAsia="宋体" w:cs="Times New Roman Regular"/>
        </w:rPr>
        <w:drawing>
          <wp:inline distT="0" distB="0" distL="114300" distR="114300">
            <wp:extent cx="4852670" cy="2675890"/>
            <wp:effectExtent l="0" t="0" r="24130" b="16510"/>
            <wp:docPr id="3" name="图片 3" descr="图片1-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1-b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267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5175">
      <w:pPr>
        <w:pStyle w:val="7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</w:rPr>
        <w:t>Figure 1. Four comparison-structure templates used for CU-slot decomposition. The templates distinguish pairwise therapeutic comparisons, single-arm evaluations, population-specific comparisons, and pairwise contrasts within multi-arm trials.</w:t>
      </w:r>
    </w:p>
    <w:p w14:paraId="477AC71E">
      <w:pPr>
        <w:keepNext/>
        <w:spacing w:after="80" w:line="259" w:lineRule="auto"/>
        <w:ind w:left="0" w:right="0" w:firstLine="0"/>
        <w:jc w:val="center"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</w:rPr>
        <w:drawing>
          <wp:inline distT="0" distB="0" distL="114300" distR="114300">
            <wp:extent cx="4389120" cy="4707255"/>
            <wp:effectExtent l="0" t="0" r="5080" b="17145"/>
            <wp:docPr id="2" name="Picture 2" descr="Route-identification workflow assigning one primary comparison structure before CU field extraction." title="Figure S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Route-identification workflow assigning one primary comparison structure before CU field extraction." title="Figure S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707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65DDE">
      <w:pPr>
        <w:pStyle w:val="7"/>
        <w:keepNext/>
        <w:rPr>
          <w:rFonts w:hint="default" w:ascii="Times New Roman Regular" w:hAnsi="Times New Roman Regular" w:cs="Times New Roman Regular"/>
        </w:rPr>
      </w:pPr>
      <w:r>
        <w:rPr>
          <w:rFonts w:hint="default" w:ascii="Times New Roman Regular" w:hAnsi="Times New Roman Regular" w:cs="Times New Roman Regular"/>
          <w:b/>
        </w:rPr>
        <w:t>Figure 2. Route-identification workflow. The publication-centered workflow assigns a primary comparison route before CU-level field extraction.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trackRevisions/>
  <w:zoom w:percent="15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7DCBD1"/>
    <w:rsid w:val="6B3F7B71"/>
    <w:rsid w:val="6E7DC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259" w:lineRule="auto"/>
    </w:pPr>
    <w:rPr>
      <w:rFonts w:ascii="Arial" w:hAnsi="Arial" w:eastAsia="Times New Roman" w:cstheme="minorBidi"/>
      <w:sz w:val="19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200" w:after="100"/>
      <w:outlineLvl w:val="0"/>
    </w:pPr>
    <w:rPr>
      <w:rFonts w:asciiTheme="majorHAnsi" w:hAnsiTheme="majorHAnsi" w:eastAsiaTheme="majorEastAsia" w:cstheme="majorBidi"/>
      <w:b/>
      <w:bCs/>
      <w:color w:val="17365D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160" w:after="60"/>
      <w:outlineLvl w:val="1"/>
    </w:pPr>
    <w:rPr>
      <w:rFonts w:asciiTheme="majorHAnsi" w:hAnsiTheme="majorHAnsi" w:eastAsiaTheme="majorEastAsia" w:cstheme="majorBidi"/>
      <w:b/>
      <w:bCs/>
      <w:color w:val="4874CB" w:themeColor="accent1"/>
      <w:sz w:val="23"/>
      <w:szCs w:val="26"/>
      <w14:textFill>
        <w14:solidFill>
          <w14:schemeClr w14:val="accent1"/>
        </w14:solidFill>
      </w14:textFill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7">
    <w:name w:val="Caption Custom"/>
    <w:uiPriority w:val="0"/>
    <w:pPr>
      <w:keepNext/>
      <w:spacing w:before="80" w:after="60" w:line="276" w:lineRule="auto"/>
      <w:jc w:val="center"/>
    </w:pPr>
    <w:rPr>
      <w:rFonts w:ascii="Arial" w:hAnsi="Arial" w:eastAsia="Times New Roman" w:cstheme="minorBidi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2026-07-12T05:22:00Z</dcterms:created>
  <dc:creator>王龙超</dc:creator>
  <cp:lastModifiedBy>王龙超</cp:lastModifiedBy>
  <dcterms:modified xsi:type="dcterms:W3CDTF">2026-07-12T01:36:50Z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F50136E7EB2E3A30AB43526A587CC8FB_41</vt:lpwstr>
  </property>
</Properties>
</file>