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2B5473">
      <w:pPr>
        <w:pStyle w:val="2"/>
        <w:keepNext/>
        <w:pageBreakBefore/>
        <w:jc w:val="center"/>
        <w:rPr>
          <w:rFonts w:hint="default" w:ascii="Times New Roman Regular" w:hAnsi="Times New Roman Regular" w:cs="Times New Roman Regular"/>
          <w:sz w:val="24"/>
          <w:szCs w:val="24"/>
        </w:rPr>
      </w:pPr>
      <w:r>
        <w:rPr>
          <w:rFonts w:ascii="Times New Roman" w:hAnsi="Times New Roman" w:eastAsia="Times New Roman"/>
        </w:rPr>
        <w:t xml:space="preserve">Supplementary Material 2: Corpus Counting Rules and Audit</w:t>
      </w:r>
    </w:p>
    <w:p w14:paraId="67D9AB3E">
      <w:pPr>
        <w:jc w:val="left"/>
        <w:rPr>
          <w:rFonts w:hint="default" w:ascii="Times New Roman Regular" w:hAnsi="Times New Roman Regular" w:cs="Times New Roman Regular"/>
        </w:rPr>
      </w:pPr>
      <w:r>
        <w:rPr>
          <w:rFonts w:hint="default" w:ascii="Times New Roman Regular" w:hAnsi="Times New Roman Regular" w:cs="Times New Roman Regular"/>
        </w:rPr>
        <w:t>Unless otherwise stated, frequencies of normalized drugs, therapeutic regimens, outcomes, and reported safety outcomes when applicable were calculated at the Comparison Unit (CU) level.</w:t>
      </w:r>
    </w:p>
    <w:p w14:paraId="56F9D7B0">
      <w:pPr>
        <w:jc w:val="left"/>
        <w:rPr>
          <w:rFonts w:hint="default" w:ascii="Times New Roman Regular" w:hAnsi="Times New Roman Regular" w:cs="Times New Roman Regular"/>
        </w:rPr>
      </w:pPr>
      <w:r>
        <w:rPr>
          <w:rFonts w:hint="default" w:ascii="Times New Roman Regular" w:hAnsi="Times New Roman Regular" w:cs="Times New Roman Regular"/>
        </w:rPr>
        <w:t>For a normalized entity e of type t:</w:t>
      </w:r>
    </w:p>
    <w:p w14:paraId="121311DD">
      <w:pPr>
        <w:keepLines/>
        <w:tabs>
          <w:tab w:val="center" w:pos="4680"/>
          <w:tab w:val="right" w:pos="9360"/>
        </w:tabs>
        <w:spacing w:before="60" w:after="60" w:line="259" w:lineRule="auto"/>
        <w:ind w:left="0" w:right="0" w:firstLine="0"/>
        <w:jc w:val="center"/>
        <w:rPr>
          <w:rFonts w:hint="default" w:ascii="Times New Roman Regular" w:hAnsi="Times New Roman Regular" w:eastAsia="宋体" w:cs="Times New Roman Regular"/>
        </w:rPr>
      </w:pPr>
      <w:r>
        <w:tab/>
      </w:r>
      <m:oMath>
        <m:sSub>
          <m:e>
            <m:r>
              <m:t>f</m:t>
            </m:r>
          </m:e>
          <m:sub>
            <m:r>
              <m:t>t</m:t>
            </m:r>
          </m:sub>
        </m:sSub>
        <m:d>
          <m:dPr>
            <m:begChr m:val="("/>
            <m:endChr m:val=")"/>
          </m:dPr>
          <m:e>
            <m:r>
              <m:t>e</m:t>
            </m:r>
          </m:e>
        </m:d>
        <m:r>
          <m:t>=</m:t>
        </m:r>
        <m:nary>
          <m:naryPr>
            <m:chr m:val="∑"/>
            <m:limLoc m:val="undOvr"/>
            <m:subHide m:val="0"/>
            <m:supHide m:val="1"/>
          </m:naryPr>
          <m:sub>
            <m:r>
              <m:t>h∈H</m:t>
            </m:r>
          </m:sub>
          <m:sup/>
          <m:e>
            <m:r>
              <m:rPr>
                <m:sty m:val="b"/>
              </m:rPr>
              <m:t>1</m:t>
            </m:r>
            <m:d>
              <m:dPr>
                <m:begChr m:val="["/>
                <m:endChr m:val="]"/>
              </m:dPr>
              <m:e>
                <m:r>
                  <m:t>e∈</m:t>
                </m:r>
                <m:sSub>
                  <m:e>
                    <m:r>
                      <m:t>E</m:t>
                    </m:r>
                  </m:e>
                  <m:sub>
                    <m:r>
                      <m:t>t</m:t>
                    </m:r>
                  </m:sub>
                </m:sSub>
                <m:r>
                  <m:t>(h)</m:t>
                </m:r>
              </m:e>
            </m:d>
          </m:e>
        </m:nary>
      </m:oMath>
      <w:r>
        <w:tab/>
      </w:r>
      <w:r>
        <w:rPr>
          <w:rFonts w:ascii="Times New Roman" w:hAnsi="Times New Roman" w:eastAsia="Times New Roman"/>
        </w:rPr>
        <w:t xml:space="preserve">(Equation 1)</w:t>
      </w:r>
    </w:p>
    <w:p w14:paraId="3600FDCC">
      <w:pPr>
        <w:jc w:val="left"/>
        <w:rPr>
          <w:rFonts w:hint="default" w:ascii="Times New Roman Regular" w:hAnsi="Times New Roman Regular" w:cs="Times New Roman Regular"/>
        </w:rPr>
      </w:pPr>
      <w:r>
        <w:rPr>
          <w:rFonts w:hint="default" w:ascii="Times New Roman Regular" w:hAnsi="Times New Roman Regular" w:cs="Times New Roman Regular"/>
        </w:rPr>
        <w:t>where H is the set of verified CUs and E_t(h) is the set of normalized entities of type t represented in CU h.</w:t>
      </w:r>
    </w:p>
    <w:p w14:paraId="259FCEEC">
      <w:pPr>
        <w:jc w:val="left"/>
        <w:rPr>
          <w:rFonts w:hint="default" w:ascii="Times New Roman Regular" w:hAnsi="Times New Roman Regular" w:cs="Times New Roman Regular"/>
        </w:rPr>
      </w:pPr>
      <w:r>
        <w:rPr>
          <w:rFonts w:hint="default" w:ascii="Times New Roman Regular" w:hAnsi="Times New Roman Regular" w:cs="Times New Roman Regular"/>
        </w:rPr>
        <w:t>The CU-level frequency of an entity was defined as the number of verified CUs in which that entity occurred. Repeated mentions of the same normalized entity within one CU were counted once, whereas occurrences across different CUs were accumulated independently.</w:t>
      </w:r>
    </w:p>
    <w:p w14:paraId="73A26DC5">
      <w:pPr>
        <w:jc w:val="left"/>
        <w:rPr>
          <w:rFonts w:hint="default" w:ascii="Times New Roman Regular" w:hAnsi="Times New Roman Regular" w:cs="Times New Roman Regular"/>
        </w:rPr>
      </w:pPr>
      <w:r>
        <w:rPr>
          <w:rFonts w:hint="default" w:ascii="Times New Roman Regular" w:hAnsi="Times New Roman Regular" w:cs="Times New Roman Regular"/>
        </w:rPr>
        <w:t>Accordingly, a frequency of n indicates that the entity occurred in n CUs. It does not represent the number of patients, prescriptions, treatment administrations, publications, or distinct clinical trials.</w:t>
      </w:r>
    </w:p>
    <w:p w14:paraId="5674A5CE">
      <w:pPr>
        <w:jc w:val="left"/>
        <w:rPr>
          <w:rFonts w:hint="default" w:ascii="Times New Roman Regular" w:hAnsi="Times New Roman Regular" w:cs="Times New Roman Regular"/>
        </w:rPr>
      </w:pPr>
      <w:r>
        <w:rPr>
          <w:rFonts w:hint="default" w:ascii="Times New Roman Regular" w:hAnsi="Times New Roman Regular" w:cs="Times New Roman Regular"/>
        </w:rPr>
        <w:t>The following counting rules were applied:</w:t>
      </w:r>
    </w:p>
    <w:p w14:paraId="1F7100EA">
      <w:pPr>
        <w:spacing w:after="30" w:line="252" w:lineRule="auto"/>
        <w:ind w:left="720" w:hanging="360"/>
        <w:jc w:val="left"/>
        <w:rPr>
          <w:rFonts w:hint="default" w:ascii="Times New Roman Regular" w:hAnsi="Times New Roman Regular" w:eastAsia="宋体" w:cs="Times New Roman Regular"/>
          <w:sz w:val="19"/>
        </w:rPr>
      </w:pPr>
      <w:r>
        <w:rPr>
          <w:rFonts w:hint="default" w:ascii="Times New Roman Regular" w:hAnsi="Times New Roman Regular" w:eastAsia="宋体" w:cs="Times New Roman Regular"/>
          <w:sz w:val="19"/>
        </w:rPr>
        <w:t>1. Repeated mentions of the same normalized entity within one CU were counted once.</w:t>
      </w:r>
    </w:p>
    <w:p w14:paraId="40923269">
      <w:pPr>
        <w:spacing w:after="30" w:line="252" w:lineRule="auto"/>
        <w:ind w:left="720" w:hanging="360"/>
        <w:jc w:val="left"/>
        <w:rPr>
          <w:rFonts w:hint="default" w:ascii="Times New Roman Regular" w:hAnsi="Times New Roman Regular" w:eastAsia="宋体" w:cs="Times New Roman Regular"/>
          <w:sz w:val="19"/>
        </w:rPr>
      </w:pPr>
      <w:r>
        <w:rPr>
          <w:rFonts w:hint="default" w:ascii="Times New Roman Regular" w:hAnsi="Times New Roman Regular" w:eastAsia="宋体" w:cs="Times New Roman Regular"/>
          <w:sz w:val="19"/>
        </w:rPr>
        <w:t>2. An entity appearing in both a regimen label and regimen details was counted once within that CU.</w:t>
      </w:r>
    </w:p>
    <w:p w14:paraId="63FEC393">
      <w:pPr>
        <w:spacing w:after="30" w:line="252" w:lineRule="auto"/>
        <w:ind w:left="720" w:hanging="360"/>
        <w:jc w:val="left"/>
        <w:rPr>
          <w:rFonts w:hint="default" w:ascii="Times New Roman Regular" w:hAnsi="Times New Roman Regular" w:eastAsia="宋体" w:cs="Times New Roman Regular"/>
          <w:sz w:val="19"/>
        </w:rPr>
      </w:pPr>
      <w:r>
        <w:rPr>
          <w:rFonts w:hint="default" w:ascii="Times New Roman Regular" w:hAnsi="Times New Roman Regular" w:eastAsia="宋体" w:cs="Times New Roman Regular"/>
          <w:sz w:val="19"/>
        </w:rPr>
        <w:t>3. Different components of a combination regimen were counted separately.</w:t>
      </w:r>
    </w:p>
    <w:p w14:paraId="3B2852F9">
      <w:pPr>
        <w:spacing w:after="30" w:line="252" w:lineRule="auto"/>
        <w:ind w:left="720" w:hanging="360"/>
        <w:jc w:val="left"/>
        <w:rPr>
          <w:rFonts w:hint="default" w:ascii="Times New Roman Regular" w:hAnsi="Times New Roman Regular" w:eastAsia="宋体" w:cs="Times New Roman Regular"/>
          <w:sz w:val="19"/>
        </w:rPr>
      </w:pPr>
      <w:r>
        <w:rPr>
          <w:rFonts w:hint="default" w:ascii="Times New Roman Regular" w:hAnsi="Times New Roman Regular" w:eastAsia="宋体" w:cs="Times New Roman Regular"/>
          <w:sz w:val="19"/>
        </w:rPr>
        <w:t>4. The same entity reused across different CUs contributed once to each corresponding CU.</w:t>
      </w:r>
    </w:p>
    <w:p w14:paraId="46A0C8DC">
      <w:pPr>
        <w:spacing w:after="30" w:line="252" w:lineRule="auto"/>
        <w:ind w:left="720" w:hanging="360"/>
        <w:jc w:val="left"/>
        <w:rPr>
          <w:rFonts w:hint="default" w:ascii="Times New Roman Regular" w:hAnsi="Times New Roman Regular" w:eastAsia="宋体" w:cs="Times New Roman Regular"/>
          <w:sz w:val="19"/>
        </w:rPr>
      </w:pPr>
      <w:r>
        <w:rPr>
          <w:rFonts w:hint="default" w:ascii="Times New Roman Regular" w:hAnsi="Times New Roman Regular" w:eastAsia="宋体" w:cs="Times New Roman Regular"/>
          <w:sz w:val="19"/>
        </w:rPr>
        <w:t>5. Synonymous surface forms mapped to the same normalized entity were counted once.</w:t>
      </w:r>
    </w:p>
    <w:p w14:paraId="308C220F">
      <w:pPr>
        <w:spacing w:after="30" w:line="252" w:lineRule="auto"/>
        <w:ind w:left="720" w:hanging="360"/>
        <w:jc w:val="left"/>
        <w:rPr>
          <w:rFonts w:hint="default" w:ascii="Times New Roman Regular" w:hAnsi="Times New Roman Regular" w:eastAsia="宋体" w:cs="Times New Roman Regular"/>
          <w:sz w:val="19"/>
        </w:rPr>
      </w:pPr>
      <w:r>
        <w:rPr>
          <w:rFonts w:hint="default" w:ascii="Times New Roman Regular" w:hAnsi="Times New Roman Regular" w:eastAsia="宋体" w:cs="Times New Roman Regular"/>
          <w:sz w:val="19"/>
        </w:rPr>
        <w:t>6. Clinically distinct formulations, conjugates, or therapeutic products remained separate entities.</w:t>
      </w:r>
    </w:p>
    <w:p w14:paraId="5FB02415">
      <w:pPr>
        <w:spacing w:after="30" w:line="252" w:lineRule="auto"/>
        <w:ind w:left="720" w:hanging="360"/>
        <w:jc w:val="left"/>
        <w:rPr>
          <w:rFonts w:hint="default" w:ascii="Times New Roman Regular" w:hAnsi="Times New Roman Regular" w:eastAsia="宋体" w:cs="Times New Roman Regular"/>
          <w:sz w:val="19"/>
        </w:rPr>
      </w:pPr>
      <w:r>
        <w:rPr>
          <w:rFonts w:hint="default" w:ascii="Times New Roman Regular" w:hAnsi="Times New Roman Regular" w:eastAsia="宋体" w:cs="Times New Roman Regular"/>
          <w:sz w:val="19"/>
        </w:rPr>
        <w:t>7. Publication counts were based on unique PMID values.</w:t>
      </w:r>
    </w:p>
    <w:p w14:paraId="26DF623E">
      <w:pPr>
        <w:spacing w:after="30" w:line="252" w:lineRule="auto"/>
        <w:ind w:left="720" w:hanging="360"/>
        <w:jc w:val="left"/>
        <w:rPr>
          <w:rFonts w:hint="default" w:ascii="Times New Roman Regular" w:hAnsi="Times New Roman Regular" w:eastAsia="宋体" w:cs="Times New Roman Regular"/>
          <w:sz w:val="19"/>
        </w:rPr>
      </w:pPr>
      <w:r>
        <w:rPr>
          <w:rFonts w:hint="default" w:ascii="Times New Roman Regular" w:hAnsi="Times New Roman Regular" w:eastAsia="宋体" w:cs="Times New Roman Regular"/>
          <w:sz w:val="19"/>
        </w:rPr>
        <w:t xml:space="preserve">8. Registry-linkage counts were based on the stored linkage records used in graph export. Some publications were linked to the same registered trial, and some nct_id fields contained multiple identifiers; therefore, the 408 stored records corresponded to 417 unique NCT identifiers after compound fields were separated.</w:t>
      </w:r>
    </w:p>
    <w:p w14:paraId="485CD3AC">
      <w:pPr>
        <w:jc w:val="left"/>
        <w:rPr>
          <w:rFonts w:hint="default" w:ascii="Times New Roman Regular" w:hAnsi="Times New Roman Regular" w:cs="Times New Roman Regular"/>
        </w:rPr>
      </w:pPr>
      <w:r>
        <w:rPr>
          <w:rFonts w:hint="default" w:ascii="Times New Roman Regular" w:hAnsi="Times New Roman Regular" w:cs="Times New Roman Regular"/>
        </w:rPr>
        <w:t>Each extracted CU was represented conceptually as a CU hyperedge and implemented in the graph database as a reified CU hub. Typed binary relations linked each CU hub to its associated publication, registry linkage, population context, treatment strategies, outcomes, reported safety outcomes when applicable, and treatment components.</w:t>
      </w:r>
    </w:p>
    <w:p w14:paraId="599952E6">
      <w:pPr>
        <w:jc w:val="left"/>
        <w:rPr>
          <w:rFonts w:hint="default" w:ascii="Times New Roman Regular" w:hAnsi="Times New Roman Regular" w:cs="Times New Roman Regular"/>
        </w:rPr>
      </w:pPr>
      <w:r>
        <w:rPr>
          <w:rFonts w:hint="default" w:ascii="Times New Roman Regular" w:hAnsi="Times New Roman Regular" w:cs="Times New Roman Regular"/>
        </w:rPr>
        <w:t>Conceptual CU hyperedges, reified CU hub nodes, exported semantic nodes, and typed binary implementation relations were treated as distinct structural quantities and were not described interchangeably. Final graph-level statistics are reported in Table 6 of the main manuscript.</w:t>
      </w:r>
    </w:p>
    <w:p w14:paraId="295A9C79">
      <w:pPr>
        <w:jc w:val="left"/>
        <w:rPr>
          <w:rFonts w:hint="default" w:ascii="Times New Roman Regular" w:hAnsi="Times New Roman Regular" w:cs="Times New Roman Regular"/>
        </w:rPr>
      </w:pPr>
      <w:r>
        <w:rPr>
          <w:rFonts w:hint="default" w:ascii="Times New Roman Regular" w:hAnsi="Times New Roman Regular" w:cs="Times New Roman Regular"/>
        </w:rPr>
        <w:t>For all CU-frequency figures, the horizontal axis was labeled Number of CUs.</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Calibri Light">
    <w:altName w:val="Helvetica Neue"/>
    <w:panose1 w:val="00000000000000000000"/>
    <w:charset w:val="00"/>
    <w:family w:val="auto"/>
    <w:pitch w:val="default"/>
    <w:sig w:usb0="00000000" w:usb1="00000000" w:usb2="00000000" w:usb3="00000000" w:csb0="00000000" w:csb1="00000000"/>
  </w:font>
  <w:font w:name="Times New Roman Regular">
    <w:panose1 w:val="02020503050405090304"/>
    <w:charset w:val="00"/>
    <w:family w:val="auto"/>
    <w:pitch w:val="default"/>
    <w:sig w:usb0="E0000AFF" w:usb1="00007843" w:usb2="00000001" w:usb3="00000000" w:csb0="400001BF" w:csb1="DFF70000"/>
  </w:font>
  <w:font w:name="DejaVu Math TeX Gyre">
    <w:panose1 w:val="02000503000000000000"/>
    <w:charset w:val="00"/>
    <w:family w:val="auto"/>
    <w:pitch w:val="default"/>
    <w:sig w:usb0="A10000EF" w:usb1="4201F9EE" w:usb2="02000000" w:usb3="00000000" w:csb0="60000193" w:csb1="0DD4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trackRevisions/>
  <w:zoom w:percent="15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BFB337"/>
    <w:rsid w:val="4FBFB337"/>
    <w:rsid w:val="57B42107"/>
    <w:rsid w:val="9DBDF981"/>
    <w:rsid w:val="BDE6E3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59" w:lineRule="auto"/>
    </w:pPr>
    <w:rPr>
      <w:rFonts w:ascii="Arial" w:hAnsi="Arial" w:eastAsia="Times New Roman" w:cstheme="minorBidi"/>
      <w:sz w:val="19"/>
      <w:szCs w:val="22"/>
      <w:lang w:val="en-US" w:eastAsia="en-US" w:bidi="ar-SA"/>
    </w:rPr>
  </w:style>
  <w:style w:type="paragraph" w:styleId="2">
    <w:name w:val="heading 1"/>
    <w:basedOn w:val="1"/>
    <w:next w:val="1"/>
    <w:qFormat/>
    <w:uiPriority w:val="9"/>
    <w:pPr>
      <w:keepNext/>
      <w:keepLines/>
      <w:spacing w:before="200" w:after="100"/>
      <w:outlineLvl w:val="0"/>
    </w:pPr>
    <w:rPr>
      <w:rFonts w:asciiTheme="majorHAnsi" w:hAnsiTheme="majorHAnsi" w:eastAsiaTheme="majorEastAsia" w:cstheme="majorBidi"/>
      <w:b/>
      <w:bCs/>
      <w:color w:val="17365D"/>
      <w:sz w:val="28"/>
      <w:szCs w:val="28"/>
    </w:rPr>
  </w:style>
  <w:style w:type="paragraph" w:styleId="3">
    <w:name w:val="heading 2"/>
    <w:basedOn w:val="1"/>
    <w:next w:val="1"/>
    <w:unhideWhenUsed/>
    <w:qFormat/>
    <w:uiPriority w:val="9"/>
    <w:pPr>
      <w:keepNext/>
      <w:keepLines/>
      <w:spacing w:before="160" w:after="60"/>
      <w:outlineLvl w:val="1"/>
    </w:pPr>
    <w:rPr>
      <w:rFonts w:asciiTheme="majorHAnsi" w:hAnsiTheme="majorHAnsi" w:eastAsiaTheme="majorEastAsia" w:cstheme="majorBidi"/>
      <w:b/>
      <w:bCs/>
      <w:color w:val="4874CB" w:themeColor="accent1"/>
      <w:sz w:val="23"/>
      <w:szCs w:val="26"/>
      <w14:textFill>
        <w14:solidFill>
          <w14:schemeClr w14:val="accent1"/>
        </w14:solidFill>
      </w14:textFill>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2026-07-12T13:31:00Z</dcterms:created>
  <dc:creator>王龙超</dc:creator>
  <cp:lastModifiedBy>王龙超</cp:lastModifiedBy>
  <dcterms:modified xsi:type="dcterms:W3CDTF">2026-07-12T01:49:49Z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7B02F76C5CE850132E82526AD7173245_43</vt:lpwstr>
  </property>
</Properties>
</file>