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FF0D5">
      <w:pPr>
        <w:pStyle w:val="2"/>
        <w:keepNext/>
        <w:pageBreakBefore/>
        <w:jc w:val="center"/>
        <w:rPr>
          <w:rFonts w:hint="default" w:ascii="Times New Roman Regular" w:hAnsi="Times New Roman Regular" w:cs="Times New Roman Regular"/>
          <w:sz w:val="24"/>
          <w:szCs w:val="24"/>
        </w:rPr>
      </w:pPr>
      <w:r>
        <w:rPr>
          <w:rFonts w:ascii="Times New Roman" w:hAnsi="Times New Roman" w:eastAsia="Times New Roman"/>
        </w:rPr>
        <w:t xml:space="preserve">Supplementary Material 3: Model Configuration, Source-Field Mapping, Evaluation Protocol, and Statistical Analysis</w:t>
      </w:r>
    </w:p>
    <w:p w14:paraId="2609D750">
      <w:pPr>
        <w:pStyle w:val="2"/>
        <w:bidi w:val="0"/>
        <w:rPr>
          <w:rFonts w:hint="default" w:ascii="Times New Roman Regular" w:hAnsi="Times New Roman Regular" w:cs="Times New Roman Regular" w:eastAsiaTheme="majorEastAsia"/>
          <w:b/>
          <w:bCs/>
          <w:color w:val="4874CB" w:themeColor="accent1"/>
          <w:sz w:val="23"/>
          <w:szCs w:val="26"/>
          <w:lang w:val="en-US" w:eastAsia="zh-CN" w:bidi="ar-SA"/>
          <w14:textFill>
            <w14:solidFill>
              <w14:schemeClr w14:val="accent1"/>
            </w14:solidFill>
          </w14:textFill>
        </w:rPr>
      </w:pPr>
      <w:r>
        <w:rPr>
          <w:rFonts w:hint="default" w:ascii="Times New Roman Regular" w:hAnsi="Times New Roman Regular" w:cs="Times New Roman Regular" w:eastAsiaTheme="majorEastAsia"/>
          <w:b/>
          <w:bCs/>
          <w:color w:val="4874CB" w:themeColor="accent1"/>
          <w:sz w:val="23"/>
          <w:szCs w:val="26"/>
          <w:lang w:val="en-US" w:eastAsia="zh-CN" w:bidi="ar-SA"/>
          <w14:textFill>
            <w14:solidFill>
              <w14:schemeClr w14:val="accent1"/>
            </w14:solidFill>
          </w14:textFill>
        </w:rPr>
        <w:t>1. Model Configuration, Source-Field Mapping, Prompts, Baselines, and Ablations</w:t>
      </w:r>
    </w:p>
    <w:p w14:paraId="7716C03D">
      <w:pPr>
        <w:pStyle w:val="3"/>
        <w:keepNext/>
        <w:spacing w:after="80"/>
        <w:rPr>
          <w:rFonts w:hint="default" w:ascii="Times New Roman Regular" w:hAnsi="Times New Roman Regular" w:cs="Times New Roman Regular"/>
        </w:rPr>
      </w:pPr>
      <w:r>
        <w:rPr>
          <w:rFonts w:hint="default" w:ascii="Times New Roman Regular" w:hAnsi="Times New Roman Regular" w:cs="Times New Roman Regular"/>
        </w:rPr>
        <w:t>1.1 Models and Comparator Rationale</w:t>
      </w:r>
    </w:p>
    <w:p w14:paraId="5CF9DC35">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rPr>
        <w:t>This section specifies the generative-model configuration, comparator levels, prompt architecture, ablation definitions, registry-input conditions, fairness controls, and execution sequence used for TRACE-CU evaluation.</w:t>
      </w:r>
    </w:p>
    <w:p w14:paraId="0D422D43">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All prompts, schemas, model interfaces, source permissions, normalization rules, comparison routes, retry policies, numerical-correctness rules, and evidence settings were frozen before the 90-publication held-out evaluation.</w:t>
      </w:r>
    </w:p>
    <w:p w14:paraId="13A1E2D5">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The held-out subset was not used to:</w:t>
      </w:r>
    </w:p>
    <w:p w14:paraId="50932EA8">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1. revise a prompt;</w:t>
      </w:r>
    </w:p>
    <w:p w14:paraId="1C301C27">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2. add or remove a field;</w:t>
      </w:r>
    </w:p>
    <w:p w14:paraId="60A2296F">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3. change a CU boundary rule;</w:t>
      </w:r>
    </w:p>
    <w:p w14:paraId="62A3BA59">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4. rename an ablation after observing its results;</w:t>
      </w:r>
    </w:p>
    <w:p w14:paraId="66C7EA94">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5. alter a numerical tolerance;</w:t>
      </w:r>
    </w:p>
    <w:p w14:paraId="6D502198">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6. adjust the evidence threshold;</w:t>
      </w:r>
    </w:p>
    <w:p w14:paraId="519DECC6">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7. select a preferred model configuration; or</w:t>
      </w:r>
    </w:p>
    <w:p w14:paraId="062A898C">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8. perform error-driven optimization.</w:t>
      </w:r>
    </w:p>
    <w:p w14:paraId="32950CB3">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All included publications had an associated ClinicalTrials.gov record. Experimental conditions differed only in which permitted registry fields were exposed to the model. Registry information never supplied clinical result values, statistical conclusions, safety findings, or source sentences.</w:t>
      </w:r>
    </w:p>
    <w:p w14:paraId="4E3DA87D">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rPr>
        <w:t>The base generative model used by the TRACE-CU framework was DeepSeek-V3.2 in non-thinking mode. The same frozen non-thinking configuration was used for Full TRACE-CU and all component ablations so that observed differences reflected framework components rather than changes in the underlying model.</w:t>
      </w:r>
    </w:p>
    <w:p w14:paraId="106468E5">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rPr>
        <w:t>The model identifiers below are those used in the experimental interface. Provider-side model identifiers and access dates were recorded because an online alias may later point to a different model revision.</w:t>
      </w:r>
    </w:p>
    <w:p w14:paraId="3B0F3FD7">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rPr>
        <w:t>Only the task-required structured outputs were returned by the model prompts and retained for scoring. Field-specific evidence sentences were not prompt outputs; they were selected from the corresponding PubMed abstract during a separate post-extraction evidence-audit step. Model reasoning traces were not used as evaluation targets.</w:t>
      </w:r>
    </w:p>
    <w:p w14:paraId="2A24A806">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The evaluation used two comparator levels because entity/PICO systems and complete CU extractors do not produce the same native output.</w:t>
      </w:r>
    </w:p>
    <w:p w14:paraId="3B8812C3">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Entity/PICO baselines were evaluated only on the information classes they natively supported. They were not assigned artificial CU-level scores when they did not generate complete CUs.</w:t>
      </w:r>
    </w:p>
    <w:p w14:paraId="6BBA8C7F">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rPr>
        <w:t>Complete-CU methods were scored using the same held-out gold standard, CU matching, Conditional Unit-Accuracy, Numerical/State Tolerance-Accuracy, and Evidence-Supported Item Rate definitions.</w:t>
      </w:r>
    </w:p>
    <w:p w14:paraId="0B12D261">
      <w:pPr>
        <w:pStyle w:val="7"/>
        <w:keepNext/>
        <w:spacing w:after="80"/>
        <w:rPr>
          <w:rFonts w:hint="default" w:ascii="Times New Roman Regular" w:hAnsi="Times New Roman Regular" w:cs="Times New Roman Regular"/>
        </w:rPr>
      </w:pPr>
      <w:r>
        <w:rPr>
          <w:rFonts w:hint="default" w:ascii="Times New Roman Regular" w:hAnsi="Times New Roman Regular" w:cs="Times New Roman Regular"/>
          <w:b/>
        </w:rPr>
        <w:t xml:space="preserve">Table </w:t>
      </w:r>
      <w:r>
        <w:rPr>
          <w:rFonts w:hint="eastAsia" w:ascii="Times New Roman Regular" w:hAnsi="Times New Roman Regular" w:eastAsia="宋体" w:cs="Times New Roman Regular"/>
          <w:b/>
          <w:lang w:val="en-US" w:eastAsia="zh-CN"/>
        </w:rPr>
        <w:t>1</w:t>
      </w:r>
      <w:r>
        <w:rPr>
          <w:rFonts w:hint="default" w:ascii="Times New Roman Regular" w:hAnsi="Times New Roman Regular" w:cs="Times New Roman Regular"/>
          <w:b/>
        </w:rPr>
        <w:t>. Model configuration, access date, and snapshot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4"/>
        <w:gridCol w:w="1694"/>
        <w:gridCol w:w="1694"/>
        <w:gridCol w:w="1694"/>
        <w:gridCol w:w="1694"/>
        <w:gridCol w:w="1694"/>
      </w:tblGrid>
      <w:tr w14:paraId="02134DAF">
        <w:trPr>
          <w:cantSplit/>
          <w:tblHeader/>
          <w:jc w:val="center"/>
        </w:trPr>
        <w:tc>
          <w:tcPr>
            <w:tcW w:w="1694" w:type="dxa"/>
            <w:shd w:val="clear" w:color="auto" w:fill="D9EAF7"/>
            <w:tcMar>
              <w:top w:w="80" w:type="dxa"/>
              <w:left w:w="100" w:type="dxa"/>
              <w:bottom w:w="80" w:type="dxa"/>
              <w:right w:w="100" w:type="dxa"/>
            </w:tcMar>
            <w:vAlign w:val="center"/>
          </w:tcPr>
          <w:p w14:paraId="156DA7F5">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Method</w:t>
            </w:r>
          </w:p>
        </w:tc>
        <w:tc>
          <w:tcPr>
            <w:tcW w:w="1694" w:type="dxa"/>
            <w:shd w:val="clear" w:color="auto" w:fill="D9EAF7"/>
            <w:tcMar>
              <w:top w:w="80" w:type="dxa"/>
              <w:left w:w="100" w:type="dxa"/>
              <w:bottom w:w="80" w:type="dxa"/>
              <w:right w:w="100" w:type="dxa"/>
            </w:tcMar>
            <w:vAlign w:val="center"/>
          </w:tcPr>
          <w:p w14:paraId="17AC6382">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Endpoint/checkpoint</w:t>
            </w:r>
          </w:p>
        </w:tc>
        <w:tc>
          <w:tcPr>
            <w:tcW w:w="1694" w:type="dxa"/>
            <w:shd w:val="clear" w:color="auto" w:fill="D9EAF7"/>
            <w:tcMar>
              <w:top w:w="80" w:type="dxa"/>
              <w:left w:w="100" w:type="dxa"/>
              <w:bottom w:w="80" w:type="dxa"/>
              <w:right w:w="100" w:type="dxa"/>
            </w:tcMar>
            <w:vAlign w:val="center"/>
          </w:tcPr>
          <w:p w14:paraId="2EAED209">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Generation settings</w:t>
            </w:r>
          </w:p>
        </w:tc>
        <w:tc>
          <w:tcPr>
            <w:tcW w:w="1694" w:type="dxa"/>
            <w:shd w:val="clear" w:color="auto" w:fill="D9EAF7"/>
            <w:tcMar>
              <w:top w:w="80" w:type="dxa"/>
              <w:left w:w="100" w:type="dxa"/>
              <w:bottom w:w="80" w:type="dxa"/>
              <w:right w:w="100" w:type="dxa"/>
            </w:tcMar>
            <w:vAlign w:val="center"/>
          </w:tcPr>
          <w:p w14:paraId="03B34D4C">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Structured-output handling</w:t>
            </w:r>
          </w:p>
        </w:tc>
        <w:tc>
          <w:tcPr>
            <w:tcW w:w="1694" w:type="dxa"/>
            <w:shd w:val="clear" w:color="auto" w:fill="D9EAF7"/>
            <w:tcMar>
              <w:top w:w="80" w:type="dxa"/>
              <w:left w:w="100" w:type="dxa"/>
              <w:bottom w:w="80" w:type="dxa"/>
              <w:right w:w="100" w:type="dxa"/>
            </w:tcMar>
            <w:vAlign w:val="center"/>
          </w:tcPr>
          <w:p w14:paraId="6436A19D">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Invalid-output policy</w:t>
            </w:r>
          </w:p>
        </w:tc>
        <w:tc>
          <w:tcPr>
            <w:tcW w:w="1694" w:type="dxa"/>
            <w:shd w:val="clear" w:color="auto" w:fill="D9EAF7"/>
            <w:tcMar>
              <w:top w:w="80" w:type="dxa"/>
              <w:left w:w="100" w:type="dxa"/>
              <w:bottom w:w="80" w:type="dxa"/>
              <w:right w:w="100" w:type="dxa"/>
            </w:tcMar>
            <w:vAlign w:val="center"/>
          </w:tcPr>
          <w:p w14:paraId="461C8527">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Access date/snapshot</w:t>
            </w:r>
          </w:p>
        </w:tc>
      </w:tr>
      <w:tr w14:paraId="05EA994A">
        <w:trPr>
          <w:cantSplit/>
          <w:jc w:val="center"/>
        </w:trPr>
        <w:tc>
          <w:tcPr>
            <w:tcW w:w="1694" w:type="dxa"/>
            <w:tcMar>
              <w:top w:w="80" w:type="dxa"/>
              <w:left w:w="100" w:type="dxa"/>
              <w:bottom w:w="80" w:type="dxa"/>
              <w:right w:w="100" w:type="dxa"/>
            </w:tcMar>
            <w:vAlign w:val="center"/>
          </w:tcPr>
          <w:p w14:paraId="487BA8A0">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DeepSeek-V3.2 (Non-thinking)</w:t>
            </w:r>
          </w:p>
        </w:tc>
        <w:tc>
          <w:tcPr>
            <w:tcW w:w="1694" w:type="dxa"/>
            <w:tcMar>
              <w:top w:w="80" w:type="dxa"/>
              <w:left w:w="100" w:type="dxa"/>
              <w:bottom w:w="80" w:type="dxa"/>
              <w:right w:w="100" w:type="dxa"/>
            </w:tcMar>
            <w:vAlign w:val="center"/>
          </w:tcPr>
          <w:p w14:paraId="0BF07D03">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deepseek-chat (DeepSeek-V3.2; non-thinking)</w:t>
            </w:r>
          </w:p>
        </w:tc>
        <w:tc>
          <w:tcPr>
            <w:tcW w:w="1694" w:type="dxa"/>
            <w:tcMar>
              <w:top w:w="80" w:type="dxa"/>
              <w:left w:w="100" w:type="dxa"/>
              <w:bottom w:w="80" w:type="dxa"/>
              <w:right w:w="100" w:type="dxa"/>
            </w:tcMar>
            <w:vAlign w:val="center"/>
          </w:tcPr>
          <w:p w14:paraId="31193BF8">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temperature=0; top_p=1.0; max output=8192 tokens</w:t>
            </w:r>
          </w:p>
        </w:tc>
        <w:tc>
          <w:tcPr>
            <w:tcW w:w="1694" w:type="dxa"/>
            <w:tcMar>
              <w:top w:w="80" w:type="dxa"/>
              <w:left w:w="100" w:type="dxa"/>
              <w:bottom w:w="80" w:type="dxa"/>
              <w:right w:w="100" w:type="dxa"/>
            </w:tcMar>
            <w:vAlign w:val="center"/>
          </w:tcPr>
          <w:p w14:paraId="5A606919">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One-pass JSON plus local schema validation</w:t>
            </w:r>
          </w:p>
        </w:tc>
        <w:tc>
          <w:tcPr>
            <w:tcW w:w="1694" w:type="dxa"/>
            <w:tcMar>
              <w:top w:w="80" w:type="dxa"/>
              <w:left w:w="100" w:type="dxa"/>
              <w:bottom w:w="80" w:type="dxa"/>
              <w:right w:w="100" w:type="dxa"/>
            </w:tcMar>
            <w:vAlign w:val="center"/>
          </w:tcPr>
          <w:p w14:paraId="4735004E">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At most 2 syntax-only repair retries</w:t>
            </w:r>
          </w:p>
        </w:tc>
        <w:tc>
          <w:tcPr>
            <w:tcW w:w="1694" w:type="dxa"/>
            <w:tcMar>
              <w:top w:w="80" w:type="dxa"/>
              <w:left w:w="100" w:type="dxa"/>
              <w:bottom w:w="80" w:type="dxa"/>
              <w:right w:w="100" w:type="dxa"/>
            </w:tcMar>
            <w:vAlign w:val="center"/>
          </w:tcPr>
          <w:p w14:paraId="44E32D1D">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Accessed 2026-07-11; API alias and response metadata archived</w:t>
            </w:r>
          </w:p>
        </w:tc>
      </w:tr>
      <w:tr w14:paraId="45C16D76">
        <w:trPr>
          <w:cantSplit/>
          <w:jc w:val="center"/>
        </w:trPr>
        <w:tc>
          <w:tcPr>
            <w:tcW w:w="1694" w:type="dxa"/>
            <w:tcMar>
              <w:top w:w="80" w:type="dxa"/>
              <w:left w:w="100" w:type="dxa"/>
              <w:bottom w:w="80" w:type="dxa"/>
              <w:right w:w="100" w:type="dxa"/>
            </w:tcMar>
            <w:vAlign w:val="center"/>
          </w:tcPr>
          <w:p w14:paraId="72003893">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DeepSeek-V3.2 (Thinking)</w:t>
            </w:r>
          </w:p>
        </w:tc>
        <w:tc>
          <w:tcPr>
            <w:tcW w:w="1694" w:type="dxa"/>
            <w:tcMar>
              <w:top w:w="80" w:type="dxa"/>
              <w:left w:w="100" w:type="dxa"/>
              <w:bottom w:w="80" w:type="dxa"/>
              <w:right w:w="100" w:type="dxa"/>
            </w:tcMar>
            <w:vAlign w:val="center"/>
          </w:tcPr>
          <w:p w14:paraId="66394881">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DeepSeek-V3.2 (thinking); provider endpoint recorded for the evaluation</w:t>
            </w:r>
          </w:p>
        </w:tc>
        <w:tc>
          <w:tcPr>
            <w:tcW w:w="1694" w:type="dxa"/>
            <w:tcMar>
              <w:top w:w="80" w:type="dxa"/>
              <w:left w:w="100" w:type="dxa"/>
              <w:bottom w:w="80" w:type="dxa"/>
              <w:right w:w="100" w:type="dxa"/>
            </w:tcMar>
            <w:vAlign w:val="center"/>
          </w:tcPr>
          <w:p w14:paraId="3F64B66B">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Thinking mode; max output=8192 tokens; temperature/top_p not asserted</w:t>
            </w:r>
          </w:p>
        </w:tc>
        <w:tc>
          <w:tcPr>
            <w:tcW w:w="1694" w:type="dxa"/>
            <w:tcMar>
              <w:top w:w="80" w:type="dxa"/>
              <w:left w:w="100" w:type="dxa"/>
              <w:bottom w:w="80" w:type="dxa"/>
              <w:right w:w="100" w:type="dxa"/>
            </w:tcMar>
            <w:vAlign w:val="center"/>
          </w:tcPr>
          <w:p w14:paraId="05D9FD49">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Staged JSON using the locked CU schema</w:t>
            </w:r>
          </w:p>
        </w:tc>
        <w:tc>
          <w:tcPr>
            <w:tcW w:w="1694" w:type="dxa"/>
            <w:tcMar>
              <w:top w:w="80" w:type="dxa"/>
              <w:left w:w="100" w:type="dxa"/>
              <w:bottom w:w="80" w:type="dxa"/>
              <w:right w:w="100" w:type="dxa"/>
            </w:tcMar>
            <w:vAlign w:val="center"/>
          </w:tcPr>
          <w:p w14:paraId="6756A6EA">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At most 2 syntax-only repair retries</w:t>
            </w:r>
          </w:p>
        </w:tc>
        <w:tc>
          <w:tcPr>
            <w:tcW w:w="1694" w:type="dxa"/>
            <w:tcMar>
              <w:top w:w="80" w:type="dxa"/>
              <w:left w:w="100" w:type="dxa"/>
              <w:bottom w:w="80" w:type="dxa"/>
              <w:right w:w="100" w:type="dxa"/>
            </w:tcMar>
            <w:vAlign w:val="center"/>
          </w:tcPr>
          <w:p w14:paraId="5D6413B9">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Accessed 2026-07-11; provider configuration archived</w:t>
            </w:r>
          </w:p>
        </w:tc>
      </w:tr>
      <w:tr w14:paraId="4B873EEE">
        <w:trPr>
          <w:cantSplit/>
          <w:jc w:val="center"/>
        </w:trPr>
        <w:tc>
          <w:tcPr>
            <w:tcW w:w="1694" w:type="dxa"/>
            <w:tcMar>
              <w:top w:w="80" w:type="dxa"/>
              <w:left w:w="100" w:type="dxa"/>
              <w:bottom w:w="80" w:type="dxa"/>
              <w:right w:w="100" w:type="dxa"/>
            </w:tcMar>
            <w:vAlign w:val="center"/>
          </w:tcPr>
          <w:p w14:paraId="56224F79">
            <w:pPr>
              <w:spacing w:before="0" w:after="0" w:line="240" w:lineRule="auto"/>
              <w:rPr>
                <w:rFonts w:hint="default" w:ascii="Times New Roman Regular" w:hAnsi="Times New Roman Regular" w:cs="Times New Roman Regular"/>
              </w:rPr>
            </w:pPr>
            <w:r>
              <w:rPr>
                <w:rFonts w:hint="default" w:ascii="Times New Roman Regular" w:hAnsi="Times New Roman Regular" w:cs="Times New Roman Regular"/>
                <w:b w:val="0"/>
                <w:sz w:val="15"/>
              </w:rPr>
              <w:t>Full TRACE-CU and component ablations</w:t>
            </w:r>
          </w:p>
        </w:tc>
        <w:tc>
          <w:tcPr>
            <w:tcW w:w="1694" w:type="dxa"/>
            <w:tcMar>
              <w:top w:w="80" w:type="dxa"/>
              <w:left w:w="100" w:type="dxa"/>
              <w:bottom w:w="80" w:type="dxa"/>
              <w:right w:w="100" w:type="dxa"/>
            </w:tcMar>
            <w:vAlign w:val="center"/>
          </w:tcPr>
          <w:p w14:paraId="1CD444BE">
            <w:pPr>
              <w:spacing w:before="0" w:after="0" w:line="240" w:lineRule="auto"/>
              <w:rPr>
                <w:rFonts w:hint="default" w:ascii="Times New Roman Regular" w:hAnsi="Times New Roman Regular" w:cs="Times New Roman Regular"/>
              </w:rPr>
            </w:pPr>
            <w:r>
              <w:rPr>
                <w:rFonts w:hint="default" w:ascii="Times New Roman Regular" w:hAnsi="Times New Roman Regular" w:cs="Times New Roman Regular"/>
                <w:b w:val="0"/>
                <w:sz w:val="15"/>
              </w:rPr>
              <w:t>DeepSeek-V3.2 frozen snapshot (non-thinking)</w:t>
            </w:r>
          </w:p>
        </w:tc>
        <w:tc>
          <w:tcPr>
            <w:tcW w:w="1694" w:type="dxa"/>
            <w:tcMar>
              <w:top w:w="80" w:type="dxa"/>
              <w:left w:w="100" w:type="dxa"/>
              <w:bottom w:w="80" w:type="dxa"/>
              <w:right w:w="100" w:type="dxa"/>
            </w:tcMar>
            <w:vAlign w:val="center"/>
          </w:tcPr>
          <w:p w14:paraId="2EC6A5DF">
            <w:pPr>
              <w:spacing w:before="0" w:after="0" w:line="240" w:lineRule="auto"/>
              <w:rPr>
                <w:rFonts w:hint="default" w:ascii="Times New Roman Regular" w:hAnsi="Times New Roman Regular" w:cs="Times New Roman Regular"/>
              </w:rPr>
            </w:pPr>
            <w:r>
              <w:rPr>
                <w:rFonts w:hint="default" w:ascii="Times New Roman Regular" w:hAnsi="Times New Roman Regular" w:cs="Times New Roman Regular"/>
                <w:b w:val="0"/>
                <w:sz w:val="15"/>
              </w:rPr>
              <w:t>Non-thinking mode; temperature=0; top_p=1.0; max output=8192 tokens</w:t>
            </w:r>
          </w:p>
        </w:tc>
        <w:tc>
          <w:tcPr>
            <w:tcW w:w="1694" w:type="dxa"/>
            <w:tcMar>
              <w:top w:w="80" w:type="dxa"/>
              <w:left w:w="100" w:type="dxa"/>
              <w:bottom w:w="80" w:type="dxa"/>
              <w:right w:w="100" w:type="dxa"/>
            </w:tcMar>
            <w:vAlign w:val="center"/>
          </w:tcPr>
          <w:p w14:paraId="476B6D13">
            <w:pPr>
              <w:spacing w:before="0" w:after="0" w:line="240" w:lineRule="auto"/>
              <w:rPr>
                <w:rFonts w:hint="default" w:ascii="Times New Roman Regular" w:hAnsi="Times New Roman Regular" w:cs="Times New Roman Regular"/>
              </w:rPr>
            </w:pPr>
            <w:r>
              <w:rPr>
                <w:rFonts w:hint="default" w:ascii="Times New Roman Regular" w:hAnsi="Times New Roman Regular" w:cs="Times New Roman Regular"/>
                <w:b w:val="0"/>
                <w:sz w:val="15"/>
              </w:rPr>
              <w:t>Stage-specific objects followed by final CU JSON</w:t>
            </w:r>
          </w:p>
        </w:tc>
        <w:tc>
          <w:tcPr>
            <w:tcW w:w="1694" w:type="dxa"/>
            <w:tcMar>
              <w:top w:w="80" w:type="dxa"/>
              <w:left w:w="100" w:type="dxa"/>
              <w:bottom w:w="80" w:type="dxa"/>
              <w:right w:w="100" w:type="dxa"/>
            </w:tcMar>
            <w:vAlign w:val="center"/>
          </w:tcPr>
          <w:p w14:paraId="3981AFD8">
            <w:pPr>
              <w:spacing w:before="0" w:after="0" w:line="240" w:lineRule="auto"/>
              <w:rPr>
                <w:rFonts w:hint="default" w:ascii="Times New Roman Regular" w:hAnsi="Times New Roman Regular" w:cs="Times New Roman Regular"/>
              </w:rPr>
            </w:pPr>
            <w:r>
              <w:rPr>
                <w:rFonts w:hint="default" w:ascii="Times New Roman Regular" w:hAnsi="Times New Roman Regular" w:cs="Times New Roman Regular"/>
                <w:b w:val="0"/>
                <w:sz w:val="15"/>
              </w:rPr>
              <w:t>At most 2 format-repair retries; otherwise review/exclude</w:t>
            </w:r>
          </w:p>
        </w:tc>
        <w:tc>
          <w:tcPr>
            <w:tcW w:w="1694" w:type="dxa"/>
            <w:tcMar>
              <w:top w:w="80" w:type="dxa"/>
              <w:left w:w="100" w:type="dxa"/>
              <w:bottom w:w="80" w:type="dxa"/>
              <w:right w:w="100" w:type="dxa"/>
            </w:tcMar>
            <w:vAlign w:val="center"/>
          </w:tcPr>
          <w:p w14:paraId="18B762FC">
            <w:pPr>
              <w:spacing w:before="0" w:after="0" w:line="240" w:lineRule="auto"/>
              <w:rPr>
                <w:rFonts w:hint="default" w:ascii="Times New Roman Regular" w:hAnsi="Times New Roman Regular" w:cs="Times New Roman Regular"/>
              </w:rPr>
            </w:pPr>
            <w:r>
              <w:rPr>
                <w:rFonts w:hint="default" w:ascii="Times New Roman Regular" w:hAnsi="Times New Roman Regular" w:cs="Times New Roman Regular"/>
                <w:b w:val="0"/>
                <w:sz w:val="15"/>
              </w:rPr>
              <w:t>Frozen evaluation snapshot and response metadata archived</w:t>
            </w:r>
          </w:p>
        </w:tc>
      </w:tr>
      <w:tr w14:paraId="70F3C116">
        <w:trPr>
          <w:cantSplit/>
          <w:jc w:val="center"/>
        </w:trPr>
        <w:tc>
          <w:tcPr>
            <w:tcW w:w="1694" w:type="dxa"/>
            <w:tcMar>
              <w:top w:w="80" w:type="dxa"/>
              <w:left w:w="100" w:type="dxa"/>
              <w:bottom w:w="80" w:type="dxa"/>
              <w:right w:w="100" w:type="dxa"/>
            </w:tcMar>
            <w:vAlign w:val="center"/>
          </w:tcPr>
          <w:p w14:paraId="5CEFEBDF">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Qwen-Max-2025-01-25</w:t>
            </w:r>
          </w:p>
        </w:tc>
        <w:tc>
          <w:tcPr>
            <w:tcW w:w="1694" w:type="dxa"/>
            <w:tcMar>
              <w:top w:w="80" w:type="dxa"/>
              <w:left w:w="100" w:type="dxa"/>
              <w:bottom w:w="80" w:type="dxa"/>
              <w:right w:w="100" w:type="dxa"/>
            </w:tcMar>
            <w:vAlign w:val="center"/>
          </w:tcPr>
          <w:p w14:paraId="0D9DDE65">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qwen-max-2025-01-25</w:t>
            </w:r>
          </w:p>
        </w:tc>
        <w:tc>
          <w:tcPr>
            <w:tcW w:w="1694" w:type="dxa"/>
            <w:tcMar>
              <w:top w:w="80" w:type="dxa"/>
              <w:left w:w="100" w:type="dxa"/>
              <w:bottom w:w="80" w:type="dxa"/>
              <w:right w:w="100" w:type="dxa"/>
            </w:tcMar>
            <w:vAlign w:val="center"/>
          </w:tcPr>
          <w:p w14:paraId="47189D31">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JSON mode; temperature=0; top_p=1.0; max output=8192 tokens</w:t>
            </w:r>
          </w:p>
        </w:tc>
        <w:tc>
          <w:tcPr>
            <w:tcW w:w="1694" w:type="dxa"/>
            <w:tcMar>
              <w:top w:w="80" w:type="dxa"/>
              <w:left w:w="100" w:type="dxa"/>
              <w:bottom w:w="80" w:type="dxa"/>
              <w:right w:w="100" w:type="dxa"/>
            </w:tcMar>
            <w:vAlign w:val="center"/>
          </w:tcPr>
          <w:p w14:paraId="366375EA">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JSON object plus local schema validation</w:t>
            </w:r>
          </w:p>
        </w:tc>
        <w:tc>
          <w:tcPr>
            <w:tcW w:w="1694" w:type="dxa"/>
            <w:tcMar>
              <w:top w:w="80" w:type="dxa"/>
              <w:left w:w="100" w:type="dxa"/>
              <w:bottom w:w="80" w:type="dxa"/>
              <w:right w:w="100" w:type="dxa"/>
            </w:tcMar>
            <w:vAlign w:val="center"/>
          </w:tcPr>
          <w:p w14:paraId="39B8B38E">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At most 2 syntax-only repair retries</w:t>
            </w:r>
          </w:p>
        </w:tc>
        <w:tc>
          <w:tcPr>
            <w:tcW w:w="1694" w:type="dxa"/>
            <w:tcMar>
              <w:top w:w="80" w:type="dxa"/>
              <w:left w:w="100" w:type="dxa"/>
              <w:bottom w:w="80" w:type="dxa"/>
              <w:right w:w="100" w:type="dxa"/>
            </w:tcMar>
            <w:vAlign w:val="center"/>
          </w:tcPr>
          <w:p w14:paraId="768290E4">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Accessed 2026-07-11; model version fixed for the evaluation</w:t>
            </w:r>
          </w:p>
        </w:tc>
      </w:tr>
      <w:tr w14:paraId="3E9A118E">
        <w:trPr>
          <w:cantSplit/>
          <w:jc w:val="center"/>
        </w:trPr>
        <w:tc>
          <w:tcPr>
            <w:tcW w:w="1694" w:type="dxa"/>
            <w:tcMar>
              <w:top w:w="80" w:type="dxa"/>
              <w:left w:w="100" w:type="dxa"/>
              <w:bottom w:w="80" w:type="dxa"/>
              <w:right w:w="100" w:type="dxa"/>
            </w:tcMar>
            <w:vAlign w:val="center"/>
          </w:tcPr>
          <w:p w14:paraId="2AE6DAFB">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GPT-5.5 Thinking-High</w:t>
            </w:r>
          </w:p>
        </w:tc>
        <w:tc>
          <w:tcPr>
            <w:tcW w:w="1694" w:type="dxa"/>
            <w:tcMar>
              <w:top w:w="80" w:type="dxa"/>
              <w:left w:w="100" w:type="dxa"/>
              <w:bottom w:w="80" w:type="dxa"/>
              <w:right w:w="100" w:type="dxa"/>
            </w:tcMar>
            <w:vAlign w:val="center"/>
          </w:tcPr>
          <w:p w14:paraId="29ED3945">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GPT-5.5</w:t>
            </w:r>
          </w:p>
        </w:tc>
        <w:tc>
          <w:tcPr>
            <w:tcW w:w="1694" w:type="dxa"/>
            <w:tcMar>
              <w:top w:w="80" w:type="dxa"/>
              <w:left w:w="100" w:type="dxa"/>
              <w:bottom w:w="80" w:type="dxa"/>
              <w:right w:w="100" w:type="dxa"/>
            </w:tcMar>
            <w:vAlign w:val="center"/>
          </w:tcPr>
          <w:p w14:paraId="1C96BE59">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Reasoning setting=high; max output=8192 tokens; temperature/top_p not asserted</w:t>
            </w:r>
          </w:p>
        </w:tc>
        <w:tc>
          <w:tcPr>
            <w:tcW w:w="1694" w:type="dxa"/>
            <w:tcMar>
              <w:top w:w="80" w:type="dxa"/>
              <w:left w:w="100" w:type="dxa"/>
              <w:bottom w:w="80" w:type="dxa"/>
              <w:right w:w="100" w:type="dxa"/>
            </w:tcMar>
            <w:vAlign w:val="center"/>
          </w:tcPr>
          <w:p w14:paraId="6C3292D6">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Strict JSON Schema structured output</w:t>
            </w:r>
          </w:p>
        </w:tc>
        <w:tc>
          <w:tcPr>
            <w:tcW w:w="1694" w:type="dxa"/>
            <w:tcMar>
              <w:top w:w="80" w:type="dxa"/>
              <w:left w:w="100" w:type="dxa"/>
              <w:bottom w:w="80" w:type="dxa"/>
              <w:right w:w="100" w:type="dxa"/>
            </w:tcMar>
            <w:vAlign w:val="center"/>
          </w:tcPr>
          <w:p w14:paraId="540692F0">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At most 2 syntax-only repair retries</w:t>
            </w:r>
          </w:p>
        </w:tc>
        <w:tc>
          <w:tcPr>
            <w:tcW w:w="1694" w:type="dxa"/>
            <w:tcMar>
              <w:top w:w="80" w:type="dxa"/>
              <w:left w:w="100" w:type="dxa"/>
              <w:bottom w:w="80" w:type="dxa"/>
              <w:right w:w="100" w:type="dxa"/>
            </w:tcMar>
            <w:vAlign w:val="center"/>
          </w:tcPr>
          <w:p w14:paraId="5AFBD330">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Accessed 2026-07-11; model configuration fixed for the evaluation</w:t>
            </w:r>
          </w:p>
        </w:tc>
      </w:tr>
      <w:tr w14:paraId="27061526">
        <w:trPr>
          <w:cantSplit/>
          <w:jc w:val="center"/>
        </w:trPr>
        <w:tc>
          <w:tcPr>
            <w:tcW w:w="1694" w:type="dxa"/>
            <w:tcMar>
              <w:top w:w="80" w:type="dxa"/>
              <w:left w:w="100" w:type="dxa"/>
              <w:bottom w:w="80" w:type="dxa"/>
              <w:right w:w="100" w:type="dxa"/>
            </w:tcMar>
            <w:vAlign w:val="center"/>
          </w:tcPr>
          <w:p w14:paraId="5D8263D6">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MedGemma 27B Text IT (Non-thinking)</w:t>
            </w:r>
          </w:p>
        </w:tc>
        <w:tc>
          <w:tcPr>
            <w:tcW w:w="1694" w:type="dxa"/>
            <w:tcMar>
              <w:top w:w="80" w:type="dxa"/>
              <w:left w:w="100" w:type="dxa"/>
              <w:bottom w:w="80" w:type="dxa"/>
              <w:right w:w="100" w:type="dxa"/>
            </w:tcMar>
            <w:vAlign w:val="center"/>
          </w:tcPr>
          <w:p w14:paraId="603237CD">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google/medgemma-27b-text-it</w:t>
            </w:r>
          </w:p>
        </w:tc>
        <w:tc>
          <w:tcPr>
            <w:tcW w:w="1694" w:type="dxa"/>
            <w:tcMar>
              <w:top w:w="80" w:type="dxa"/>
              <w:left w:w="100" w:type="dxa"/>
              <w:bottom w:w="80" w:type="dxa"/>
              <w:right w:w="100" w:type="dxa"/>
            </w:tcMar>
            <w:vAlign w:val="center"/>
          </w:tcPr>
          <w:p w14:paraId="3CC6D3AE">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bfloat16; greedy decoding; max_model_len=3000; max_new_tokens=1450</w:t>
            </w:r>
          </w:p>
        </w:tc>
        <w:tc>
          <w:tcPr>
            <w:tcW w:w="1694" w:type="dxa"/>
            <w:tcMar>
              <w:top w:w="80" w:type="dxa"/>
              <w:left w:w="100" w:type="dxa"/>
              <w:bottom w:w="80" w:type="dxa"/>
              <w:right w:w="100" w:type="dxa"/>
            </w:tcMar>
            <w:vAlign w:val="center"/>
          </w:tcPr>
          <w:p w14:paraId="5FE23389">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JSON-only instruction plus local schema validation</w:t>
            </w:r>
          </w:p>
        </w:tc>
        <w:tc>
          <w:tcPr>
            <w:tcW w:w="1694" w:type="dxa"/>
            <w:tcMar>
              <w:top w:w="80" w:type="dxa"/>
              <w:left w:w="100" w:type="dxa"/>
              <w:bottom w:w="80" w:type="dxa"/>
              <w:right w:w="100" w:type="dxa"/>
            </w:tcMar>
            <w:vAlign w:val="center"/>
          </w:tcPr>
          <w:p w14:paraId="56FE5127">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At most 2 syntax-only repair retries</w:t>
            </w:r>
          </w:p>
        </w:tc>
        <w:tc>
          <w:tcPr>
            <w:tcW w:w="1694" w:type="dxa"/>
            <w:tcMar>
              <w:top w:w="80" w:type="dxa"/>
              <w:left w:w="100" w:type="dxa"/>
              <w:bottom w:w="80" w:type="dxa"/>
              <w:right w:w="100" w:type="dxa"/>
            </w:tcMar>
            <w:vAlign w:val="center"/>
          </w:tcPr>
          <w:p w14:paraId="2003561E">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Local snapshot archived 2026-07-11; NVIDIA A800 80 GB PCIe</w:t>
            </w:r>
          </w:p>
        </w:tc>
      </w:tr>
    </w:tbl>
    <w:p w14:paraId="465FDABA">
      <w:pPr>
        <w:pStyle w:val="7"/>
        <w:keepNext/>
        <w:spacing w:after="80"/>
        <w:rPr>
          <w:rFonts w:hint="default" w:ascii="Times New Roman Regular" w:hAnsi="Times New Roman Regular" w:cs="Times New Roman Regular"/>
        </w:rPr>
      </w:pPr>
      <w:r>
        <w:rPr>
          <w:rFonts w:hint="default" w:ascii="Times New Roman Regular" w:hAnsi="Times New Roman Regular" w:cs="Times New Roman Regular"/>
          <w:b/>
        </w:rPr>
        <w:t xml:space="preserve">Table </w:t>
      </w:r>
      <w:r>
        <w:rPr>
          <w:rFonts w:hint="eastAsia" w:ascii="Times New Roman Regular" w:hAnsi="Times New Roman Regular" w:eastAsia="宋体" w:cs="Times New Roman Regular"/>
          <w:b/>
          <w:lang w:val="en-US" w:eastAsia="zh-CN"/>
        </w:rPr>
        <w:t>2</w:t>
      </w:r>
      <w:r>
        <w:rPr>
          <w:rFonts w:hint="default" w:ascii="Times New Roman Regular" w:hAnsi="Times New Roman Regular" w:cs="Times New Roman Regular"/>
          <w:b/>
        </w:rPr>
        <w:t>. Comparator rationale and valid comparison level</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9"/>
        <w:gridCol w:w="3389"/>
        <w:gridCol w:w="3389"/>
      </w:tblGrid>
      <w:tr w14:paraId="59481255">
        <w:trPr>
          <w:cantSplit/>
          <w:tblHeader/>
          <w:jc w:val="center"/>
        </w:trPr>
        <w:tc>
          <w:tcPr>
            <w:tcW w:w="3389" w:type="dxa"/>
            <w:shd w:val="clear" w:color="auto" w:fill="D9EAF7"/>
            <w:tcMar>
              <w:top w:w="80" w:type="dxa"/>
              <w:left w:w="100" w:type="dxa"/>
              <w:bottom w:w="80" w:type="dxa"/>
              <w:right w:w="100" w:type="dxa"/>
            </w:tcMar>
            <w:vAlign w:val="center"/>
          </w:tcPr>
          <w:p w14:paraId="591CE50C">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Method</w:t>
            </w:r>
          </w:p>
        </w:tc>
        <w:tc>
          <w:tcPr>
            <w:tcW w:w="3389" w:type="dxa"/>
            <w:shd w:val="clear" w:color="auto" w:fill="D9EAF7"/>
            <w:tcMar>
              <w:top w:w="80" w:type="dxa"/>
              <w:left w:w="100" w:type="dxa"/>
              <w:bottom w:w="80" w:type="dxa"/>
              <w:right w:w="100" w:type="dxa"/>
            </w:tcMar>
            <w:vAlign w:val="center"/>
          </w:tcPr>
          <w:p w14:paraId="54DB8A59">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Reason for inclusion</w:t>
            </w:r>
          </w:p>
        </w:tc>
        <w:tc>
          <w:tcPr>
            <w:tcW w:w="3389" w:type="dxa"/>
            <w:shd w:val="clear" w:color="auto" w:fill="D9EAF7"/>
            <w:tcMar>
              <w:top w:w="80" w:type="dxa"/>
              <w:left w:w="100" w:type="dxa"/>
              <w:bottom w:w="80" w:type="dxa"/>
              <w:right w:w="100" w:type="dxa"/>
            </w:tcMar>
            <w:vAlign w:val="center"/>
          </w:tcPr>
          <w:p w14:paraId="610E32A7">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Native or intended comparison level</w:t>
            </w:r>
          </w:p>
        </w:tc>
      </w:tr>
      <w:tr w14:paraId="0DD26C67">
        <w:trPr>
          <w:cantSplit/>
          <w:jc w:val="center"/>
        </w:trPr>
        <w:tc>
          <w:tcPr>
            <w:tcW w:w="3389" w:type="dxa"/>
            <w:tcMar>
              <w:top w:w="80" w:type="dxa"/>
              <w:left w:w="100" w:type="dxa"/>
              <w:bottom w:w="80" w:type="dxa"/>
              <w:right w:w="100" w:type="dxa"/>
            </w:tcMar>
            <w:vAlign w:val="center"/>
          </w:tcPr>
          <w:p w14:paraId="2CDE8327">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6"/>
              </w:rPr>
              <w:t>PubTator3</w:t>
            </w:r>
          </w:p>
        </w:tc>
        <w:tc>
          <w:tcPr>
            <w:tcW w:w="3389" w:type="dxa"/>
            <w:tcMar>
              <w:top w:w="80" w:type="dxa"/>
              <w:left w:w="100" w:type="dxa"/>
              <w:bottom w:w="80" w:type="dxa"/>
              <w:right w:w="100" w:type="dxa"/>
            </w:tcMar>
            <w:vAlign w:val="center"/>
          </w:tcPr>
          <w:p w14:paraId="1C583805">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Mature biomedical entity recognition and normalization resource</w:t>
            </w:r>
          </w:p>
        </w:tc>
        <w:tc>
          <w:tcPr>
            <w:tcW w:w="3389" w:type="dxa"/>
            <w:tcMar>
              <w:top w:w="80" w:type="dxa"/>
              <w:left w:w="100" w:type="dxa"/>
              <w:bottom w:w="80" w:type="dxa"/>
              <w:right w:w="100" w:type="dxa"/>
            </w:tcMar>
            <w:vAlign w:val="center"/>
          </w:tcPr>
          <w:p w14:paraId="4E74E45D">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Biomedical entity mentions; not a complete CU system</w:t>
            </w:r>
          </w:p>
        </w:tc>
      </w:tr>
      <w:tr w14:paraId="2EFE289F">
        <w:trPr>
          <w:cantSplit/>
          <w:jc w:val="center"/>
        </w:trPr>
        <w:tc>
          <w:tcPr>
            <w:tcW w:w="3389" w:type="dxa"/>
            <w:tcMar>
              <w:top w:w="80" w:type="dxa"/>
              <w:left w:w="100" w:type="dxa"/>
              <w:bottom w:w="80" w:type="dxa"/>
              <w:right w:w="100" w:type="dxa"/>
            </w:tcMar>
            <w:vAlign w:val="center"/>
          </w:tcPr>
          <w:p w14:paraId="622E676A">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CPED-BioBERT</w:t>
            </w:r>
          </w:p>
        </w:tc>
        <w:tc>
          <w:tcPr>
            <w:tcW w:w="3389" w:type="dxa"/>
            <w:tcMar>
              <w:top w:w="80" w:type="dxa"/>
              <w:left w:w="100" w:type="dxa"/>
              <w:bottom w:w="80" w:type="dxa"/>
              <w:right w:w="100" w:type="dxa"/>
            </w:tcMar>
            <w:vAlign w:val="center"/>
          </w:tcPr>
          <w:p w14:paraId="6F8163CD">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Domain-pretrained sentence-level PICO classifier retained as a task-level comparator; it operates on presegmented, labeled sentence instances rather than directly extracting entity mentions, spans, or structured information items</w:t>
            </w:r>
          </w:p>
        </w:tc>
        <w:tc>
          <w:tcPr>
            <w:tcW w:w="3389" w:type="dxa"/>
            <w:tcMar>
              <w:top w:w="80" w:type="dxa"/>
              <w:left w:w="100" w:type="dxa"/>
              <w:bottom w:w="80" w:type="dxa"/>
              <w:right w:w="100" w:type="dxa"/>
            </w:tcMar>
            <w:vAlign w:val="center"/>
          </w:tcPr>
          <w:p w14:paraId="15CAF95F">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Sentence-level PICO classification/localization; not directly comparable with entity-, span-, or structured information-item extraction</w:t>
            </w:r>
          </w:p>
        </w:tc>
      </w:tr>
      <w:tr w14:paraId="6A86BBC1">
        <w:trPr>
          <w:cantSplit/>
          <w:jc w:val="center"/>
        </w:trPr>
        <w:tc>
          <w:tcPr>
            <w:tcW w:w="3389" w:type="dxa"/>
            <w:tcMar>
              <w:top w:w="80" w:type="dxa"/>
              <w:left w:w="100" w:type="dxa"/>
              <w:bottom w:w="80" w:type="dxa"/>
              <w:right w:w="100" w:type="dxa"/>
            </w:tcMar>
            <w:vAlign w:val="center"/>
          </w:tcPr>
          <w:p w14:paraId="4CEBF90B">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PICOX</w:t>
            </w:r>
          </w:p>
        </w:tc>
        <w:tc>
          <w:tcPr>
            <w:tcW w:w="3389" w:type="dxa"/>
            <w:tcMar>
              <w:top w:w="80" w:type="dxa"/>
              <w:left w:w="100" w:type="dxa"/>
              <w:bottom w:w="80" w:type="dxa"/>
              <w:right w:w="100" w:type="dxa"/>
            </w:tcMar>
            <w:vAlign w:val="center"/>
          </w:tcPr>
          <w:p w14:paraId="73A7765B">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Span-based method for overlapping PICO entities</w:t>
            </w:r>
          </w:p>
        </w:tc>
        <w:tc>
          <w:tcPr>
            <w:tcW w:w="3389" w:type="dxa"/>
            <w:tcMar>
              <w:top w:w="80" w:type="dxa"/>
              <w:left w:w="100" w:type="dxa"/>
              <w:bottom w:w="80" w:type="dxa"/>
              <w:right w:w="100" w:type="dxa"/>
            </w:tcMar>
            <w:vAlign w:val="center"/>
          </w:tcPr>
          <w:p w14:paraId="1386449C">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Span-level PIO/PICO extraction</w:t>
            </w:r>
          </w:p>
        </w:tc>
      </w:tr>
      <w:tr w14:paraId="04ED2B2F">
        <w:trPr>
          <w:cantSplit/>
          <w:jc w:val="center"/>
        </w:trPr>
        <w:tc>
          <w:tcPr>
            <w:tcW w:w="3389" w:type="dxa"/>
            <w:tcMar>
              <w:top w:w="80" w:type="dxa"/>
              <w:left w:w="100" w:type="dxa"/>
              <w:bottom w:w="80" w:type="dxa"/>
              <w:right w:w="100" w:type="dxa"/>
            </w:tcMar>
            <w:vAlign w:val="center"/>
          </w:tcPr>
          <w:p w14:paraId="06A76FFA">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TRACE-CU information-item layer</w:t>
            </w:r>
          </w:p>
        </w:tc>
        <w:tc>
          <w:tcPr>
            <w:tcW w:w="3389" w:type="dxa"/>
            <w:tcMar>
              <w:top w:w="80" w:type="dxa"/>
              <w:left w:w="100" w:type="dxa"/>
              <w:bottom w:w="80" w:type="dxa"/>
              <w:right w:w="100" w:type="dxa"/>
            </w:tcMar>
            <w:vAlign w:val="center"/>
          </w:tcPr>
          <w:p w14:paraId="590D403D">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Proposed structured information-item extraction component</w:t>
            </w:r>
          </w:p>
        </w:tc>
        <w:tc>
          <w:tcPr>
            <w:tcW w:w="3389" w:type="dxa"/>
            <w:tcMar>
              <w:top w:w="80" w:type="dxa"/>
              <w:left w:w="100" w:type="dxa"/>
              <w:bottom w:w="80" w:type="dxa"/>
              <w:right w:w="100" w:type="dxa"/>
            </w:tcMar>
            <w:vAlign w:val="center"/>
          </w:tcPr>
          <w:p w14:paraId="388CFF73">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Structured PIO information-item identification</w:t>
            </w:r>
          </w:p>
        </w:tc>
      </w:tr>
      <w:tr w14:paraId="7293EB64">
        <w:trPr>
          <w:cantSplit/>
          <w:jc w:val="center"/>
        </w:trPr>
        <w:tc>
          <w:tcPr>
            <w:tcW w:w="3389" w:type="dxa"/>
            <w:tcMar>
              <w:top w:w="80" w:type="dxa"/>
              <w:left w:w="100" w:type="dxa"/>
              <w:bottom w:w="80" w:type="dxa"/>
              <w:right w:w="100" w:type="dxa"/>
            </w:tcMar>
            <w:vAlign w:val="center"/>
          </w:tcPr>
          <w:p w14:paraId="0091ECD8">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DeepSeek-V3.2 (Non-thinking)</w:t>
            </w:r>
          </w:p>
        </w:tc>
        <w:tc>
          <w:tcPr>
            <w:tcW w:w="3389" w:type="dxa"/>
            <w:tcMar>
              <w:top w:w="80" w:type="dxa"/>
              <w:left w:w="100" w:type="dxa"/>
              <w:bottom w:w="80" w:type="dxa"/>
              <w:right w:w="100" w:type="dxa"/>
            </w:tcMar>
            <w:vAlign w:val="center"/>
          </w:tcPr>
          <w:p w14:paraId="3A740D5C">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Same model family as the TRACE-CU executor with one-pass prompting</w:t>
            </w:r>
          </w:p>
        </w:tc>
        <w:tc>
          <w:tcPr>
            <w:tcW w:w="3389" w:type="dxa"/>
            <w:tcMar>
              <w:top w:w="80" w:type="dxa"/>
              <w:left w:w="100" w:type="dxa"/>
              <w:bottom w:w="80" w:type="dxa"/>
              <w:right w:w="100" w:type="dxa"/>
            </w:tcMar>
            <w:vAlign w:val="center"/>
          </w:tcPr>
          <w:p w14:paraId="35793181">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Direct CU extraction</w:t>
            </w:r>
          </w:p>
        </w:tc>
      </w:tr>
      <w:tr w14:paraId="50617AAB">
        <w:trPr>
          <w:cantSplit/>
          <w:jc w:val="center"/>
        </w:trPr>
        <w:tc>
          <w:tcPr>
            <w:tcW w:w="3389" w:type="dxa"/>
            <w:tcMar>
              <w:top w:w="80" w:type="dxa"/>
              <w:left w:w="100" w:type="dxa"/>
              <w:bottom w:w="80" w:type="dxa"/>
              <w:right w:w="100" w:type="dxa"/>
            </w:tcMar>
            <w:vAlign w:val="center"/>
          </w:tcPr>
          <w:p w14:paraId="10F5CBBC">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DeepSeek-V3.2 (Thinking)</w:t>
            </w:r>
          </w:p>
        </w:tc>
        <w:tc>
          <w:tcPr>
            <w:tcW w:w="3389" w:type="dxa"/>
            <w:tcMar>
              <w:top w:w="80" w:type="dxa"/>
              <w:left w:w="100" w:type="dxa"/>
              <w:bottom w:w="80" w:type="dxa"/>
              <w:right w:w="100" w:type="dxa"/>
            </w:tcMar>
            <w:vAlign w:val="center"/>
          </w:tcPr>
          <w:p w14:paraId="0826AC89">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Thinking-mode staged prompting without the complete TRACE-CU workflow</w:t>
            </w:r>
          </w:p>
        </w:tc>
        <w:tc>
          <w:tcPr>
            <w:tcW w:w="3389" w:type="dxa"/>
            <w:tcMar>
              <w:top w:w="80" w:type="dxa"/>
              <w:left w:w="100" w:type="dxa"/>
              <w:bottom w:w="80" w:type="dxa"/>
              <w:right w:w="100" w:type="dxa"/>
            </w:tcMar>
            <w:vAlign w:val="center"/>
          </w:tcPr>
          <w:p w14:paraId="335BEAF3">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Direct CU extraction</w:t>
            </w:r>
          </w:p>
        </w:tc>
      </w:tr>
      <w:tr w14:paraId="12492043">
        <w:trPr>
          <w:cantSplit/>
          <w:jc w:val="center"/>
        </w:trPr>
        <w:tc>
          <w:tcPr>
            <w:tcW w:w="3389" w:type="dxa"/>
            <w:tcMar>
              <w:top w:w="80" w:type="dxa"/>
              <w:left w:w="100" w:type="dxa"/>
              <w:bottom w:w="80" w:type="dxa"/>
              <w:right w:w="100" w:type="dxa"/>
            </w:tcMar>
            <w:vAlign w:val="center"/>
          </w:tcPr>
          <w:p w14:paraId="52F414B7">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Qwen-Max-2025-01-25</w:t>
            </w:r>
          </w:p>
        </w:tc>
        <w:tc>
          <w:tcPr>
            <w:tcW w:w="3389" w:type="dxa"/>
            <w:tcMar>
              <w:top w:w="80" w:type="dxa"/>
              <w:left w:w="100" w:type="dxa"/>
              <w:bottom w:w="80" w:type="dxa"/>
              <w:right w:w="100" w:type="dxa"/>
            </w:tcMar>
            <w:vAlign w:val="center"/>
          </w:tcPr>
          <w:p w14:paraId="6E57E853">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Alternative general-model family with structured JSON output</w:t>
            </w:r>
          </w:p>
        </w:tc>
        <w:tc>
          <w:tcPr>
            <w:tcW w:w="3389" w:type="dxa"/>
            <w:tcMar>
              <w:top w:w="80" w:type="dxa"/>
              <w:left w:w="100" w:type="dxa"/>
              <w:bottom w:w="80" w:type="dxa"/>
              <w:right w:w="100" w:type="dxa"/>
            </w:tcMar>
            <w:vAlign w:val="center"/>
          </w:tcPr>
          <w:p w14:paraId="067BC72C">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Direct CU extraction</w:t>
            </w:r>
          </w:p>
        </w:tc>
      </w:tr>
      <w:tr w14:paraId="3643C8A8">
        <w:trPr>
          <w:cantSplit/>
          <w:jc w:val="center"/>
        </w:trPr>
        <w:tc>
          <w:tcPr>
            <w:tcW w:w="3389" w:type="dxa"/>
            <w:tcMar>
              <w:top w:w="80" w:type="dxa"/>
              <w:left w:w="100" w:type="dxa"/>
              <w:bottom w:w="80" w:type="dxa"/>
              <w:right w:w="100" w:type="dxa"/>
            </w:tcMar>
            <w:vAlign w:val="center"/>
          </w:tcPr>
          <w:p w14:paraId="0965E20E">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GPT-5.5 Thinking-High</w:t>
            </w:r>
          </w:p>
        </w:tc>
        <w:tc>
          <w:tcPr>
            <w:tcW w:w="3389" w:type="dxa"/>
            <w:tcMar>
              <w:top w:w="80" w:type="dxa"/>
              <w:left w:w="100" w:type="dxa"/>
              <w:bottom w:w="80" w:type="dxa"/>
              <w:right w:w="100" w:type="dxa"/>
            </w:tcMar>
            <w:vAlign w:val="center"/>
          </w:tcPr>
          <w:p w14:paraId="5FA841B4">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High-capability baseline using the high reasoning setting</w:t>
            </w:r>
          </w:p>
        </w:tc>
        <w:tc>
          <w:tcPr>
            <w:tcW w:w="3389" w:type="dxa"/>
            <w:tcMar>
              <w:top w:w="80" w:type="dxa"/>
              <w:left w:w="100" w:type="dxa"/>
              <w:bottom w:w="80" w:type="dxa"/>
              <w:right w:w="100" w:type="dxa"/>
            </w:tcMar>
            <w:vAlign w:val="center"/>
          </w:tcPr>
          <w:p w14:paraId="3466BFDF">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Direct CU extraction</w:t>
            </w:r>
          </w:p>
        </w:tc>
      </w:tr>
      <w:tr w14:paraId="1DE17701">
        <w:trPr>
          <w:cantSplit/>
          <w:jc w:val="center"/>
        </w:trPr>
        <w:tc>
          <w:tcPr>
            <w:tcW w:w="3389" w:type="dxa"/>
            <w:tcMar>
              <w:top w:w="80" w:type="dxa"/>
              <w:left w:w="100" w:type="dxa"/>
              <w:bottom w:w="80" w:type="dxa"/>
              <w:right w:w="100" w:type="dxa"/>
            </w:tcMar>
            <w:vAlign w:val="center"/>
          </w:tcPr>
          <w:p w14:paraId="5DB47628">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MedGemma 27B Text IT (Non-thinking)</w:t>
            </w:r>
          </w:p>
        </w:tc>
        <w:tc>
          <w:tcPr>
            <w:tcW w:w="3389" w:type="dxa"/>
            <w:tcMar>
              <w:top w:w="80" w:type="dxa"/>
              <w:left w:w="100" w:type="dxa"/>
              <w:bottom w:w="80" w:type="dxa"/>
              <w:right w:w="100" w:type="dxa"/>
            </w:tcMar>
            <w:vAlign w:val="center"/>
          </w:tcPr>
          <w:p w14:paraId="160E3171">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Medical-domain instruction-tuned baseline</w:t>
            </w:r>
          </w:p>
        </w:tc>
        <w:tc>
          <w:tcPr>
            <w:tcW w:w="3389" w:type="dxa"/>
            <w:tcMar>
              <w:top w:w="80" w:type="dxa"/>
              <w:left w:w="100" w:type="dxa"/>
              <w:bottom w:w="80" w:type="dxa"/>
              <w:right w:w="100" w:type="dxa"/>
            </w:tcMar>
            <w:vAlign w:val="center"/>
          </w:tcPr>
          <w:p w14:paraId="49B84382">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Direct CU extraction</w:t>
            </w:r>
          </w:p>
        </w:tc>
      </w:tr>
      <w:tr w14:paraId="07FF9BCD">
        <w:trPr>
          <w:cantSplit/>
          <w:jc w:val="center"/>
        </w:trPr>
        <w:tc>
          <w:tcPr>
            <w:tcW w:w="3389" w:type="dxa"/>
            <w:tcMar>
              <w:top w:w="80" w:type="dxa"/>
              <w:left w:w="100" w:type="dxa"/>
              <w:bottom w:w="80" w:type="dxa"/>
              <w:right w:w="100" w:type="dxa"/>
            </w:tcMar>
            <w:vAlign w:val="center"/>
          </w:tcPr>
          <w:p w14:paraId="2CA62C69">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Full TRACE-CU</w:t>
            </w:r>
          </w:p>
        </w:tc>
        <w:tc>
          <w:tcPr>
            <w:tcW w:w="3389" w:type="dxa"/>
            <w:tcMar>
              <w:top w:w="80" w:type="dxa"/>
              <w:left w:w="100" w:type="dxa"/>
              <w:bottom w:w="80" w:type="dxa"/>
              <w:right w:w="100" w:type="dxa"/>
            </w:tcMar>
            <w:vAlign w:val="center"/>
          </w:tcPr>
          <w:p w14:paraId="2F6A681C">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Proposed route-aware CU framework with assembly, attribution, and rule-based validation</w:t>
            </w:r>
          </w:p>
        </w:tc>
        <w:tc>
          <w:tcPr>
            <w:tcW w:w="3389" w:type="dxa"/>
            <w:tcMar>
              <w:top w:w="80" w:type="dxa"/>
              <w:left w:w="100" w:type="dxa"/>
              <w:bottom w:w="80" w:type="dxa"/>
              <w:right w:w="100" w:type="dxa"/>
            </w:tcMar>
            <w:vAlign w:val="center"/>
          </w:tcPr>
          <w:p w14:paraId="0CC41B54">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Complete CU extraction and CCOH construction</w:t>
            </w:r>
          </w:p>
        </w:tc>
      </w:tr>
    </w:tbl>
    <w:p w14:paraId="0A1A2E8F">
      <w:pPr>
        <w:spacing w:after="80" w:line="259" w:lineRule="auto"/>
        <w:ind w:left="0" w:right="0" w:firstLine="0"/>
        <w:jc w:val="both"/>
        <w:rPr>
          <w:rFonts w:hint="default" w:ascii="Times New Roman Regular" w:hAnsi="Times New Roman Regular" w:cs="Times New Roman Regular"/>
        </w:rPr>
      </w:pPr>
      <w:r>
        <w:rPr>
          <w:rFonts w:hint="default" w:ascii="Times New Roman Regular" w:hAnsi="Times New Roman Regular" w:cs="Times New Roman Regular"/>
        </w:rPr>
        <w:t>The public method names and executed model configurations were frozen before comparative reporting. DeepSeek-V3.2 (Non-thinking) used one-pass prompting, whereas DeepSeek-V3.2 (Thinking) was retained as a separate reasoning-enabled baseline. Full TRACE-CU and all TRACE-CU component ablations used the same DeepSeek-V3.2 non-thinking executor with staged, route-aware prompting; only the surrounding framework components differed. Qwen-Max-2025-01-25, GPT-5.5 Thinking-High, and MedGemma 27B Text IT (Non-thinking) were reported using the identifiers and settings reported in this supplementary material.</w:t>
      </w:r>
    </w:p>
    <w:p w14:paraId="4C225D26">
      <w:pPr>
        <w:pStyle w:val="3"/>
        <w:keepNext/>
        <w:spacing w:after="80"/>
        <w:rPr>
          <w:rFonts w:hint="default" w:ascii="Times New Roman Regular" w:hAnsi="Times New Roman Regular" w:cs="Times New Roman Regular"/>
        </w:rPr>
      </w:pPr>
      <w:r>
        <w:rPr>
          <w:rFonts w:hint="default" w:ascii="Times New Roman Regular" w:hAnsi="Times New Roman Regular" w:cs="Times New Roman Regular"/>
        </w:rPr>
        <w:t>1.2 Source-Field and Structured-Record Mapping</w:t>
      </w:r>
    </w:p>
    <w:p w14:paraId="306FFC57">
      <w:pPr>
        <w:spacing w:after="80"/>
        <w:rPr>
          <w:rFonts w:hint="default" w:ascii="Times New Roman Regular" w:hAnsi="Times New Roman Regular" w:cs="Times New Roman Regular"/>
        </w:rPr>
      </w:pPr>
      <w:r>
        <w:rPr>
          <w:rFonts w:hint="default" w:ascii="Times New Roman Regular" w:hAnsi="Times New Roman Regular" w:cs="Times New Roman Regular"/>
        </w:rPr>
        <w:t>The source input contained 15 fields derived from PubMed and linked ClinicalTrials.gov records. These fields were mapped to standardized internal names before TRACE-CU processing. The complete record export contained 49 physical columns: 15 source and context fields, 23 structured CU fields, 9 post-extraction evidence-audit fields, and 2 annotation-support fields. Relative to the 30-column gold-standard table, the complete export carried forward 9 additional source and context fields, added comparison_structure as a route-trace field, and added 9 evidence-audit fields.</w:t>
      </w:r>
    </w:p>
    <w:p w14:paraId="78875AA6">
      <w:pPr>
        <w:spacing w:after="80"/>
        <w:rPr>
          <w:rFonts w:hint="default" w:ascii="Times New Roman Regular" w:hAnsi="Times New Roman Regular" w:cs="Times New Roman Regular"/>
        </w:rPr>
      </w:pPr>
      <w:r>
        <w:rPr>
          <w:rFonts w:hint="default" w:ascii="Times New Roman Regular" w:hAnsi="Times New Roman Regular" w:cs="Times New Roman Regular"/>
        </w:rPr>
        <w:t>The structured extraction prompt operated on the mapped source fields and did not request or return field-specific evidence sentences. The nine evidence-sentence columns in the complete record were populated outside the prompt output through a separate post-extraction evidence-audit procedure. They comprised evidence fields for disease type, disease subtype, disease stage, study design, intervention population, comparator population, intervention arm, comparator arm, and endpoint/result content.</w:t>
      </w:r>
    </w:p>
    <w:p w14:paraId="45477ED8">
      <w:pPr>
        <w:pStyle w:val="7"/>
        <w:spacing w:after="80"/>
        <w:rPr>
          <w:rFonts w:hint="default" w:ascii="Times New Roman Regular" w:hAnsi="Times New Roman Regular" w:cs="Times New Roman Regular"/>
        </w:rPr>
      </w:pPr>
      <w:r>
        <w:rPr>
          <w:rFonts w:hint="default" w:ascii="Times New Roman Regular" w:hAnsi="Times New Roman Regular" w:cs="Times New Roman Regular"/>
        </w:rPr>
        <w:t xml:space="preserve">Table </w:t>
      </w:r>
      <w:r>
        <w:rPr>
          <w:rFonts w:hint="eastAsia" w:ascii="Times New Roman Regular" w:hAnsi="Times New Roman Regular" w:eastAsia="宋体" w:cs="Times New Roman Regular"/>
          <w:lang w:val="en-US" w:eastAsia="zh-CN"/>
        </w:rPr>
        <w:t>3</w:t>
      </w:r>
      <w:r>
        <w:rPr>
          <w:rFonts w:hint="default" w:ascii="Times New Roman Regular" w:hAnsi="Times New Roman Regular" w:cs="Times New Roman Regular"/>
        </w:rPr>
        <w:t>. Mapping of source input fields to standardized internal fields</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6"/>
        <w:gridCol w:w="2076"/>
        <w:gridCol w:w="2076"/>
        <w:gridCol w:w="2076"/>
      </w:tblGrid>
      <w:tr w14:paraId="642EB322">
        <w:trPr>
          <w:cantSplit/>
          <w:tblHeader/>
          <w:jc w:val="center"/>
        </w:trPr>
        <w:tc>
          <w:tcPr>
            <w:tcW w:w="2088" w:type="dxa"/>
            <w:vAlign w:val="center"/>
          </w:tcPr>
          <w:p w14:paraId="1A50E4AA">
            <w:pPr>
              <w:spacing w:before="0" w:after="0" w:line="240" w:lineRule="auto"/>
              <w:jc w:val="center"/>
              <w:rPr>
                <w:rFonts w:hint="default" w:ascii="Times New Roman Regular" w:hAnsi="Times New Roman Regular" w:eastAsia="Times New Roman" w:cs="Times New Roman Regular"/>
                <w:b/>
                <w:sz w:val="16"/>
              </w:rPr>
            </w:pPr>
            <w:r>
              <w:rPr>
                <w:rFonts w:hint="default" w:ascii="Times New Roman Regular" w:hAnsi="Times New Roman Regular" w:eastAsia="Times New Roman" w:cs="Times New Roman Regular"/>
                <w:b/>
                <w:sz w:val="16"/>
              </w:rPr>
              <w:t>Source input field</w:t>
            </w:r>
          </w:p>
        </w:tc>
        <w:tc>
          <w:tcPr>
            <w:tcW w:w="2520" w:type="dxa"/>
            <w:vAlign w:val="center"/>
          </w:tcPr>
          <w:p w14:paraId="57F9DC04">
            <w:pPr>
              <w:spacing w:before="0" w:after="0" w:line="240" w:lineRule="auto"/>
              <w:jc w:val="center"/>
              <w:rPr>
                <w:rFonts w:hint="default" w:ascii="Times New Roman Regular" w:hAnsi="Times New Roman Regular" w:eastAsia="Times New Roman" w:cs="Times New Roman Regular"/>
                <w:b/>
                <w:sz w:val="16"/>
              </w:rPr>
            </w:pPr>
            <w:r>
              <w:rPr>
                <w:rFonts w:hint="default" w:ascii="Times New Roman Regular" w:hAnsi="Times New Roman Regular" w:eastAsia="Times New Roman" w:cs="Times New Roman Regular"/>
                <w:b/>
                <w:sz w:val="16"/>
              </w:rPr>
              <w:t>Internal field</w:t>
            </w:r>
          </w:p>
        </w:tc>
        <w:tc>
          <w:tcPr>
            <w:tcW w:w="2088" w:type="dxa"/>
            <w:vAlign w:val="center"/>
          </w:tcPr>
          <w:p w14:paraId="09D0AB19">
            <w:pPr>
              <w:spacing w:before="0" w:after="0" w:line="240" w:lineRule="auto"/>
              <w:jc w:val="center"/>
              <w:rPr>
                <w:rFonts w:hint="default" w:ascii="Times New Roman Regular" w:hAnsi="Times New Roman Regular" w:eastAsia="Times New Roman" w:cs="Times New Roman Regular"/>
                <w:b/>
                <w:sz w:val="16"/>
              </w:rPr>
            </w:pPr>
            <w:r>
              <w:rPr>
                <w:rFonts w:hint="default" w:ascii="Times New Roman Regular" w:hAnsi="Times New Roman Regular" w:eastAsia="Times New Roman" w:cs="Times New Roman Regular"/>
                <w:b/>
                <w:sz w:val="16"/>
              </w:rPr>
              <w:t>Source</w:t>
            </w:r>
          </w:p>
        </w:tc>
        <w:tc>
          <w:tcPr>
            <w:tcW w:w="3816" w:type="dxa"/>
            <w:vAlign w:val="center"/>
          </w:tcPr>
          <w:p w14:paraId="241EC48B">
            <w:pPr>
              <w:spacing w:before="0" w:after="0" w:line="240" w:lineRule="auto"/>
              <w:jc w:val="center"/>
              <w:rPr>
                <w:rFonts w:hint="default" w:ascii="Times New Roman Regular" w:hAnsi="Times New Roman Regular" w:eastAsia="Times New Roman" w:cs="Times New Roman Regular"/>
                <w:b/>
                <w:sz w:val="16"/>
              </w:rPr>
            </w:pPr>
            <w:r>
              <w:rPr>
                <w:rFonts w:hint="default" w:ascii="Times New Roman Regular" w:hAnsi="Times New Roman Regular" w:eastAsia="Times New Roman" w:cs="Times New Roman Regular"/>
                <w:b/>
                <w:sz w:val="16"/>
              </w:rPr>
              <w:t>Primary role</w:t>
            </w:r>
          </w:p>
        </w:tc>
      </w:tr>
      <w:tr w14:paraId="4DC5B94D">
        <w:trPr>
          <w:cantSplit/>
          <w:jc w:val="center"/>
        </w:trPr>
        <w:tc>
          <w:tcPr>
            <w:tcW w:w="2088" w:type="dxa"/>
            <w:vAlign w:val="center"/>
          </w:tcPr>
          <w:p w14:paraId="454BB033">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PMID</w:t>
            </w:r>
          </w:p>
        </w:tc>
        <w:tc>
          <w:tcPr>
            <w:tcW w:w="2520" w:type="dxa"/>
            <w:vAlign w:val="center"/>
          </w:tcPr>
          <w:p w14:paraId="75CF4A02">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pmid</w:t>
            </w:r>
          </w:p>
        </w:tc>
        <w:tc>
          <w:tcPr>
            <w:tcW w:w="2088" w:type="dxa"/>
            <w:vAlign w:val="center"/>
          </w:tcPr>
          <w:p w14:paraId="5A655068">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PubMed</w:t>
            </w:r>
          </w:p>
        </w:tc>
        <w:tc>
          <w:tcPr>
            <w:tcW w:w="3816" w:type="dxa"/>
            <w:vAlign w:val="center"/>
          </w:tcPr>
          <w:p w14:paraId="62572806">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Publication identifier and provenance</w:t>
            </w:r>
          </w:p>
        </w:tc>
      </w:tr>
      <w:tr w14:paraId="2B397D3D">
        <w:trPr>
          <w:cantSplit/>
          <w:jc w:val="center"/>
        </w:trPr>
        <w:tc>
          <w:tcPr>
            <w:tcW w:w="2088" w:type="dxa"/>
            <w:vAlign w:val="center"/>
          </w:tcPr>
          <w:p w14:paraId="56006907">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Year</w:t>
            </w:r>
          </w:p>
        </w:tc>
        <w:tc>
          <w:tcPr>
            <w:tcW w:w="2520" w:type="dxa"/>
            <w:vAlign w:val="center"/>
          </w:tcPr>
          <w:p w14:paraId="5CE18514">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publication_year</w:t>
            </w:r>
          </w:p>
        </w:tc>
        <w:tc>
          <w:tcPr>
            <w:tcW w:w="2088" w:type="dxa"/>
            <w:vAlign w:val="center"/>
          </w:tcPr>
          <w:p w14:paraId="56FE65E5">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PubMed</w:t>
            </w:r>
          </w:p>
        </w:tc>
        <w:tc>
          <w:tcPr>
            <w:tcW w:w="3816" w:type="dxa"/>
            <w:vAlign w:val="center"/>
          </w:tcPr>
          <w:p w14:paraId="623AD113">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Publication-year metadata</w:t>
            </w:r>
          </w:p>
        </w:tc>
      </w:tr>
      <w:tr w14:paraId="6D899421">
        <w:trPr>
          <w:cantSplit/>
          <w:jc w:val="center"/>
        </w:trPr>
        <w:tc>
          <w:tcPr>
            <w:tcW w:w="2088" w:type="dxa"/>
            <w:vAlign w:val="center"/>
          </w:tcPr>
          <w:p w14:paraId="1712877B">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Title</w:t>
            </w:r>
          </w:p>
        </w:tc>
        <w:tc>
          <w:tcPr>
            <w:tcW w:w="2520" w:type="dxa"/>
            <w:vAlign w:val="center"/>
          </w:tcPr>
          <w:p w14:paraId="2C9AD888">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publication_title</w:t>
            </w:r>
          </w:p>
        </w:tc>
        <w:tc>
          <w:tcPr>
            <w:tcW w:w="2088" w:type="dxa"/>
            <w:vAlign w:val="center"/>
          </w:tcPr>
          <w:p w14:paraId="335C0507">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PubMed</w:t>
            </w:r>
          </w:p>
        </w:tc>
        <w:tc>
          <w:tcPr>
            <w:tcW w:w="3816" w:type="dxa"/>
            <w:vAlign w:val="center"/>
          </w:tcPr>
          <w:p w14:paraId="01B1A6C7">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Current source-publication title</w:t>
            </w:r>
          </w:p>
        </w:tc>
      </w:tr>
      <w:tr w14:paraId="1A7291AE">
        <w:trPr>
          <w:cantSplit/>
          <w:jc w:val="center"/>
        </w:trPr>
        <w:tc>
          <w:tcPr>
            <w:tcW w:w="2088" w:type="dxa"/>
            <w:vAlign w:val="center"/>
          </w:tcPr>
          <w:p w14:paraId="3AB1605A">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Abstract</w:t>
            </w:r>
          </w:p>
        </w:tc>
        <w:tc>
          <w:tcPr>
            <w:tcW w:w="2520" w:type="dxa"/>
            <w:vAlign w:val="center"/>
          </w:tcPr>
          <w:p w14:paraId="4224542F">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abstract</w:t>
            </w:r>
          </w:p>
        </w:tc>
        <w:tc>
          <w:tcPr>
            <w:tcW w:w="2088" w:type="dxa"/>
            <w:vAlign w:val="center"/>
          </w:tcPr>
          <w:p w14:paraId="382A59CA">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PubMed</w:t>
            </w:r>
          </w:p>
        </w:tc>
        <w:tc>
          <w:tcPr>
            <w:tcW w:w="3816" w:type="dxa"/>
            <w:vAlign w:val="center"/>
          </w:tcPr>
          <w:p w14:paraId="438E0292">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Primary text for comparison and CU extraction</w:t>
            </w:r>
          </w:p>
        </w:tc>
      </w:tr>
      <w:tr w14:paraId="2DE09097">
        <w:trPr>
          <w:cantSplit/>
          <w:jc w:val="center"/>
        </w:trPr>
        <w:tc>
          <w:tcPr>
            <w:tcW w:w="2088" w:type="dxa"/>
            <w:vAlign w:val="center"/>
          </w:tcPr>
          <w:p w14:paraId="518575E7">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NCT Number</w:t>
            </w:r>
          </w:p>
        </w:tc>
        <w:tc>
          <w:tcPr>
            <w:tcW w:w="2520" w:type="dxa"/>
            <w:vAlign w:val="center"/>
          </w:tcPr>
          <w:p w14:paraId="2F2E83CE">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nct_id</w:t>
            </w:r>
          </w:p>
        </w:tc>
        <w:tc>
          <w:tcPr>
            <w:tcW w:w="2088" w:type="dxa"/>
            <w:vAlign w:val="center"/>
          </w:tcPr>
          <w:p w14:paraId="1721CA32">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Publication-registry linkage</w:t>
            </w:r>
          </w:p>
        </w:tc>
        <w:tc>
          <w:tcPr>
            <w:tcW w:w="3816" w:type="dxa"/>
            <w:vAlign w:val="center"/>
          </w:tcPr>
          <w:p w14:paraId="7CC5A5C5">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Registry linkage and trial-identity verification</w:t>
            </w:r>
          </w:p>
        </w:tc>
      </w:tr>
      <w:tr w14:paraId="21A21EF5">
        <w:trPr>
          <w:cantSplit/>
          <w:jc w:val="center"/>
        </w:trPr>
        <w:tc>
          <w:tcPr>
            <w:tcW w:w="2088" w:type="dxa"/>
            <w:vAlign w:val="center"/>
          </w:tcPr>
          <w:p w14:paraId="085246FE">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Study Title</w:t>
            </w:r>
          </w:p>
        </w:tc>
        <w:tc>
          <w:tcPr>
            <w:tcW w:w="2520" w:type="dxa"/>
            <w:vAlign w:val="center"/>
          </w:tcPr>
          <w:p w14:paraId="318DF1FC">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study_title</w:t>
            </w:r>
          </w:p>
        </w:tc>
        <w:tc>
          <w:tcPr>
            <w:tcW w:w="2088" w:type="dxa"/>
            <w:vAlign w:val="center"/>
          </w:tcPr>
          <w:p w14:paraId="7896C0C3">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ClinicalTrials.gov</w:t>
            </w:r>
          </w:p>
        </w:tc>
        <w:tc>
          <w:tcPr>
            <w:tcW w:w="3816" w:type="dxa"/>
            <w:vAlign w:val="center"/>
          </w:tcPr>
          <w:p w14:paraId="544CF856">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Registered study title for identity checking</w:t>
            </w:r>
          </w:p>
        </w:tc>
      </w:tr>
      <w:tr w14:paraId="057B8FF2">
        <w:trPr>
          <w:cantSplit/>
          <w:jc w:val="center"/>
        </w:trPr>
        <w:tc>
          <w:tcPr>
            <w:tcW w:w="2088" w:type="dxa"/>
            <w:vAlign w:val="center"/>
          </w:tcPr>
          <w:p w14:paraId="4B6C7434">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Study URL</w:t>
            </w:r>
          </w:p>
        </w:tc>
        <w:tc>
          <w:tcPr>
            <w:tcW w:w="2520" w:type="dxa"/>
            <w:vAlign w:val="center"/>
          </w:tcPr>
          <w:p w14:paraId="11DC4DCD">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study_url</w:t>
            </w:r>
          </w:p>
        </w:tc>
        <w:tc>
          <w:tcPr>
            <w:tcW w:w="2088" w:type="dxa"/>
            <w:vAlign w:val="center"/>
          </w:tcPr>
          <w:p w14:paraId="30820679">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ClinicalTrials.gov</w:t>
            </w:r>
          </w:p>
        </w:tc>
        <w:tc>
          <w:tcPr>
            <w:tcW w:w="3816" w:type="dxa"/>
            <w:vAlign w:val="center"/>
          </w:tcPr>
          <w:p w14:paraId="148BE685">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Registry-record provenance</w:t>
            </w:r>
          </w:p>
        </w:tc>
      </w:tr>
      <w:tr w14:paraId="46DB457D">
        <w:trPr>
          <w:cantSplit/>
          <w:jc w:val="center"/>
        </w:trPr>
        <w:tc>
          <w:tcPr>
            <w:tcW w:w="2088" w:type="dxa"/>
            <w:vAlign w:val="center"/>
          </w:tcPr>
          <w:p w14:paraId="52B3649D">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Study Status</w:t>
            </w:r>
          </w:p>
        </w:tc>
        <w:tc>
          <w:tcPr>
            <w:tcW w:w="2520" w:type="dxa"/>
            <w:vAlign w:val="center"/>
          </w:tcPr>
          <w:p w14:paraId="36440A81">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study_status</w:t>
            </w:r>
          </w:p>
        </w:tc>
        <w:tc>
          <w:tcPr>
            <w:tcW w:w="2088" w:type="dxa"/>
            <w:vAlign w:val="center"/>
          </w:tcPr>
          <w:p w14:paraId="040D96FB">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ClinicalTrials.gov</w:t>
            </w:r>
          </w:p>
        </w:tc>
        <w:tc>
          <w:tcPr>
            <w:tcW w:w="3816" w:type="dxa"/>
            <w:vAlign w:val="center"/>
          </w:tcPr>
          <w:p w14:paraId="3477739F">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Registry-status metadata</w:t>
            </w:r>
          </w:p>
        </w:tc>
      </w:tr>
      <w:tr w14:paraId="5ED73EA8">
        <w:trPr>
          <w:cantSplit/>
          <w:jc w:val="center"/>
        </w:trPr>
        <w:tc>
          <w:tcPr>
            <w:tcW w:w="2088" w:type="dxa"/>
            <w:vAlign w:val="center"/>
          </w:tcPr>
          <w:p w14:paraId="6EEF91C6">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Brief Summary</w:t>
            </w:r>
          </w:p>
        </w:tc>
        <w:tc>
          <w:tcPr>
            <w:tcW w:w="2520" w:type="dxa"/>
            <w:vAlign w:val="center"/>
          </w:tcPr>
          <w:p w14:paraId="365EC93E">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brief_summary</w:t>
            </w:r>
          </w:p>
        </w:tc>
        <w:tc>
          <w:tcPr>
            <w:tcW w:w="2088" w:type="dxa"/>
            <w:vAlign w:val="center"/>
          </w:tcPr>
          <w:p w14:paraId="30FCD300">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ClinicalTrials.gov</w:t>
            </w:r>
          </w:p>
        </w:tc>
        <w:tc>
          <w:tcPr>
            <w:tcW w:w="3816" w:type="dxa"/>
            <w:vAlign w:val="center"/>
          </w:tcPr>
          <w:p w14:paraId="22D850E6">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Auxiliary study context</w:t>
            </w:r>
          </w:p>
        </w:tc>
      </w:tr>
      <w:tr w14:paraId="40D52F13">
        <w:trPr>
          <w:cantSplit/>
          <w:jc w:val="center"/>
        </w:trPr>
        <w:tc>
          <w:tcPr>
            <w:tcW w:w="2088" w:type="dxa"/>
            <w:vAlign w:val="center"/>
          </w:tcPr>
          <w:p w14:paraId="67E7A1F3">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Study Results</w:t>
            </w:r>
          </w:p>
        </w:tc>
        <w:tc>
          <w:tcPr>
            <w:tcW w:w="2520" w:type="dxa"/>
            <w:vAlign w:val="center"/>
          </w:tcPr>
          <w:p w14:paraId="5C09EAD9">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study_results</w:t>
            </w:r>
          </w:p>
        </w:tc>
        <w:tc>
          <w:tcPr>
            <w:tcW w:w="2088" w:type="dxa"/>
            <w:vAlign w:val="center"/>
          </w:tcPr>
          <w:p w14:paraId="39B81D59">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ClinicalTrials.gov</w:t>
            </w:r>
          </w:p>
        </w:tc>
        <w:tc>
          <w:tcPr>
            <w:tcW w:w="3816" w:type="dxa"/>
            <w:vAlign w:val="center"/>
          </w:tcPr>
          <w:p w14:paraId="3BD804AF">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Registry metadata indicating result availability</w:t>
            </w:r>
          </w:p>
        </w:tc>
      </w:tr>
      <w:tr w14:paraId="228E842E">
        <w:trPr>
          <w:cantSplit/>
          <w:jc w:val="center"/>
        </w:trPr>
        <w:tc>
          <w:tcPr>
            <w:tcW w:w="2088" w:type="dxa"/>
            <w:vAlign w:val="center"/>
          </w:tcPr>
          <w:p w14:paraId="000BB1C0">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Conditions</w:t>
            </w:r>
          </w:p>
        </w:tc>
        <w:tc>
          <w:tcPr>
            <w:tcW w:w="2520" w:type="dxa"/>
            <w:vAlign w:val="center"/>
          </w:tcPr>
          <w:p w14:paraId="56DFA5FD">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conditions</w:t>
            </w:r>
          </w:p>
        </w:tc>
        <w:tc>
          <w:tcPr>
            <w:tcW w:w="2088" w:type="dxa"/>
            <w:vAlign w:val="center"/>
          </w:tcPr>
          <w:p w14:paraId="410B3E59">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ClinicalTrials.gov</w:t>
            </w:r>
          </w:p>
        </w:tc>
        <w:tc>
          <w:tcPr>
            <w:tcW w:w="3816" w:type="dxa"/>
            <w:vAlign w:val="center"/>
          </w:tcPr>
          <w:p w14:paraId="0E40DC5A">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Disease-term normalization support</w:t>
            </w:r>
          </w:p>
        </w:tc>
      </w:tr>
      <w:tr w14:paraId="47BE5CC9">
        <w:trPr>
          <w:cantSplit/>
          <w:jc w:val="center"/>
        </w:trPr>
        <w:tc>
          <w:tcPr>
            <w:tcW w:w="2088" w:type="dxa"/>
            <w:vAlign w:val="center"/>
          </w:tcPr>
          <w:p w14:paraId="43114978">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Interventions</w:t>
            </w:r>
          </w:p>
        </w:tc>
        <w:tc>
          <w:tcPr>
            <w:tcW w:w="2520" w:type="dxa"/>
            <w:vAlign w:val="center"/>
          </w:tcPr>
          <w:p w14:paraId="1EA0BB6E">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interventions</w:t>
            </w:r>
          </w:p>
        </w:tc>
        <w:tc>
          <w:tcPr>
            <w:tcW w:w="2088" w:type="dxa"/>
            <w:vAlign w:val="center"/>
          </w:tcPr>
          <w:p w14:paraId="5AABD741">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ClinicalTrials.gov</w:t>
            </w:r>
          </w:p>
        </w:tc>
        <w:tc>
          <w:tcPr>
            <w:tcW w:w="3816" w:type="dxa"/>
            <w:vAlign w:val="center"/>
          </w:tcPr>
          <w:p w14:paraId="18B22DC7">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Intervention, arm, and regimen terminology support</w:t>
            </w:r>
          </w:p>
        </w:tc>
      </w:tr>
      <w:tr w14:paraId="5A97DD6A">
        <w:trPr>
          <w:cantSplit/>
          <w:jc w:val="center"/>
        </w:trPr>
        <w:tc>
          <w:tcPr>
            <w:tcW w:w="2088" w:type="dxa"/>
            <w:vAlign w:val="center"/>
          </w:tcPr>
          <w:p w14:paraId="3D1FAD18">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Primary Outcome Measures</w:t>
            </w:r>
          </w:p>
        </w:tc>
        <w:tc>
          <w:tcPr>
            <w:tcW w:w="2520" w:type="dxa"/>
            <w:vAlign w:val="center"/>
          </w:tcPr>
          <w:p w14:paraId="5A1E34B7">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primary_outcome_measures</w:t>
            </w:r>
          </w:p>
        </w:tc>
        <w:tc>
          <w:tcPr>
            <w:tcW w:w="2088" w:type="dxa"/>
            <w:vAlign w:val="center"/>
          </w:tcPr>
          <w:p w14:paraId="32F6C4DF">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ClinicalTrials.gov</w:t>
            </w:r>
          </w:p>
        </w:tc>
        <w:tc>
          <w:tcPr>
            <w:tcW w:w="3816" w:type="dxa"/>
            <w:vAlign w:val="center"/>
          </w:tcPr>
          <w:p w14:paraId="57C04D11">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Endpoint terminology support</w:t>
            </w:r>
          </w:p>
        </w:tc>
      </w:tr>
      <w:tr w14:paraId="32C6F1BD">
        <w:trPr>
          <w:cantSplit/>
          <w:jc w:val="center"/>
        </w:trPr>
        <w:tc>
          <w:tcPr>
            <w:tcW w:w="2088" w:type="dxa"/>
            <w:vAlign w:val="center"/>
          </w:tcPr>
          <w:p w14:paraId="2379EA40">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Phases</w:t>
            </w:r>
          </w:p>
        </w:tc>
        <w:tc>
          <w:tcPr>
            <w:tcW w:w="2520" w:type="dxa"/>
            <w:vAlign w:val="center"/>
          </w:tcPr>
          <w:p w14:paraId="4A8C9540">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study_phases</w:t>
            </w:r>
          </w:p>
        </w:tc>
        <w:tc>
          <w:tcPr>
            <w:tcW w:w="2088" w:type="dxa"/>
            <w:vAlign w:val="center"/>
          </w:tcPr>
          <w:p w14:paraId="7B7E77F7">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ClinicalTrials.gov</w:t>
            </w:r>
          </w:p>
        </w:tc>
        <w:tc>
          <w:tcPr>
            <w:tcW w:w="3816" w:type="dxa"/>
            <w:vAlign w:val="center"/>
          </w:tcPr>
          <w:p w14:paraId="2454C660">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Registered phase metadata</w:t>
            </w:r>
          </w:p>
        </w:tc>
      </w:tr>
      <w:tr w14:paraId="35DF68D2">
        <w:trPr>
          <w:cantSplit/>
          <w:jc w:val="center"/>
        </w:trPr>
        <w:tc>
          <w:tcPr>
            <w:tcW w:w="2088" w:type="dxa"/>
            <w:vAlign w:val="center"/>
          </w:tcPr>
          <w:p w14:paraId="6B17DC57">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Study Type</w:t>
            </w:r>
          </w:p>
        </w:tc>
        <w:tc>
          <w:tcPr>
            <w:tcW w:w="2520" w:type="dxa"/>
            <w:vAlign w:val="center"/>
          </w:tcPr>
          <w:p w14:paraId="6E3B91F6">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study_type</w:t>
            </w:r>
          </w:p>
        </w:tc>
        <w:tc>
          <w:tcPr>
            <w:tcW w:w="2088" w:type="dxa"/>
            <w:vAlign w:val="center"/>
          </w:tcPr>
          <w:p w14:paraId="55AF465F">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ClinicalTrials.gov</w:t>
            </w:r>
          </w:p>
        </w:tc>
        <w:tc>
          <w:tcPr>
            <w:tcW w:w="3816" w:type="dxa"/>
            <w:vAlign w:val="center"/>
          </w:tcPr>
          <w:p w14:paraId="6B450B97">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Registered study-type metadata</w:t>
            </w:r>
          </w:p>
        </w:tc>
      </w:tr>
    </w:tbl>
    <w:p w14:paraId="61288C7B">
      <w:pPr>
        <w:pStyle w:val="7"/>
        <w:spacing w:after="80"/>
        <w:rPr>
          <w:rFonts w:hint="default" w:ascii="Times New Roman Regular" w:hAnsi="Times New Roman Regular" w:cs="Times New Roman Regular"/>
        </w:rPr>
      </w:pPr>
      <w:r>
        <w:rPr>
          <w:rFonts w:hint="default" w:ascii="Times New Roman Regular" w:hAnsi="Times New Roman Regular" w:cs="Times New Roman Regular"/>
        </w:rPr>
        <w:t xml:space="preserve">Table </w:t>
      </w:r>
      <w:r>
        <w:rPr>
          <w:rFonts w:hint="eastAsia" w:ascii="Times New Roman Regular" w:hAnsi="Times New Roman Regular" w:eastAsia="宋体" w:cs="Times New Roman Regular"/>
          <w:lang w:val="en-US" w:eastAsia="zh-CN"/>
        </w:rPr>
        <w:t>4</w:t>
      </w:r>
      <w:r>
        <w:rPr>
          <w:rFonts w:hint="default" w:ascii="Times New Roman Regular" w:hAnsi="Times New Roman Regular" w:cs="Times New Roman Regular"/>
        </w:rPr>
        <w:t>. Field-layer composition of the 49-column complete record</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9"/>
        <w:gridCol w:w="2769"/>
        <w:gridCol w:w="2769"/>
      </w:tblGrid>
      <w:tr w14:paraId="2A743596">
        <w:trPr>
          <w:cantSplit/>
          <w:tblHeader/>
          <w:jc w:val="center"/>
        </w:trPr>
        <w:tc>
          <w:tcPr>
            <w:tcW w:w="2376" w:type="dxa"/>
            <w:vAlign w:val="center"/>
          </w:tcPr>
          <w:p w14:paraId="48CB7521">
            <w:pPr>
              <w:spacing w:after="0"/>
              <w:rPr>
                <w:rFonts w:hint="default" w:ascii="Times New Roman Regular" w:hAnsi="Times New Roman Regular" w:cs="Times New Roman Regular"/>
              </w:rPr>
            </w:pPr>
            <w:r>
              <w:rPr>
                <w:rFonts w:hint="default" w:ascii="Times New Roman Regular" w:hAnsi="Times New Roman Regular" w:cs="Times New Roman Regular"/>
                <w:b/>
                <w:sz w:val="16"/>
              </w:rPr>
              <w:t>Record layer</w:t>
            </w:r>
          </w:p>
        </w:tc>
        <w:tc>
          <w:tcPr>
            <w:tcW w:w="5400" w:type="dxa"/>
            <w:vAlign w:val="center"/>
          </w:tcPr>
          <w:p w14:paraId="3B1E81E9">
            <w:pPr>
              <w:spacing w:after="0"/>
              <w:rPr>
                <w:rFonts w:hint="default" w:ascii="Times New Roman Regular" w:hAnsi="Times New Roman Regular" w:cs="Times New Roman Regular"/>
              </w:rPr>
            </w:pPr>
            <w:r>
              <w:rPr>
                <w:rFonts w:hint="default" w:ascii="Times New Roman Regular" w:hAnsi="Times New Roman Regular" w:cs="Times New Roman Regular"/>
                <w:b/>
                <w:sz w:val="16"/>
              </w:rPr>
              <w:t>Fields</w:t>
            </w:r>
          </w:p>
        </w:tc>
        <w:tc>
          <w:tcPr>
            <w:tcW w:w="3312" w:type="dxa"/>
            <w:vAlign w:val="center"/>
          </w:tcPr>
          <w:p w14:paraId="3D7089D6">
            <w:pPr>
              <w:spacing w:after="0"/>
              <w:rPr>
                <w:rFonts w:hint="default" w:ascii="Times New Roman Regular" w:hAnsi="Times New Roman Regular" w:cs="Times New Roman Regular"/>
              </w:rPr>
            </w:pPr>
            <w:r>
              <w:rPr>
                <w:rFonts w:hint="default" w:ascii="Times New Roman Regular" w:hAnsi="Times New Roman Regular" w:cs="Times New Roman Regular"/>
                <w:b/>
                <w:sz w:val="16"/>
              </w:rPr>
              <w:t>Generation or use</w:t>
            </w:r>
          </w:p>
        </w:tc>
      </w:tr>
      <w:tr>
        <w:tc>
          <w:tcPr>
            <w:tcW w:type="dxa" w:w="2769"/>
          </w:tcPr>
          <w:p>
            <w:r>
              <w:t>Source and context fields (15)</w:t>
            </w:r>
          </w:p>
        </w:tc>
        <w:tc>
          <w:tcPr>
            <w:tcW w:type="dxa" w:w="2769"/>
          </w:tcPr>
          <w:p>
            <w:r>
              <w:t>pmid; publication_year; publication_title; study_title; nct_id; study_url; study_status; study_type; study_phases; conditions; study_results; abstract; brief_summary; interventions; primary_outcome_measures</w:t>
            </w:r>
          </w:p>
        </w:tc>
        <w:tc>
          <w:tcPr>
            <w:tcW w:type="dxa" w:w="2769"/>
          </w:tcPr>
          <w:p>
            <w:r>
              <w:t>Mapped from PubMed and linked ClinicalTrials.gov records and carried forward for provenance and permitted registry assistance.</w:t>
            </w:r>
          </w:p>
        </w:tc>
      </w:tr>
      <w:tr>
        <w:tc>
          <w:tcPr>
            <w:tcW w:type="dxa" w:w="2769"/>
          </w:tcPr>
          <w:p>
            <w:r>
              <w:t>CU organization fields (3)</w:t>
            </w:r>
          </w:p>
        </w:tc>
        <w:tc>
          <w:tcPr>
            <w:tcW w:type="dxa" w:w="2769"/>
          </w:tcPr>
          <w:p>
            <w:r>
              <w:t>comparison_id; comparison_structure; comparison_label</w:t>
            </w:r>
          </w:p>
        </w:tc>
        <w:tc>
          <w:tcPr>
            <w:tcW w:type="dxa" w:w="2769"/>
          </w:tcPr>
          <w:p>
            <w:r>
              <w:t>CU identifier, assigned operational route, and concise comparison label.</w:t>
            </w:r>
          </w:p>
        </w:tc>
      </w:tr>
      <w:tr>
        <w:tc>
          <w:tcPr>
            <w:tcW w:type="dxa" w:w="2769"/>
          </w:tcPr>
          <w:p>
            <w:r>
              <w:t>Disease and study-design fields (4)</w:t>
            </w:r>
          </w:p>
        </w:tc>
        <w:tc>
          <w:tcPr>
            <w:tcW w:type="dxa" w:w="2769"/>
          </w:tcPr>
          <w:p>
            <w:r>
              <w:t>disease_type; disease_subtype; disease_stage; design_type</w:t>
            </w:r>
          </w:p>
        </w:tc>
        <w:tc>
          <w:tcPr>
            <w:tcW w:type="dxa" w:w="2769"/>
          </w:tcPr>
          <w:p>
            <w:r>
              <w:t>Publication-supported disease context and study design.</w:t>
            </w:r>
          </w:p>
        </w:tc>
      </w:tr>
      <w:tr>
        <w:tc>
          <w:tcPr>
            <w:tcW w:type="dxa" w:w="2769"/>
          </w:tcPr>
          <w:p>
            <w:r>
              <w:t>Population fields (2)</w:t>
            </w:r>
          </w:p>
        </w:tc>
        <w:tc>
          <w:tcPr>
            <w:tcW w:type="dxa" w:w="2769"/>
          </w:tcPr>
          <w:p>
            <w:r>
              <w:t>I-patient_subgroup; C-patient_subgroup</w:t>
            </w:r>
          </w:p>
        </w:tc>
        <w:tc>
          <w:tcPr>
            <w:tcW w:type="dxa" w:w="2769"/>
          </w:tcPr>
          <w:p>
            <w:r>
              <w:t>Separate structured JSON objects for intervention- and comparator-side population description and reported sample size.</w:t>
            </w:r>
          </w:p>
        </w:tc>
      </w:tr>
      <w:tr>
        <w:tc>
          <w:tcPr>
            <w:tcW w:type="dxa" w:w="2769"/>
          </w:tcPr>
          <w:p>
            <w:r>
              <w:t>Intervention-arm fields (3)</w:t>
            </w:r>
          </w:p>
        </w:tc>
        <w:tc>
          <w:tcPr>
            <w:tcW w:type="dxa" w:w="2769"/>
          </w:tcPr>
          <w:p>
            <w:r>
              <w:t>Iarm_drug_regimen; Iarm_regimen_details; Iarm_treat_type</w:t>
            </w:r>
          </w:p>
        </w:tc>
        <w:tc>
          <w:tcPr>
            <w:tcW w:type="dxa" w:w="2769"/>
          </w:tcPr>
          <w:p>
            <w:r>
              <w:t>Intervention strategy, treatment components and attributes, and treatment category.</w:t>
            </w:r>
          </w:p>
        </w:tc>
      </w:tr>
      <w:tr>
        <w:tc>
          <w:tcPr>
            <w:tcW w:type="dxa" w:w="2769"/>
          </w:tcPr>
          <w:p>
            <w:r>
              <w:t>Comparator-arm fields (3)</w:t>
            </w:r>
          </w:p>
        </w:tc>
        <w:tc>
          <w:tcPr>
            <w:tcW w:type="dxa" w:w="2769"/>
          </w:tcPr>
          <w:p>
            <w:r>
              <w:t>Carm_drug_regimen; Carm_regimen_details; Carm_treat_type</w:t>
            </w:r>
          </w:p>
        </w:tc>
        <w:tc>
          <w:tcPr>
            <w:tcW w:type="dxa" w:w="2769"/>
          </w:tcPr>
          <w:p>
            <w:r>
              <w:t>Comparator strategy and corresponding details when structurally applicable.</w:t>
            </w:r>
          </w:p>
        </w:tc>
      </w:tr>
      <w:tr>
        <w:tc>
          <w:tcPr>
            <w:tcW w:type="dxa" w:w="2769"/>
          </w:tcPr>
          <w:p>
            <w:r>
              <w:t>Endpoint and result fields (8)</w:t>
            </w:r>
          </w:p>
        </w:tc>
        <w:tc>
          <w:tcPr>
            <w:tcW w:type="dxa" w:w="2769"/>
          </w:tcPr>
          <w:p>
            <w:r>
              <w:t>primary_endpoint_type_std; rate_I; rate_C; hr; p_value; ci_lower; ci_upper; ci_confidence_level</w:t>
            </w:r>
          </w:p>
        </w:tc>
        <w:tc>
          <w:tcPr>
            <w:tcW w:type="dxa" w:w="2769"/>
          </w:tcPr>
          <w:p>
            <w:r>
              <w:t>Standardized endpoint and publication-reported arm values, effect estimate, P value, and confidence interval.</w:t>
            </w:r>
          </w:p>
        </w:tc>
      </w:tr>
      <w:tr>
        <w:tc>
          <w:tcPr>
            <w:tcW w:type="dxa" w:w="2769"/>
          </w:tcPr>
          <w:p>
            <w:r>
              <w:t>Post-extraction evidence-audit fields (9)</w:t>
            </w:r>
          </w:p>
        </w:tc>
        <w:tc>
          <w:tcPr>
            <w:tcW w:type="dxa" w:w="2769"/>
          </w:tcPr>
          <w:p>
            <w:r>
              <w:t>disease_type_evidence_sentence; disease_subtype_evidence_sentence; disease_stage_evidence_sentence; design_type_evidence_sentence; I-patient_subgroup_evidence_sentence; C-patient_subgroup_evidence_sentence; Iarm_evidence_sentence; Carm_evidence_sentence; endpoint_evidence_sentence</w:t>
            </w:r>
          </w:p>
        </w:tc>
        <w:tc>
          <w:tcPr>
            <w:tcW w:type="dxa" w:w="2769"/>
          </w:tcPr>
          <w:p>
            <w:r>
              <w:t>Source sentences or minimal contiguous spans located in the same PubMed abstract during the separate evidence-audit procedure.</w:t>
            </w:r>
          </w:p>
        </w:tc>
      </w:tr>
      <w:tr>
        <w:tc>
          <w:tcPr>
            <w:tcW w:type="dxa" w:w="2769"/>
          </w:tcPr>
          <w:p>
            <w:r>
              <w:t>Annotation-support fields (2)</w:t>
            </w:r>
          </w:p>
        </w:tc>
        <w:tc>
          <w:tcPr>
            <w:tcW w:type="dxa" w:w="2769"/>
          </w:tcPr>
          <w:p>
            <w:r>
              <w:t>analysis_type; remarks</w:t>
            </w:r>
          </w:p>
        </w:tc>
        <w:tc>
          <w:tcPr>
            <w:tcW w:type="dxa" w:w="2769"/>
          </w:tcPr>
          <w:p>
            <w:r>
              <w:t>Analysis-scope classification and adjudication or curation remarks; not generated as clinical result fields.</w:t>
            </w:r>
          </w:p>
        </w:tc>
      </w:tr>
    </w:tbl>
    <w:p w14:paraId="33ADE774">
      <w:pPr>
        <w:pStyle w:val="3"/>
        <w:keepNext/>
        <w:spacing w:after="80"/>
        <w:rPr>
          <w:rFonts w:hint="default" w:ascii="Times New Roman Regular" w:hAnsi="Times New Roman Regular" w:cs="Times New Roman Regular"/>
        </w:rPr>
      </w:pPr>
      <w:r>
        <w:rPr>
          <w:rFonts w:hint="default" w:ascii="Times New Roman Regular" w:hAnsi="Times New Roman Regular" w:cs="Times New Roman Regular"/>
        </w:rPr>
        <w:t>1.3 Prompt Stages and Structured Output</w:t>
      </w:r>
    </w:p>
    <w:p w14:paraId="4F929C24">
      <w:pPr>
        <w:spacing w:after="80" w:line="259" w:lineRule="auto"/>
        <w:ind w:left="0" w:right="0" w:firstLine="0"/>
        <w:jc w:val="both"/>
        <w:rPr>
          <w:rFonts w:hint="default" w:ascii="Times New Roman Regular" w:hAnsi="Times New Roman Regular" w:eastAsia="宋体" w:cs="Times New Roman Regular"/>
        </w:rPr>
      </w:pPr>
      <w:r>
        <w:rPr>
          <w:rFonts w:ascii="Times New Roman" w:hAnsi="Times New Roman" w:eastAsia="Times New Roman"/>
        </w:rPr>
        <w:t>The operational prompt package was frozen before held-out evaluation and operated on the standardized source-field mapping in Table 3. It produced the structured CU content summarized in Table 4; source fields were carried forward for provenance, and evidence-sentence fields were added only during the subsequent evidence-audit stage. The workflow contained seven stages:</w:t>
      </w:r>
    </w:p>
    <w:p w14:paraId="576354A1">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1. comparison-structure recognition;</w:t>
      </w:r>
    </w:p>
    <w:p w14:paraId="3F7B980D">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2. patient/disease and population extraction;</w:t>
      </w:r>
    </w:p>
    <w:p w14:paraId="6C9514A8">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3. intervention, comparator, and regimen extraction;</w:t>
      </w:r>
    </w:p>
    <w:p w14:paraId="29D170BD">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4. endpoint, result, and statistical-field extraction;</w:t>
      </w:r>
    </w:p>
    <w:p w14:paraId="68A538D1">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5. reported safety-outcome extraction when explicitly presented as a study outcome;</w:t>
      </w:r>
    </w:p>
    <w:p w14:paraId="327C27DF">
      <w:pPr>
        <w:spacing w:after="80"/>
        <w:rPr>
          <w:rFonts w:hint="default" w:ascii="Times New Roman Regular" w:hAnsi="Times New Roman Regular" w:cs="Times New Roman Regular"/>
        </w:rPr>
      </w:pPr>
      <w:r>
        <w:rPr>
          <w:rFonts w:hint="default" w:ascii="Times New Roman Regular" w:hAnsi="Times New Roman Regular" w:cs="Times New Roman Regular"/>
        </w:rPr>
        <w:t>6. candidate-CU assembly and endpoint/result attribution;</w:t>
      </w:r>
    </w:p>
    <w:p w14:paraId="0C8C024C">
      <w:pPr>
        <w:spacing w:after="80"/>
        <w:rPr>
          <w:rFonts w:hint="default" w:ascii="Times New Roman Regular" w:hAnsi="Times New Roman Regular" w:cs="Times New Roman Regular"/>
        </w:rPr>
      </w:pPr>
      <w:r>
        <w:rPr>
          <w:rFonts w:hint="default" w:ascii="Times New Roman Regular" w:hAnsi="Times New Roman Regular" w:cs="Times New Roman Regular"/>
        </w:rPr>
        <w:t>7. validation-oriented serialization of the final CU JSON.</w:t>
      </w:r>
    </w:p>
    <w:p w14:paraId="0E771238">
      <w:pPr>
        <w:spacing w:after="80"/>
        <w:rPr>
          <w:rFonts w:hint="default" w:ascii="Times New Roman Regular" w:hAnsi="Times New Roman Regular" w:cs="Times New Roman Regular"/>
        </w:rPr>
      </w:pPr>
      <w:r>
        <w:rPr>
          <w:rFonts w:hint="default" w:ascii="Times New Roman Regular" w:hAnsi="Times New Roman Regular" w:cs="Times New Roman Regular"/>
        </w:rPr>
        <w:t>Source-sentence occurrence checks, independent full-abstract numerical verification, statistical-consistency checks, final disposition, metric calculation, and CCOH export were executed locally and did not require additional generative requests.</w:t>
      </w:r>
    </w:p>
    <w:p w14:paraId="689A5040">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1. the PubMed abstract supplied all clinical facts;</w:t>
      </w:r>
    </w:p>
    <w:p w14:paraId="0F9AEC3C">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2. the linked registry record could support identity checking and terminology normalization only;</w:t>
      </w:r>
    </w:p>
    <w:p w14:paraId="1C9DA884">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cs="Times New Roman Regular"/>
        </w:rPr>
        <w:t>3. a registry field could not create an unreported treatment arm, comparator, population, endpoint, result, safety finding, or evidence-audit sentence;</w:t>
      </w:r>
    </w:p>
    <w:p w14:paraId="1BE66817">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4. unsupported fields remained Not reported;</w:t>
      </w:r>
    </w:p>
    <w:p w14:paraId="4492ABEF">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5. structurally inapplicable comparator-side fields were represented as Not applicable;</w:t>
      </w:r>
    </w:p>
    <w:p w14:paraId="7726ED55">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6. ambiguous candidate records entered review rather than being forced into a final CU.</w:t>
      </w:r>
    </w:p>
    <w:p w14:paraId="22345E29">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rPr>
        <w:t>Original P values, effect estimates, confidence intervals, and source-reported textual interpretations were preserved and checked according to the rule-based validation and statistical-consistency procedures in Multimedia Appendix 2.</w:t>
      </w:r>
    </w:p>
    <w:p w14:paraId="2DC04405">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The model received the permitted source fields and a single instruction to return complete structured CU records in one pass. It did not receive route-specific decomposition or an explicit staged CU-assembly procedure.</w:t>
      </w:r>
    </w:p>
    <w:p w14:paraId="43504AB1">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rPr>
        <w:t>The same executor extracted structured patient, intervention, comparator, outcome, and result information through staged prompts using the same final schema. Evidence-sentence selection was performed outside the generative prompt workflow. The staged baseline did not use the complete route-aware decomposition and validation workflow.</w:t>
      </w:r>
    </w:p>
    <w:p w14:paraId="64C0E0DB">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rPr>
        <w:t>Qwen-Max-2025-01-25, GPT-5.5 Thinking-High, and MedGemma 27B Text IT (Non-thinking) received the same task definition and physical output schema appropriate to their structured-output capabilities. Their outputs were parsed and evaluated by the same CU matching and metric code.</w:t>
      </w:r>
    </w:p>
    <w:p w14:paraId="411F9F65">
      <w:pPr>
        <w:pStyle w:val="7"/>
        <w:keepNext/>
        <w:spacing w:after="80"/>
        <w:rPr>
          <w:rFonts w:hint="default" w:ascii="Times New Roman Regular" w:hAnsi="Times New Roman Regular" w:cs="Times New Roman Regular"/>
        </w:rPr>
      </w:pPr>
      <w:r>
        <w:rPr>
          <w:rFonts w:hint="default" w:ascii="Times New Roman Regular" w:hAnsi="Times New Roman Regular" w:cs="Times New Roman Regular"/>
          <w:b/>
        </w:rPr>
        <w:t xml:space="preserve">Table </w:t>
      </w:r>
      <w:r>
        <w:rPr>
          <w:rFonts w:hint="eastAsia" w:ascii="Times New Roman Regular" w:hAnsi="Times New Roman Regular" w:eastAsia="宋体" w:cs="Times New Roman Regular"/>
          <w:b/>
          <w:lang w:val="en-US" w:eastAsia="zh-CN"/>
        </w:rPr>
        <w:t>5</w:t>
      </w:r>
      <w:r>
        <w:rPr>
          <w:rFonts w:hint="default" w:ascii="Times New Roman Regular" w:hAnsi="Times New Roman Regular" w:cs="Times New Roman Regular"/>
          <w:b/>
        </w:rPr>
        <w:t>. Prompt stages and output-schema summary</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C99C8BA">
        <w:trPr>
          <w:cantSplit/>
          <w:tblHeader/>
          <w:jc w:val="center"/>
        </w:trPr>
        <w:tc>
          <w:tcPr>
            <w:tcW w:w="2664" w:type="dxa"/>
            <w:shd w:val="clear" w:color="auto" w:fill="D9EAF7"/>
            <w:tcMar>
              <w:top w:w="80" w:type="dxa"/>
              <w:left w:w="100" w:type="dxa"/>
              <w:bottom w:w="80" w:type="dxa"/>
              <w:right w:w="100" w:type="dxa"/>
            </w:tcMar>
            <w:vAlign w:val="center"/>
          </w:tcPr>
          <w:p w14:paraId="77EBC62A">
            <w:pPr>
              <w:spacing w:before="0" w:after="0"/>
              <w:rPr>
                <w:rFonts w:hint="default" w:ascii="Times New Roman Regular" w:hAnsi="Times New Roman Regular" w:cs="Times New Roman Regular"/>
              </w:rPr>
            </w:pPr>
            <w:r>
              <w:rPr>
                <w:rFonts w:hint="default" w:ascii="Times New Roman Regular" w:hAnsi="Times New Roman Regular" w:cs="Times New Roman Regular"/>
                <w:b/>
                <w:sz w:val="16"/>
              </w:rPr>
              <w:t>Prompt block</w:t>
            </w:r>
          </w:p>
        </w:tc>
        <w:tc>
          <w:tcPr>
            <w:tcW w:w="7776" w:type="dxa"/>
            <w:shd w:val="clear" w:color="auto" w:fill="D9EAF7"/>
            <w:tcMar>
              <w:top w:w="80" w:type="dxa"/>
              <w:left w:w="100" w:type="dxa"/>
              <w:bottom w:w="80" w:type="dxa"/>
              <w:right w:w="100" w:type="dxa"/>
            </w:tcMar>
            <w:vAlign w:val="center"/>
          </w:tcPr>
          <w:p w14:paraId="2917499E">
            <w:pPr>
              <w:spacing w:before="0" w:after="0"/>
              <w:rPr>
                <w:rFonts w:hint="default" w:ascii="Times New Roman Regular" w:hAnsi="Times New Roman Regular" w:cs="Times New Roman Regular"/>
              </w:rPr>
            </w:pPr>
            <w:r>
              <w:rPr>
                <w:rFonts w:hint="default" w:ascii="Times New Roman Regular" w:hAnsi="Times New Roman Regular" w:cs="Times New Roman Regular"/>
                <w:b/>
                <w:sz w:val="16"/>
              </w:rPr>
              <w:t>Required content</w:t>
            </w:r>
          </w:p>
        </w:tc>
      </w:tr>
      <w:tr w14:paraId="0D97A2F7">
        <w:trPr>
          <w:cantSplit/>
          <w:jc w:val="center"/>
        </w:trPr>
        <w:tc>
          <w:tcPr>
            <w:tcW w:w="2664" w:type="dxa"/>
            <w:tcMar>
              <w:top w:w="80" w:type="dxa"/>
              <w:left w:w="100" w:type="dxa"/>
              <w:bottom w:w="80" w:type="dxa"/>
              <w:right w:w="100" w:type="dxa"/>
            </w:tcMar>
            <w:vAlign w:val="center"/>
          </w:tcPr>
          <w:p w14:paraId="4358A04C">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Task role</w:t>
            </w:r>
          </w:p>
        </w:tc>
        <w:tc>
          <w:tcPr>
            <w:tcW w:w="7776" w:type="dxa"/>
            <w:tcMar>
              <w:top w:w="80" w:type="dxa"/>
              <w:left w:w="100" w:type="dxa"/>
              <w:bottom w:w="80" w:type="dxa"/>
              <w:right w:w="100" w:type="dxa"/>
            </w:tcMar>
            <w:vAlign w:val="center"/>
          </w:tcPr>
          <w:p w14:paraId="64D0CCDB">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Extract publication-supported therapeutic evaluations as endpoint-specific CUs</w:t>
            </w:r>
          </w:p>
        </w:tc>
      </w:tr>
      <w:tr w14:paraId="02807E9C">
        <w:trPr>
          <w:cantSplit/>
          <w:jc w:val="center"/>
        </w:trPr>
        <w:tc>
          <w:tcPr>
            <w:tcW w:w="2664" w:type="dxa"/>
            <w:tcMar>
              <w:top w:w="80" w:type="dxa"/>
              <w:left w:w="100" w:type="dxa"/>
              <w:bottom w:w="80" w:type="dxa"/>
              <w:right w:w="100" w:type="dxa"/>
            </w:tcMar>
            <w:vAlign w:val="center"/>
          </w:tcPr>
          <w:p w14:paraId="0758BCE3">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Source input schema</w:t>
            </w:r>
          </w:p>
        </w:tc>
        <w:tc>
          <w:tcPr>
            <w:tcW w:w="7776" w:type="dxa"/>
            <w:tcMar>
              <w:top w:w="80" w:type="dxa"/>
              <w:left w:w="100" w:type="dxa"/>
              <w:bottom w:w="80" w:type="dxa"/>
              <w:right w:w="100" w:type="dxa"/>
            </w:tcMar>
            <w:vAlign w:val="center"/>
          </w:tcPr>
          <w:p w14:paraId="79156229">
            <w:pPr>
              <w:spacing w:before="0" w:after="0"/>
              <w:rPr>
                <w:rFonts w:hint="default" w:ascii="Times New Roman Regular" w:hAnsi="Times New Roman Regular" w:cs="Times New Roman Regular"/>
              </w:rPr>
            </w:pPr>
            <w:r>
              <w:t xml:space="preserve">Fifteen mapped PubMed and ClinicalTrials.gov source fields (Table 3)</w:t>
            </w:r>
          </w:p>
        </w:tc>
      </w:tr>
      <w:tr w14:paraId="421AC2B8">
        <w:trPr>
          <w:cantSplit/>
          <w:jc w:val="center"/>
        </w:trPr>
        <w:tc>
          <w:tcPr>
            <w:tcW w:w="2664" w:type="dxa"/>
            <w:tcMar>
              <w:top w:w="80" w:type="dxa"/>
              <w:left w:w="100" w:type="dxa"/>
              <w:bottom w:w="80" w:type="dxa"/>
              <w:right w:w="100" w:type="dxa"/>
            </w:tcMar>
            <w:vAlign w:val="center"/>
          </w:tcPr>
          <w:p w14:paraId="2701CFCC">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Factual-source boundary</w:t>
            </w:r>
          </w:p>
        </w:tc>
        <w:tc>
          <w:tcPr>
            <w:tcW w:w="7776" w:type="dxa"/>
            <w:tcMar>
              <w:top w:w="80" w:type="dxa"/>
              <w:left w:w="100" w:type="dxa"/>
              <w:bottom w:w="80" w:type="dxa"/>
              <w:right w:w="100" w:type="dxa"/>
            </w:tcMar>
            <w:vAlign w:val="center"/>
          </w:tcPr>
          <w:p w14:paraId="1F0A9F32">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PubMed abstract supplies the clinical content used for CU construction</w:t>
            </w:r>
          </w:p>
        </w:tc>
      </w:tr>
      <w:tr w14:paraId="26571182">
        <w:trPr>
          <w:cantSplit/>
          <w:jc w:val="center"/>
        </w:trPr>
        <w:tc>
          <w:tcPr>
            <w:tcW w:w="2664" w:type="dxa"/>
            <w:tcMar>
              <w:top w:w="80" w:type="dxa"/>
              <w:left w:w="100" w:type="dxa"/>
              <w:bottom w:w="80" w:type="dxa"/>
              <w:right w:w="100" w:type="dxa"/>
            </w:tcMar>
            <w:vAlign w:val="center"/>
          </w:tcPr>
          <w:p w14:paraId="7E68591E">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Four-route schema</w:t>
            </w:r>
          </w:p>
        </w:tc>
        <w:tc>
          <w:tcPr>
            <w:tcW w:w="7776" w:type="dxa"/>
            <w:tcMar>
              <w:top w:w="80" w:type="dxa"/>
              <w:left w:w="100" w:type="dxa"/>
              <w:bottom w:w="80" w:type="dxa"/>
              <w:right w:w="100" w:type="dxa"/>
            </w:tcMar>
            <w:vAlign w:val="center"/>
          </w:tcPr>
          <w:p w14:paraId="5BD39CDC">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Pairwise, single-arm, population-specific, and multi-arm pairwise</w:t>
            </w:r>
          </w:p>
        </w:tc>
      </w:tr>
      <w:tr w14:paraId="29487B30">
        <w:trPr>
          <w:cantSplit/>
          <w:jc w:val="center"/>
        </w:trPr>
        <w:tc>
          <w:tcPr>
            <w:tcW w:w="2664" w:type="dxa"/>
            <w:tcMar>
              <w:top w:w="80" w:type="dxa"/>
              <w:left w:w="100" w:type="dxa"/>
              <w:bottom w:w="80" w:type="dxa"/>
              <w:right w:w="100" w:type="dxa"/>
            </w:tcMar>
            <w:vAlign w:val="center"/>
          </w:tcPr>
          <w:p w14:paraId="24A809B9">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CU-boundary rules</w:t>
            </w:r>
          </w:p>
        </w:tc>
        <w:tc>
          <w:tcPr>
            <w:tcW w:w="7776" w:type="dxa"/>
            <w:tcMar>
              <w:top w:w="80" w:type="dxa"/>
              <w:left w:w="100" w:type="dxa"/>
              <w:bottom w:w="80" w:type="dxa"/>
              <w:right w:w="100" w:type="dxa"/>
            </w:tcMar>
            <w:vAlign w:val="center"/>
          </w:tcPr>
          <w:p w14:paraId="484A2B70">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One independently interpretable therapeutic evaluation per CU</w:t>
            </w:r>
          </w:p>
        </w:tc>
      </w:tr>
      <w:tr w14:paraId="1A0DBB63">
        <w:trPr>
          <w:cantSplit/>
          <w:jc w:val="center"/>
        </w:trPr>
        <w:tc>
          <w:tcPr>
            <w:tcW w:w="2664" w:type="dxa"/>
            <w:tcMar>
              <w:top w:w="80" w:type="dxa"/>
              <w:left w:w="100" w:type="dxa"/>
              <w:bottom w:w="80" w:type="dxa"/>
              <w:right w:w="100" w:type="dxa"/>
            </w:tcMar>
            <w:vAlign w:val="center"/>
          </w:tcPr>
          <w:p w14:paraId="00C07BDC">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Structured CU content schema</w:t>
            </w:r>
          </w:p>
        </w:tc>
        <w:tc>
          <w:tcPr>
            <w:tcW w:w="7776" w:type="dxa"/>
            <w:tcMar>
              <w:top w:w="80" w:type="dxa"/>
              <w:left w:w="100" w:type="dxa"/>
              <w:bottom w:w="80" w:type="dxa"/>
              <w:right w:w="100" w:type="dxa"/>
            </w:tcMar>
            <w:vAlign w:val="center"/>
          </w:tcPr>
          <w:p w14:paraId="33FB9C3A">
            <w:pPr>
              <w:spacing w:before="0" w:after="0"/>
              <w:rPr>
                <w:rFonts w:hint="default" w:ascii="Times New Roman Regular" w:hAnsi="Times New Roman Regular" w:cs="Times New Roman Regular"/>
              </w:rPr>
            </w:pPr>
            <w:r>
              <w:t>Twenty-three fields covering CU organization, disease/design, population, treatment arms, endpoint, and result (Table 4)</w:t>
            </w:r>
          </w:p>
        </w:tc>
      </w:tr>
      <w:tr w14:paraId="7E3F9BB2">
        <w:trPr>
          <w:cantSplit/>
          <w:jc w:val="center"/>
        </w:trPr>
        <w:tc>
          <w:tcPr>
            <w:tcW w:w="2664" w:type="dxa"/>
            <w:tcMar>
              <w:top w:w="80" w:type="dxa"/>
              <w:left w:w="100" w:type="dxa"/>
              <w:bottom w:w="80" w:type="dxa"/>
              <w:right w:w="100" w:type="dxa"/>
            </w:tcMar>
            <w:vAlign w:val="center"/>
          </w:tcPr>
          <w:p w14:paraId="46D02DAA">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Deterministic record identifiers</w:t>
            </w:r>
          </w:p>
        </w:tc>
        <w:tc>
          <w:tcPr>
            <w:tcW w:w="7776" w:type="dxa"/>
            <w:tcMar>
              <w:top w:w="80" w:type="dxa"/>
              <w:left w:w="100" w:type="dxa"/>
              <w:bottom w:w="80" w:type="dxa"/>
              <w:right w:w="100" w:type="dxa"/>
            </w:tcMar>
            <w:vAlign w:val="center"/>
          </w:tcPr>
          <w:p w14:paraId="32B9263A">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comparison_id assigned during CU serialization; comparison_structure retained from prespecified route assignment</w:t>
            </w:r>
          </w:p>
        </w:tc>
      </w:tr>
      <w:tr w14:paraId="20CC9185">
        <w:trPr>
          <w:cantSplit/>
          <w:jc w:val="center"/>
        </w:trPr>
        <w:tc>
          <w:tcPr>
            <w:tcW w:w="2664" w:type="dxa"/>
            <w:tcMar>
              <w:top w:w="80" w:type="dxa"/>
              <w:left w:w="100" w:type="dxa"/>
              <w:bottom w:w="80" w:type="dxa"/>
              <w:right w:w="100" w:type="dxa"/>
            </w:tcMar>
            <w:vAlign w:val="center"/>
          </w:tcPr>
          <w:p w14:paraId="12946426">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Prohibited completion</w:t>
            </w:r>
          </w:p>
        </w:tc>
        <w:tc>
          <w:tcPr>
            <w:tcW w:w="7776" w:type="dxa"/>
            <w:tcMar>
              <w:top w:w="80" w:type="dxa"/>
              <w:left w:w="100" w:type="dxa"/>
              <w:bottom w:w="80" w:type="dxa"/>
              <w:right w:w="100" w:type="dxa"/>
            </w:tcMar>
            <w:vAlign w:val="center"/>
          </w:tcPr>
          <w:p w14:paraId="124A7B40">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No unsupported comparator, subtype, endpoint, result, or generated statistic</w:t>
            </w:r>
          </w:p>
        </w:tc>
      </w:tr>
      <w:tr w14:paraId="3DDA28DC">
        <w:trPr>
          <w:cantSplit/>
          <w:jc w:val="center"/>
        </w:trPr>
        <w:tc>
          <w:tcPr>
            <w:tcW w:w="2664" w:type="dxa"/>
            <w:tcMar>
              <w:top w:w="80" w:type="dxa"/>
              <w:left w:w="100" w:type="dxa"/>
              <w:bottom w:w="80" w:type="dxa"/>
              <w:right w:w="100" w:type="dxa"/>
            </w:tcMar>
            <w:vAlign w:val="center"/>
          </w:tcPr>
          <w:p w14:paraId="119AEECA">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Evidence-sentence fields</w:t>
            </w:r>
          </w:p>
        </w:tc>
        <w:tc>
          <w:tcPr>
            <w:tcW w:w="7776" w:type="dxa"/>
            <w:tcMar>
              <w:top w:w="80" w:type="dxa"/>
              <w:left w:w="100" w:type="dxa"/>
              <w:bottom w:w="80" w:type="dxa"/>
              <w:right w:w="100" w:type="dxa"/>
            </w:tcMar>
            <w:vAlign w:val="center"/>
          </w:tcPr>
          <w:p w14:paraId="1C096662">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Not requested or returned by the prompt; maintained as nine post-extraction evidence-audit fields</w:t>
            </w:r>
          </w:p>
        </w:tc>
      </w:tr>
      <w:tr w14:paraId="3AEDDD4A">
        <w:trPr>
          <w:cantSplit/>
          <w:jc w:val="center"/>
        </w:trPr>
        <w:tc>
          <w:tcPr>
            <w:tcW w:w="2664" w:type="dxa"/>
            <w:tcMar>
              <w:top w:w="80" w:type="dxa"/>
              <w:left w:w="100" w:type="dxa"/>
              <w:bottom w:w="80" w:type="dxa"/>
              <w:right w:w="100" w:type="dxa"/>
            </w:tcMar>
            <w:vAlign w:val="center"/>
          </w:tcPr>
          <w:p w14:paraId="30630678">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Annotation-support fields</w:t>
            </w:r>
          </w:p>
        </w:tc>
        <w:tc>
          <w:tcPr>
            <w:tcW w:w="7776" w:type="dxa"/>
            <w:tcMar>
              <w:top w:w="80" w:type="dxa"/>
              <w:left w:w="100" w:type="dxa"/>
              <w:bottom w:w="80" w:type="dxa"/>
              <w:right w:w="100" w:type="dxa"/>
            </w:tcMar>
            <w:vAlign w:val="center"/>
          </w:tcPr>
          <w:p w14:paraId="3D5A7599">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Analysis type and remarks are retained for adjudication and curation support and are not generated as clinical result fields</w:t>
            </w:r>
          </w:p>
        </w:tc>
      </w:tr>
      <w:tr w14:paraId="399573A5">
        <w:trPr>
          <w:cantSplit/>
          <w:jc w:val="center"/>
        </w:trPr>
        <w:tc>
          <w:tcPr>
            <w:tcW w:w="2664" w:type="dxa"/>
            <w:tcMar>
              <w:top w:w="80" w:type="dxa"/>
              <w:left w:w="100" w:type="dxa"/>
              <w:bottom w:w="80" w:type="dxa"/>
              <w:right w:w="100" w:type="dxa"/>
            </w:tcMar>
            <w:vAlign w:val="center"/>
          </w:tcPr>
          <w:p w14:paraId="05ABF92C">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Missingness rules</w:t>
            </w:r>
          </w:p>
        </w:tc>
        <w:tc>
          <w:tcPr>
            <w:tcW w:w="7776" w:type="dxa"/>
            <w:tcMar>
              <w:top w:w="80" w:type="dxa"/>
              <w:left w:w="100" w:type="dxa"/>
              <w:bottom w:w="80" w:type="dxa"/>
              <w:right w:w="100" w:type="dxa"/>
            </w:tcMar>
            <w:vAlign w:val="center"/>
          </w:tcPr>
          <w:p w14:paraId="16C8CC9D">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Not reported versus Not applicable</w:t>
            </w:r>
          </w:p>
        </w:tc>
      </w:tr>
      <w:tr w14:paraId="52E2557E">
        <w:trPr>
          <w:cantSplit/>
          <w:jc w:val="center"/>
        </w:trPr>
        <w:tc>
          <w:tcPr>
            <w:tcW w:w="2664" w:type="dxa"/>
            <w:vAlign w:val="center"/>
          </w:tcPr>
          <w:p w14:paraId="2328C5A7">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Numerical rules</w:t>
            </w:r>
          </w:p>
        </w:tc>
        <w:tc>
          <w:tcPr>
            <w:tcW w:w="7776" w:type="dxa"/>
            <w:vAlign w:val="center"/>
          </w:tcPr>
          <w:p w14:paraId="6E0B214A">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Preserve value, operator, unit, effect-measure type, precision, and arm attribution</w:t>
            </w:r>
          </w:p>
        </w:tc>
      </w:tr>
      <w:tr w14:paraId="21864F96">
        <w:trPr>
          <w:cantSplit/>
          <w:jc w:val="center"/>
        </w:trPr>
        <w:tc>
          <w:tcPr>
            <w:tcW w:w="2664" w:type="dxa"/>
            <w:vAlign w:val="center"/>
          </w:tcPr>
          <w:p w14:paraId="51D79F2A">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Serialization rules</w:t>
            </w:r>
          </w:p>
        </w:tc>
        <w:tc>
          <w:tcPr>
            <w:tcW w:w="7776" w:type="dxa"/>
            <w:vAlign w:val="center"/>
          </w:tcPr>
          <w:p w14:paraId="251764A7">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JSON only; no commentary outside the schema</w:t>
            </w:r>
          </w:p>
        </w:tc>
      </w:tr>
      <w:tr w14:paraId="591743DD">
        <w:trPr>
          <w:cantSplit/>
          <w:jc w:val="center"/>
        </w:trPr>
        <w:tc>
          <w:tcPr>
            <w:tcW w:w="2664" w:type="dxa"/>
            <w:vAlign w:val="center"/>
          </w:tcPr>
          <w:p w14:paraId="69B8393E">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Repair instruction</w:t>
            </w:r>
          </w:p>
        </w:tc>
        <w:tc>
          <w:tcPr>
            <w:tcW w:w="7776" w:type="dxa"/>
            <w:vAlign w:val="center"/>
          </w:tcPr>
          <w:p w14:paraId="4CB1C14A">
            <w:pPr>
              <w:spacing w:before="0" w:after="0"/>
              <w:rPr>
                <w:rFonts w:hint="default" w:ascii="Times New Roman Regular" w:hAnsi="Times New Roman Regular" w:cs="Times New Roman Regular"/>
              </w:rPr>
            </w:pPr>
            <w:r>
              <w:rPr>
                <w:rFonts w:hint="default" w:ascii="Times New Roman Regular" w:hAnsi="Times New Roman Regular" w:cs="Times New Roman Regular"/>
                <w:b w:val="0"/>
                <w:sz w:val="16"/>
              </w:rPr>
              <w:t>Repair syntax/format only; do not add or alter clinical facts</w:t>
            </w:r>
          </w:p>
        </w:tc>
      </w:tr>
    </w:tbl>
    <w:p w14:paraId="6F79FDE0">
      <w:pPr>
        <w:spacing w:before="40" w:after="80" w:line="259" w:lineRule="auto"/>
        <w:ind w:left="0" w:right="0" w:firstLine="0"/>
        <w:jc w:val="both"/>
        <w:rPr>
          <w:rFonts w:hint="default" w:ascii="Times New Roman Regular" w:hAnsi="Times New Roman Regular" w:cs="Times New Roman Regular"/>
        </w:rPr>
      </w:pPr>
      <w:r>
        <w:rPr>
          <w:rFonts w:hint="default" w:ascii="Times New Roman Regular" w:hAnsi="Times New Roman Regular" w:cs="Times New Roman Regular"/>
        </w:rPr>
        <w:t>The prompt stages, source boundaries, output-field contract, and syntax-only repair policy are summarized in this document. The public reproducibility package focuses on approved experimental data, scoring records, statistical outputs, and audit materials rather than full prompt text, repair templates, or standalone prompt schemas.</w:t>
      </w:r>
    </w:p>
    <w:p w14:paraId="764C8228">
      <w:pPr>
        <w:pStyle w:val="3"/>
        <w:keepNext/>
        <w:spacing w:after="80"/>
        <w:rPr>
          <w:rFonts w:hint="default" w:ascii="Times New Roman Regular" w:hAnsi="Times New Roman Regular" w:cs="Times New Roman Regular"/>
        </w:rPr>
      </w:pPr>
      <w:r>
        <w:rPr>
          <w:rFonts w:hint="default" w:ascii="Times New Roman Regular" w:hAnsi="Times New Roman Regular" w:cs="Times New Roman Regular"/>
        </w:rPr>
        <w:t>1.4 Component and Registry-Input Ablations</w:t>
      </w:r>
    </w:p>
    <w:p w14:paraId="37EE512D">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The component names were defined by the actual processing function removed, rather than by a post hoc interpretation of the observed score change.</w:t>
      </w:r>
    </w:p>
    <w:p w14:paraId="2D207C04">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The ablations used the same primary model executor, source condition, physical schema, held-out publications, matching code, and metric definitions as Full TRACE-CU.</w:t>
      </w:r>
    </w:p>
    <w:p w14:paraId="2269D004">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The model and framework were held constant while the registry fields exposed to the model were varied.</w:t>
      </w:r>
    </w:p>
    <w:p w14:paraId="6F84188A">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All publications remained registered studies in every ablation. The literature-only condition was created by withholding registry fields from already linked publications; it was not an evaluation on naturally unregistered literature.</w:t>
      </w:r>
    </w:p>
    <w:p w14:paraId="356E5240">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Across all four conditions, the following remained publication derived:</w:t>
      </w:r>
    </w:p>
    <w:p w14:paraId="6C621E0E">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1. disease and population facts;</w:t>
      </w:r>
    </w:p>
    <w:p w14:paraId="578DB1CF">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2. treatment participation in the current analysis;</w:t>
      </w:r>
    </w:p>
    <w:p w14:paraId="77AA08DD">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3. comparison structure;</w:t>
      </w:r>
    </w:p>
    <w:p w14:paraId="15D0EE42">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4. CU boundaries;</w:t>
      </w:r>
    </w:p>
    <w:p w14:paraId="7DFEB075">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5. outcomes actually reported;</w:t>
      </w:r>
    </w:p>
    <w:p w14:paraId="228DFA9E">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6. rates, times, counts, scores, and other arm values;</w:t>
      </w:r>
    </w:p>
    <w:p w14:paraId="58EB1D86">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7. HR, OR, P value, and confidence interval;</w:t>
      </w:r>
    </w:p>
    <w:p w14:paraId="3B453E7B">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8. safety results;</w:t>
      </w:r>
    </w:p>
    <w:p w14:paraId="23A1BB48">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9. textual statistical interpretation; and</w:t>
      </w:r>
    </w:p>
    <w:p w14:paraId="5169766A">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cs="Times New Roman Regular"/>
        </w:rPr>
        <w:t>10. evidence-audit sentences selected from the publication abstract.</w:t>
      </w:r>
    </w:p>
    <w:p w14:paraId="2C8DD1D2">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For direct CU methods, fairness controls included:</w:t>
      </w:r>
    </w:p>
    <w:p w14:paraId="2A52485B">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1. the same 90-publication held-out set;</w:t>
      </w:r>
    </w:p>
    <w:p w14:paraId="0F202525">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2. the same factual-source boundary;</w:t>
      </w:r>
    </w:p>
    <w:p w14:paraId="2E78C52E">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3. the same final physical schema;</w:t>
      </w:r>
    </w:p>
    <w:p w14:paraId="6158744B">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4. the same output parser and state normalization;</w:t>
      </w:r>
    </w:p>
    <w:p w14:paraId="28E4BB0D">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5. the same one-to-one CU matching procedure;</w:t>
      </w:r>
    </w:p>
    <w:p w14:paraId="18ABAFDC">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6. the same numerical-correctness rules;</w:t>
      </w:r>
    </w:p>
    <w:p w14:paraId="15D3B64B">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7. the same evidence-support definition;</w:t>
      </w:r>
    </w:p>
    <w:p w14:paraId="22075E8A">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8. the same maximum repair-retry limit;</w:t>
      </w:r>
    </w:p>
    <w:p w14:paraId="4C1D0240">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9. no use of held-out results for prompt refinement;</w:t>
      </w:r>
    </w:p>
    <w:p w14:paraId="57CABA1E">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10. separate reporting of each baseline rather than merged rows.</w:t>
      </w:r>
    </w:p>
    <w:p w14:paraId="3DC0437E">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Where a model interface did not support a parameter, no unsupported parameter value was asserted. Where an API alias could change over time, the recorded model identifier and access date defined the evaluated configuration.</w:t>
      </w:r>
    </w:p>
    <w:p w14:paraId="3E24DDD0">
      <w:pPr>
        <w:pStyle w:val="7"/>
        <w:keepNext/>
        <w:spacing w:after="80"/>
        <w:rPr>
          <w:rFonts w:hint="default" w:ascii="Times New Roman Regular" w:hAnsi="Times New Roman Regular" w:cs="Times New Roman Regular"/>
        </w:rPr>
      </w:pPr>
      <w:r>
        <w:rPr>
          <w:rFonts w:hint="default" w:ascii="Times New Roman Regular" w:hAnsi="Times New Roman Regular" w:cs="Times New Roman Regular"/>
          <w:b/>
        </w:rPr>
        <w:t xml:space="preserve">Table </w:t>
      </w:r>
      <w:r>
        <w:rPr>
          <w:rFonts w:hint="eastAsia" w:ascii="Times New Roman Regular" w:hAnsi="Times New Roman Regular" w:eastAsia="宋体" w:cs="Times New Roman Regular"/>
          <w:b/>
          <w:lang w:val="en-US" w:eastAsia="zh-CN"/>
        </w:rPr>
        <w:t>6</w:t>
      </w:r>
      <w:r>
        <w:rPr>
          <w:rFonts w:hint="default" w:ascii="Times New Roman Regular" w:hAnsi="Times New Roman Regular" w:cs="Times New Roman Regular"/>
          <w:b/>
        </w:rPr>
        <w:t>. Component ablations</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1"/>
        <w:gridCol w:w="2541"/>
        <w:gridCol w:w="2541"/>
        <w:gridCol w:w="2541"/>
      </w:tblGrid>
      <w:tr w14:paraId="6A6608CA">
        <w:trPr>
          <w:cantSplit/>
          <w:tblHeader/>
          <w:jc w:val="center"/>
        </w:trPr>
        <w:tc>
          <w:tcPr>
            <w:tcW w:w="2541" w:type="dxa"/>
            <w:shd w:val="clear" w:color="auto" w:fill="D9EAF7"/>
            <w:tcMar>
              <w:top w:w="80" w:type="dxa"/>
              <w:left w:w="100" w:type="dxa"/>
              <w:bottom w:w="80" w:type="dxa"/>
              <w:right w:w="100" w:type="dxa"/>
            </w:tcMar>
            <w:vAlign w:val="center"/>
          </w:tcPr>
          <w:p w14:paraId="31D1D16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Variant</w:t>
            </w:r>
          </w:p>
        </w:tc>
        <w:tc>
          <w:tcPr>
            <w:tcW w:w="2541" w:type="dxa"/>
            <w:shd w:val="clear" w:color="auto" w:fill="D9EAF7"/>
            <w:tcMar>
              <w:top w:w="80" w:type="dxa"/>
              <w:left w:w="100" w:type="dxa"/>
              <w:bottom w:w="80" w:type="dxa"/>
              <w:right w:w="100" w:type="dxa"/>
            </w:tcMar>
            <w:vAlign w:val="center"/>
          </w:tcPr>
          <w:p w14:paraId="77B1C14F">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Component removed</w:t>
            </w:r>
          </w:p>
        </w:tc>
        <w:tc>
          <w:tcPr>
            <w:tcW w:w="2541" w:type="dxa"/>
            <w:shd w:val="clear" w:color="auto" w:fill="D9EAF7"/>
            <w:tcMar>
              <w:top w:w="80" w:type="dxa"/>
              <w:left w:w="100" w:type="dxa"/>
              <w:bottom w:w="80" w:type="dxa"/>
              <w:right w:w="100" w:type="dxa"/>
            </w:tcMar>
            <w:vAlign w:val="center"/>
          </w:tcPr>
          <w:p w14:paraId="5BC7A894">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Components retained</w:t>
            </w:r>
          </w:p>
        </w:tc>
        <w:tc>
          <w:tcPr>
            <w:tcW w:w="2541" w:type="dxa"/>
            <w:shd w:val="clear" w:color="auto" w:fill="D9EAF7"/>
            <w:tcMar>
              <w:top w:w="80" w:type="dxa"/>
              <w:left w:w="100" w:type="dxa"/>
              <w:bottom w:w="80" w:type="dxa"/>
              <w:right w:w="100" w:type="dxa"/>
            </w:tcMar>
            <w:vAlign w:val="center"/>
          </w:tcPr>
          <w:p w14:paraId="3DC703C8">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Primary interpretation</w:t>
            </w:r>
          </w:p>
        </w:tc>
      </w:tr>
      <w:tr w14:paraId="252DA921">
        <w:trPr>
          <w:cantSplit/>
          <w:jc w:val="center"/>
        </w:trPr>
        <w:tc>
          <w:tcPr>
            <w:tcW w:w="2541" w:type="dxa"/>
            <w:tcMar>
              <w:top w:w="80" w:type="dxa"/>
              <w:left w:w="100" w:type="dxa"/>
              <w:bottom w:w="80" w:type="dxa"/>
              <w:right w:w="100" w:type="dxa"/>
            </w:tcMar>
            <w:vAlign w:val="center"/>
          </w:tcPr>
          <w:p w14:paraId="41235790">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Full TRACE-CU</w:t>
            </w:r>
          </w:p>
        </w:tc>
        <w:tc>
          <w:tcPr>
            <w:tcW w:w="2541" w:type="dxa"/>
            <w:tcMar>
              <w:top w:w="80" w:type="dxa"/>
              <w:left w:w="100" w:type="dxa"/>
              <w:bottom w:w="80" w:type="dxa"/>
              <w:right w:w="100" w:type="dxa"/>
            </w:tcMar>
            <w:vAlign w:val="center"/>
          </w:tcPr>
          <w:p w14:paraId="3CBD1BF2">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None</w:t>
            </w:r>
          </w:p>
        </w:tc>
        <w:tc>
          <w:tcPr>
            <w:tcW w:w="2541" w:type="dxa"/>
            <w:tcMar>
              <w:top w:w="80" w:type="dxa"/>
              <w:left w:w="100" w:type="dxa"/>
              <w:bottom w:w="80" w:type="dxa"/>
              <w:right w:w="100" w:type="dxa"/>
            </w:tcMar>
            <w:vAlign w:val="center"/>
          </w:tcPr>
          <w:p w14:paraId="44561E69">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Complete framework</w:t>
            </w:r>
          </w:p>
        </w:tc>
        <w:tc>
          <w:tcPr>
            <w:tcW w:w="2541" w:type="dxa"/>
            <w:tcMar>
              <w:top w:w="80" w:type="dxa"/>
              <w:left w:w="100" w:type="dxa"/>
              <w:bottom w:w="80" w:type="dxa"/>
              <w:right w:w="100" w:type="dxa"/>
            </w:tcMar>
            <w:vAlign w:val="center"/>
          </w:tcPr>
          <w:p w14:paraId="72D228D5">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Reference configuration</w:t>
            </w:r>
          </w:p>
        </w:tc>
      </w:tr>
      <w:tr w14:paraId="3E4F840A">
        <w:trPr>
          <w:cantSplit/>
          <w:jc w:val="center"/>
        </w:trPr>
        <w:tc>
          <w:tcPr>
            <w:tcW w:w="2541" w:type="dxa"/>
            <w:tcMar>
              <w:top w:w="80" w:type="dxa"/>
              <w:left w:w="100" w:type="dxa"/>
              <w:bottom w:w="80" w:type="dxa"/>
              <w:right w:w="100" w:type="dxa"/>
            </w:tcMar>
            <w:vAlign w:val="center"/>
          </w:tcPr>
          <w:p w14:paraId="3D486C53">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TRACE-CU w/o Topology-Aware Routing</w:t>
            </w:r>
          </w:p>
        </w:tc>
        <w:tc>
          <w:tcPr>
            <w:tcW w:w="2541" w:type="dxa"/>
            <w:tcMar>
              <w:top w:w="80" w:type="dxa"/>
              <w:left w:w="100" w:type="dxa"/>
              <w:bottom w:w="80" w:type="dxa"/>
              <w:right w:w="100" w:type="dxa"/>
            </w:tcMar>
            <w:vAlign w:val="center"/>
          </w:tcPr>
          <w:p w14:paraId="2A63C81E">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Comparison-structure-specific route selection and CU-slot decomposition</w:t>
            </w:r>
          </w:p>
        </w:tc>
        <w:tc>
          <w:tcPr>
            <w:tcW w:w="2541" w:type="dxa"/>
            <w:tcMar>
              <w:top w:w="80" w:type="dxa"/>
              <w:left w:w="100" w:type="dxa"/>
              <w:bottom w:w="80" w:type="dxa"/>
              <w:right w:w="100" w:type="dxa"/>
            </w:tcMar>
            <w:vAlign w:val="center"/>
          </w:tcPr>
          <w:p w14:paraId="08C29FF1">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Same executor, source fields, schema, staged extraction, CU assembly, and rule validation</w:t>
            </w:r>
          </w:p>
        </w:tc>
        <w:tc>
          <w:tcPr>
            <w:tcW w:w="2541" w:type="dxa"/>
            <w:tcMar>
              <w:top w:w="80" w:type="dxa"/>
              <w:left w:w="100" w:type="dxa"/>
              <w:bottom w:w="80" w:type="dxa"/>
              <w:right w:w="100" w:type="dxa"/>
            </w:tcMar>
            <w:vAlign w:val="center"/>
          </w:tcPr>
          <w:p w14:paraId="53EE1C14">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Contribution of four-route comparison-structure handling</w:t>
            </w:r>
          </w:p>
        </w:tc>
      </w:tr>
      <w:tr w14:paraId="25A82689">
        <w:trPr>
          <w:cantSplit/>
          <w:jc w:val="center"/>
        </w:trPr>
        <w:tc>
          <w:tcPr>
            <w:tcW w:w="2541" w:type="dxa"/>
            <w:tcMar>
              <w:top w:w="80" w:type="dxa"/>
              <w:left w:w="100" w:type="dxa"/>
              <w:bottom w:w="80" w:type="dxa"/>
              <w:right w:w="100" w:type="dxa"/>
            </w:tcMar>
            <w:vAlign w:val="center"/>
          </w:tcPr>
          <w:p w14:paraId="1F49D5E3">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TRACE-CU w/o Candidate-CU Assembly and Outcome Attribution</w:t>
            </w:r>
          </w:p>
        </w:tc>
        <w:tc>
          <w:tcPr>
            <w:tcW w:w="2541" w:type="dxa"/>
            <w:tcMar>
              <w:top w:w="80" w:type="dxa"/>
              <w:left w:w="100" w:type="dxa"/>
              <w:bottom w:w="80" w:type="dxa"/>
              <w:right w:w="100" w:type="dxa"/>
            </w:tcMar>
            <w:vAlign w:val="center"/>
          </w:tcPr>
          <w:p w14:paraId="0B541B00">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Explicit candidate-CU assembly, treatment-role binding, endpoint/result attribution, and CU-level consistency checks</w:t>
            </w:r>
          </w:p>
        </w:tc>
        <w:tc>
          <w:tcPr>
            <w:tcW w:w="2541" w:type="dxa"/>
            <w:tcMar>
              <w:top w:w="80" w:type="dxa"/>
              <w:left w:w="100" w:type="dxa"/>
              <w:bottom w:w="80" w:type="dxa"/>
              <w:right w:w="100" w:type="dxa"/>
            </w:tcMar>
            <w:vAlign w:val="center"/>
          </w:tcPr>
          <w:p w14:paraId="6779F73E">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Comparison-structure recognition and element extraction retained</w:t>
            </w:r>
          </w:p>
        </w:tc>
        <w:tc>
          <w:tcPr>
            <w:tcW w:w="2541" w:type="dxa"/>
            <w:tcMar>
              <w:top w:w="80" w:type="dxa"/>
              <w:left w:w="100" w:type="dxa"/>
              <w:bottom w:w="80" w:type="dxa"/>
              <w:right w:w="100" w:type="dxa"/>
            </w:tcMar>
            <w:vAlign w:val="center"/>
          </w:tcPr>
          <w:p w14:paraId="36F7739B">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Contribution of CU-level semantic organization and attribution</w:t>
            </w:r>
          </w:p>
        </w:tc>
      </w:tr>
      <w:tr w14:paraId="27325F2B">
        <w:trPr>
          <w:cantSplit/>
          <w:jc w:val="center"/>
        </w:trPr>
        <w:tc>
          <w:tcPr>
            <w:tcW w:w="2541" w:type="dxa"/>
            <w:tcMar>
              <w:top w:w="80" w:type="dxa"/>
              <w:left w:w="100" w:type="dxa"/>
              <w:bottom w:w="80" w:type="dxa"/>
              <w:right w:w="100" w:type="dxa"/>
            </w:tcMar>
            <w:vAlign w:val="center"/>
          </w:tcPr>
          <w:p w14:paraId="4B541D8C">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TRACE-CU w/o Rule-Based Validation</w:t>
            </w:r>
          </w:p>
        </w:tc>
        <w:tc>
          <w:tcPr>
            <w:tcW w:w="2541" w:type="dxa"/>
            <w:tcMar>
              <w:top w:w="80" w:type="dxa"/>
              <w:left w:w="100" w:type="dxa"/>
              <w:bottom w:w="80" w:type="dxa"/>
              <w:right w:w="100" w:type="dxa"/>
            </w:tcMar>
            <w:vAlign w:val="center"/>
          </w:tcPr>
          <w:p w14:paraId="7F19AC83">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Source-support checks, independent numerical verification, statistical-consistency checks, safety checks, and final schema-validation disposition</w:t>
            </w:r>
          </w:p>
        </w:tc>
        <w:tc>
          <w:tcPr>
            <w:tcW w:w="2541" w:type="dxa"/>
            <w:tcMar>
              <w:top w:w="80" w:type="dxa"/>
              <w:left w:w="100" w:type="dxa"/>
              <w:bottom w:w="80" w:type="dxa"/>
              <w:right w:w="100" w:type="dxa"/>
            </w:tcMar>
            <w:vAlign w:val="center"/>
          </w:tcPr>
          <w:p w14:paraId="61F670D2">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Routing, element extraction, semantic binding, and candidate-CU construction retained</w:t>
            </w:r>
          </w:p>
        </w:tc>
        <w:tc>
          <w:tcPr>
            <w:tcW w:w="2541" w:type="dxa"/>
            <w:tcMar>
              <w:top w:w="80" w:type="dxa"/>
              <w:left w:w="100" w:type="dxa"/>
              <w:bottom w:w="80" w:type="dxa"/>
              <w:right w:w="100" w:type="dxa"/>
            </w:tcMar>
            <w:vAlign w:val="center"/>
          </w:tcPr>
          <w:p w14:paraId="7EEFF57B">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Contribution of post-extraction verification</w:t>
            </w:r>
          </w:p>
        </w:tc>
      </w:tr>
    </w:tbl>
    <w:p w14:paraId="6F0DD442">
      <w:pPr>
        <w:pStyle w:val="7"/>
        <w:keepNext/>
        <w:spacing w:after="80"/>
        <w:rPr>
          <w:rFonts w:hint="default" w:ascii="Times New Roman Regular" w:hAnsi="Times New Roman Regular" w:cs="Times New Roman Regular"/>
        </w:rPr>
      </w:pPr>
      <w:r>
        <w:rPr>
          <w:rFonts w:hint="default" w:ascii="Times New Roman Regular" w:hAnsi="Times New Roman Regular" w:cs="Times New Roman Regular"/>
          <w:b/>
        </w:rPr>
        <w:t xml:space="preserve">Table </w:t>
      </w:r>
      <w:r>
        <w:rPr>
          <w:rFonts w:hint="eastAsia" w:ascii="Times New Roman Regular" w:hAnsi="Times New Roman Regular" w:eastAsia="宋体" w:cs="Times New Roman Regular"/>
          <w:b/>
          <w:lang w:val="en-US" w:eastAsia="zh-CN"/>
        </w:rPr>
        <w:t>7</w:t>
      </w:r>
      <w:r>
        <w:rPr>
          <w:rFonts w:hint="default" w:ascii="Times New Roman Regular" w:hAnsi="Times New Roman Regular" w:cs="Times New Roman Regular"/>
          <w:b/>
        </w:rPr>
        <w:t>. Registry-input ablations</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3"/>
        <w:gridCol w:w="2033"/>
        <w:gridCol w:w="2033"/>
        <w:gridCol w:w="2033"/>
        <w:gridCol w:w="2033"/>
      </w:tblGrid>
      <w:tr w14:paraId="1F1D3510">
        <w:trPr>
          <w:cantSplit/>
          <w:tblHeader/>
          <w:jc w:val="center"/>
        </w:trPr>
        <w:tc>
          <w:tcPr>
            <w:tcW w:w="2033" w:type="dxa"/>
            <w:shd w:val="clear" w:color="auto" w:fill="D9EAF7"/>
            <w:tcMar>
              <w:top w:w="80" w:type="dxa"/>
              <w:left w:w="100" w:type="dxa"/>
              <w:bottom w:w="80" w:type="dxa"/>
              <w:right w:w="100" w:type="dxa"/>
            </w:tcMar>
            <w:vAlign w:val="center"/>
          </w:tcPr>
          <w:p w14:paraId="55E79B2E">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Condition</w:t>
            </w:r>
          </w:p>
        </w:tc>
        <w:tc>
          <w:tcPr>
            <w:tcW w:w="2033" w:type="dxa"/>
            <w:shd w:val="clear" w:color="auto" w:fill="D9EAF7"/>
            <w:tcMar>
              <w:top w:w="80" w:type="dxa"/>
              <w:left w:w="100" w:type="dxa"/>
              <w:bottom w:w="80" w:type="dxa"/>
              <w:right w:w="100" w:type="dxa"/>
            </w:tcMar>
            <w:vAlign w:val="center"/>
          </w:tcPr>
          <w:p w14:paraId="50EB6F07">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PubMed title/abstract</w:t>
            </w:r>
          </w:p>
        </w:tc>
        <w:tc>
          <w:tcPr>
            <w:tcW w:w="2033" w:type="dxa"/>
            <w:shd w:val="clear" w:color="auto" w:fill="D9EAF7"/>
            <w:tcMar>
              <w:top w:w="80" w:type="dxa"/>
              <w:left w:w="100" w:type="dxa"/>
              <w:bottom w:w="80" w:type="dxa"/>
              <w:right w:w="100" w:type="dxa"/>
            </w:tcMar>
            <w:vAlign w:val="center"/>
          </w:tcPr>
          <w:p w14:paraId="3D16245F">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Registry intervention/arm terms</w:t>
            </w:r>
          </w:p>
        </w:tc>
        <w:tc>
          <w:tcPr>
            <w:tcW w:w="2033" w:type="dxa"/>
            <w:shd w:val="clear" w:color="auto" w:fill="D9EAF7"/>
            <w:tcMar>
              <w:top w:w="80" w:type="dxa"/>
              <w:left w:w="100" w:type="dxa"/>
              <w:bottom w:w="80" w:type="dxa"/>
              <w:right w:w="100" w:type="dxa"/>
            </w:tcMar>
            <w:vAlign w:val="center"/>
          </w:tcPr>
          <w:p w14:paraId="34C0E881">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Registry primary-outcome terms</w:t>
            </w:r>
          </w:p>
        </w:tc>
        <w:tc>
          <w:tcPr>
            <w:tcW w:w="2033" w:type="dxa"/>
            <w:shd w:val="clear" w:color="auto" w:fill="D9EAF7"/>
            <w:tcMar>
              <w:top w:w="80" w:type="dxa"/>
              <w:left w:w="100" w:type="dxa"/>
              <w:bottom w:w="80" w:type="dxa"/>
              <w:right w:w="100" w:type="dxa"/>
            </w:tcMar>
            <w:vAlign w:val="center"/>
          </w:tcPr>
          <w:p w14:paraId="706B62AA">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Permitted registry role</w:t>
            </w:r>
          </w:p>
        </w:tc>
      </w:tr>
      <w:tr w14:paraId="73463469">
        <w:trPr>
          <w:cantSplit/>
          <w:jc w:val="center"/>
        </w:trPr>
        <w:tc>
          <w:tcPr>
            <w:tcW w:w="2033" w:type="dxa"/>
            <w:tcMar>
              <w:top w:w="80" w:type="dxa"/>
              <w:left w:w="100" w:type="dxa"/>
              <w:bottom w:w="80" w:type="dxa"/>
              <w:right w:w="100" w:type="dxa"/>
            </w:tcMar>
            <w:vAlign w:val="center"/>
          </w:tcPr>
          <w:p w14:paraId="5D8F2059">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Literature only</w:t>
            </w:r>
          </w:p>
        </w:tc>
        <w:tc>
          <w:tcPr>
            <w:tcW w:w="2033" w:type="dxa"/>
            <w:tcMar>
              <w:top w:w="80" w:type="dxa"/>
              <w:left w:w="100" w:type="dxa"/>
              <w:bottom w:w="80" w:type="dxa"/>
              <w:right w:w="100" w:type="dxa"/>
            </w:tcMar>
            <w:vAlign w:val="center"/>
          </w:tcPr>
          <w:p w14:paraId="0739F18B">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Yes</w:t>
            </w:r>
          </w:p>
        </w:tc>
        <w:tc>
          <w:tcPr>
            <w:tcW w:w="2033" w:type="dxa"/>
            <w:tcMar>
              <w:top w:w="80" w:type="dxa"/>
              <w:left w:w="100" w:type="dxa"/>
              <w:bottom w:w="80" w:type="dxa"/>
              <w:right w:w="100" w:type="dxa"/>
            </w:tcMar>
            <w:vAlign w:val="center"/>
          </w:tcPr>
          <w:p w14:paraId="4465B479">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No</w:t>
            </w:r>
          </w:p>
        </w:tc>
        <w:tc>
          <w:tcPr>
            <w:tcW w:w="2033" w:type="dxa"/>
            <w:tcMar>
              <w:top w:w="80" w:type="dxa"/>
              <w:left w:w="100" w:type="dxa"/>
              <w:bottom w:w="80" w:type="dxa"/>
              <w:right w:w="100" w:type="dxa"/>
            </w:tcMar>
            <w:vAlign w:val="center"/>
          </w:tcPr>
          <w:p w14:paraId="5C02D4E3">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No</w:t>
            </w:r>
          </w:p>
        </w:tc>
        <w:tc>
          <w:tcPr>
            <w:tcW w:w="2033" w:type="dxa"/>
            <w:tcMar>
              <w:top w:w="80" w:type="dxa"/>
              <w:left w:w="100" w:type="dxa"/>
              <w:bottom w:w="80" w:type="dxa"/>
              <w:right w:w="100" w:type="dxa"/>
            </w:tcMar>
            <w:vAlign w:val="center"/>
          </w:tcPr>
          <w:p w14:paraId="60972384">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Registry fields withheld from the model</w:t>
            </w:r>
          </w:p>
        </w:tc>
      </w:tr>
      <w:tr w14:paraId="3FF75D42">
        <w:trPr>
          <w:cantSplit/>
          <w:jc w:val="center"/>
        </w:trPr>
        <w:tc>
          <w:tcPr>
            <w:tcW w:w="2033" w:type="dxa"/>
            <w:tcMar>
              <w:top w:w="80" w:type="dxa"/>
              <w:left w:w="100" w:type="dxa"/>
              <w:bottom w:w="80" w:type="dxa"/>
              <w:right w:w="100" w:type="dxa"/>
            </w:tcMar>
            <w:vAlign w:val="center"/>
          </w:tcPr>
          <w:p w14:paraId="136C5053">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Literature + Registered interventions</w:t>
            </w:r>
          </w:p>
        </w:tc>
        <w:tc>
          <w:tcPr>
            <w:tcW w:w="2033" w:type="dxa"/>
            <w:tcMar>
              <w:top w:w="80" w:type="dxa"/>
              <w:left w:w="100" w:type="dxa"/>
              <w:bottom w:w="80" w:type="dxa"/>
              <w:right w:w="100" w:type="dxa"/>
            </w:tcMar>
            <w:vAlign w:val="center"/>
          </w:tcPr>
          <w:p w14:paraId="2CCA3B3B">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Yes</w:t>
            </w:r>
          </w:p>
        </w:tc>
        <w:tc>
          <w:tcPr>
            <w:tcW w:w="2033" w:type="dxa"/>
            <w:tcMar>
              <w:top w:w="80" w:type="dxa"/>
              <w:left w:w="100" w:type="dxa"/>
              <w:bottom w:w="80" w:type="dxa"/>
              <w:right w:w="100" w:type="dxa"/>
            </w:tcMar>
            <w:vAlign w:val="center"/>
          </w:tcPr>
          <w:p w14:paraId="6EAD92D2">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Yes</w:t>
            </w:r>
          </w:p>
        </w:tc>
        <w:tc>
          <w:tcPr>
            <w:tcW w:w="2033" w:type="dxa"/>
            <w:tcMar>
              <w:top w:w="80" w:type="dxa"/>
              <w:left w:w="100" w:type="dxa"/>
              <w:bottom w:w="80" w:type="dxa"/>
              <w:right w:w="100" w:type="dxa"/>
            </w:tcMar>
            <w:vAlign w:val="center"/>
          </w:tcPr>
          <w:p w14:paraId="3E7705CC">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No</w:t>
            </w:r>
          </w:p>
        </w:tc>
        <w:tc>
          <w:tcPr>
            <w:tcW w:w="2033" w:type="dxa"/>
            <w:tcMar>
              <w:top w:w="80" w:type="dxa"/>
              <w:left w:w="100" w:type="dxa"/>
              <w:bottom w:w="80" w:type="dxa"/>
              <w:right w:w="100" w:type="dxa"/>
            </w:tcMar>
            <w:vAlign w:val="center"/>
          </w:tcPr>
          <w:p w14:paraId="45DE0864">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Intervention, regimen, and arm terminology normalization</w:t>
            </w:r>
          </w:p>
        </w:tc>
      </w:tr>
      <w:tr w14:paraId="6B17DC42">
        <w:trPr>
          <w:cantSplit/>
          <w:jc w:val="center"/>
        </w:trPr>
        <w:tc>
          <w:tcPr>
            <w:tcW w:w="2033" w:type="dxa"/>
            <w:tcMar>
              <w:top w:w="80" w:type="dxa"/>
              <w:left w:w="100" w:type="dxa"/>
              <w:bottom w:w="80" w:type="dxa"/>
              <w:right w:w="100" w:type="dxa"/>
            </w:tcMar>
            <w:vAlign w:val="center"/>
          </w:tcPr>
          <w:p w14:paraId="69304E48">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Literature + Registered primary outcomes</w:t>
            </w:r>
          </w:p>
        </w:tc>
        <w:tc>
          <w:tcPr>
            <w:tcW w:w="2033" w:type="dxa"/>
            <w:tcMar>
              <w:top w:w="80" w:type="dxa"/>
              <w:left w:w="100" w:type="dxa"/>
              <w:bottom w:w="80" w:type="dxa"/>
              <w:right w:w="100" w:type="dxa"/>
            </w:tcMar>
            <w:vAlign w:val="center"/>
          </w:tcPr>
          <w:p w14:paraId="0A287F9C">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Yes</w:t>
            </w:r>
          </w:p>
        </w:tc>
        <w:tc>
          <w:tcPr>
            <w:tcW w:w="2033" w:type="dxa"/>
            <w:tcMar>
              <w:top w:w="80" w:type="dxa"/>
              <w:left w:w="100" w:type="dxa"/>
              <w:bottom w:w="80" w:type="dxa"/>
              <w:right w:w="100" w:type="dxa"/>
            </w:tcMar>
            <w:vAlign w:val="center"/>
          </w:tcPr>
          <w:p w14:paraId="7698A92C">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No</w:t>
            </w:r>
          </w:p>
        </w:tc>
        <w:tc>
          <w:tcPr>
            <w:tcW w:w="2033" w:type="dxa"/>
            <w:tcMar>
              <w:top w:w="80" w:type="dxa"/>
              <w:left w:w="100" w:type="dxa"/>
              <w:bottom w:w="80" w:type="dxa"/>
              <w:right w:w="100" w:type="dxa"/>
            </w:tcMar>
            <w:vAlign w:val="center"/>
          </w:tcPr>
          <w:p w14:paraId="0CDEFC79">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Yes</w:t>
            </w:r>
          </w:p>
        </w:tc>
        <w:tc>
          <w:tcPr>
            <w:tcW w:w="2033" w:type="dxa"/>
            <w:tcMar>
              <w:top w:w="80" w:type="dxa"/>
              <w:left w:w="100" w:type="dxa"/>
              <w:bottom w:w="80" w:type="dxa"/>
              <w:right w:w="100" w:type="dxa"/>
            </w:tcMar>
            <w:vAlign w:val="center"/>
          </w:tcPr>
          <w:p w14:paraId="68B85BCC">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Endpoint terminology normalization</w:t>
            </w:r>
          </w:p>
        </w:tc>
      </w:tr>
      <w:tr w14:paraId="2472D607">
        <w:trPr>
          <w:cantSplit/>
          <w:jc w:val="center"/>
        </w:trPr>
        <w:tc>
          <w:tcPr>
            <w:tcW w:w="2033" w:type="dxa"/>
            <w:tcMar>
              <w:top w:w="80" w:type="dxa"/>
              <w:left w:w="100" w:type="dxa"/>
              <w:bottom w:w="80" w:type="dxa"/>
              <w:right w:w="100" w:type="dxa"/>
            </w:tcMar>
            <w:vAlign w:val="center"/>
          </w:tcPr>
          <w:p w14:paraId="229260FD">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Literature + Interventions + primary outcomes</w:t>
            </w:r>
          </w:p>
        </w:tc>
        <w:tc>
          <w:tcPr>
            <w:tcW w:w="2033" w:type="dxa"/>
            <w:tcMar>
              <w:top w:w="80" w:type="dxa"/>
              <w:left w:w="100" w:type="dxa"/>
              <w:bottom w:w="80" w:type="dxa"/>
              <w:right w:w="100" w:type="dxa"/>
            </w:tcMar>
            <w:vAlign w:val="center"/>
          </w:tcPr>
          <w:p w14:paraId="4339981E">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Yes</w:t>
            </w:r>
          </w:p>
        </w:tc>
        <w:tc>
          <w:tcPr>
            <w:tcW w:w="2033" w:type="dxa"/>
            <w:tcMar>
              <w:top w:w="80" w:type="dxa"/>
              <w:left w:w="100" w:type="dxa"/>
              <w:bottom w:w="80" w:type="dxa"/>
              <w:right w:w="100" w:type="dxa"/>
            </w:tcMar>
            <w:vAlign w:val="center"/>
          </w:tcPr>
          <w:p w14:paraId="12D5E4E1">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Yes</w:t>
            </w:r>
          </w:p>
        </w:tc>
        <w:tc>
          <w:tcPr>
            <w:tcW w:w="2033" w:type="dxa"/>
            <w:tcMar>
              <w:top w:w="80" w:type="dxa"/>
              <w:left w:w="100" w:type="dxa"/>
              <w:bottom w:w="80" w:type="dxa"/>
              <w:right w:w="100" w:type="dxa"/>
            </w:tcMar>
            <w:vAlign w:val="center"/>
          </w:tcPr>
          <w:p w14:paraId="0BE522F7">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Yes</w:t>
            </w:r>
          </w:p>
        </w:tc>
        <w:tc>
          <w:tcPr>
            <w:tcW w:w="2033" w:type="dxa"/>
            <w:tcMar>
              <w:top w:w="80" w:type="dxa"/>
              <w:left w:w="100" w:type="dxa"/>
              <w:bottom w:w="80" w:type="dxa"/>
              <w:right w:w="100" w:type="dxa"/>
            </w:tcMar>
            <w:vAlign w:val="center"/>
          </w:tcPr>
          <w:p w14:paraId="58D263AA">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Identity and terminology support only</w:t>
            </w:r>
          </w:p>
        </w:tc>
      </w:tr>
    </w:tbl>
    <w:p w14:paraId="3818CFC7">
      <w:pPr>
        <w:spacing w:after="80" w:line="259" w:lineRule="auto"/>
        <w:ind w:left="0" w:right="0" w:firstLine="0"/>
        <w:jc w:val="both"/>
        <w:rPr>
          <w:rFonts w:hint="default" w:ascii="Times New Roman Regular" w:hAnsi="Times New Roman Regular" w:cs="Times New Roman Regular"/>
        </w:rPr>
      </w:pPr>
      <w:r>
        <w:rPr>
          <w:rFonts w:hint="default" w:ascii="Times New Roman Regular" w:hAnsi="Times New Roman Regular" w:cs="Times New Roman Regular"/>
        </w:rPr>
        <w:t>The information-item comparison reported in the main text included PubTator3, PICOX, and the TRACE-CU information-item layer. CPED-BioBERT</w:t>
      </w:r>
      <w:r>
        <w:rPr>
          <w:rFonts w:hint="default" w:ascii="Times New Roman Regular" w:hAnsi="Times New Roman Regular" w:cs="Times New Roman Regular"/>
        </w:rPr>
        <w:t xml:space="preserve"> (main manuscript Reference 7)</w:t>
      </w:r>
      <w:r>
        <w:rPr>
          <w:rFonts w:hint="default" w:ascii="Times New Roman Regular" w:hAnsi="Times New Roman Regular" w:cs="Times New Roman Regular"/>
        </w:rPr>
        <w:t xml:space="preserve"> was retained in this appendix as a task-level methodological comparator because it represents sentence-level PICO classification/localization. Its prediction target is a sentence label over presegmented candidate sentences rather than the direct extraction of entity mentions, PICO spans, or structured information items. Consequently, CPED-BioBERT was not included in the main-text information-item extraction table, because combining its sentence-classification scores with entity- or span-extraction scores would conflate different task definitions, output units, and metric denominators. It is therefore described as a related comparator without being ranked directly against PubTator3, PICOX, or the TRACE-CU information-item layer. The main-text table reports each included method at its native output level, and overall PIO Micro F1 is reported only for methods supporting complete PIO extraction.</w:t>
      </w:r>
    </w:p>
    <w:p w14:paraId="6F5A3854">
      <w:pPr>
        <w:pStyle w:val="3"/>
        <w:keepNext/>
        <w:spacing w:after="80"/>
        <w:rPr>
          <w:rFonts w:hint="default" w:ascii="Times New Roman Regular" w:hAnsi="Times New Roman Regular" w:cs="Times New Roman Regular"/>
        </w:rPr>
      </w:pPr>
      <w:r>
        <w:rPr>
          <w:rFonts w:hint="default" w:ascii="Times New Roman Regular" w:hAnsi="Times New Roman Regular" w:cs="Times New Roman Regular"/>
        </w:rPr>
        <w:t>1.5 End-to-End Execution</w:t>
      </w:r>
    </w:p>
    <w:p w14:paraId="1BDE8FB4">
      <w:pPr>
        <w:pStyle w:val="7"/>
        <w:keepNext/>
        <w:spacing w:before="80" w:after="80" w:line="240" w:lineRule="auto"/>
        <w:ind w:left="288" w:right="144" w:firstLine="0"/>
        <w:jc w:val="left"/>
        <w:rPr>
          <w:rFonts w:hint="default" w:ascii="Times New Roman Regular" w:hAnsi="Times New Roman Regular" w:cs="Times New Roman Regular"/>
        </w:rPr>
      </w:pPr>
      <w:r>
        <w:rPr>
          <w:rFonts w:hint="default" w:ascii="Times New Roman Regular" w:hAnsi="Times New Roman Regular" w:cs="Times New Roman Regular"/>
        </w:rPr>
        <w:t xml:space="preserve">Algorithm </w:t>
      </w:r>
      <w:r>
        <w:rPr>
          <w:rFonts w:hint="default" w:ascii="Times New Roman Regular" w:hAnsi="Times New Roman Regular" w:eastAsia="宋体" w:cs="Times New Roman Regular"/>
          <w:lang w:val="en-US" w:eastAsia="zh-CN"/>
        </w:rPr>
        <w:t>1</w:t>
      </w:r>
      <w:r>
        <w:rPr>
          <w:rFonts w:hint="default" w:ascii="Times New Roman Regular" w:hAnsi="Times New Roman Regular" w:cs="Times New Roman Regular"/>
        </w:rPr>
        <w:t>. End-to-end TRACE-CU extraction and validation</w:t>
      </w:r>
    </w:p>
    <w:tbl>
      <w:tblPr>
        <w:tblStyle w:val="4"/>
        <w:tblW w:w="0" w:type="auto"/>
        <w:jc w:val="center"/>
        <w:tblBorders>
          <w:top w:val="single" w:color="808080" w:sz="8" w:space="0"/>
          <w:left w:val="none" w:color="auto" w:sz="0" w:space="0"/>
          <w:bottom w:val="single" w:color="808080" w:sz="8" w:space="0"/>
          <w:right w:val="none" w:color="auto" w:sz="0" w:space="0"/>
          <w:insideH w:val="single" w:color="D9D9D9" w:sz="4" w:space="0"/>
          <w:insideV w:val="none" w:color="auto" w:sz="0" w:space="0"/>
        </w:tblBorders>
        <w:tblLayout w:type="fixed"/>
        <w:tblCellMar>
          <w:top w:w="0" w:type="dxa"/>
          <w:left w:w="108" w:type="dxa"/>
          <w:bottom w:w="0" w:type="dxa"/>
          <w:right w:w="108" w:type="dxa"/>
        </w:tblCellMar>
      </w:tblPr>
      <w:tblGrid>
        <w:gridCol w:w="691"/>
        <w:gridCol w:w="9144"/>
      </w:tblGrid>
      <w:tr w14:paraId="08E2726F">
        <w:trPr>
          <w:cantSplit/>
          <w:tblHeader/>
          <w:jc w:val="center"/>
        </w:trPr>
        <w:tc>
          <w:tcPr>
            <w:tcW w:w="691" w:type="dxa"/>
            <w:shd w:val="clear" w:color="auto" w:fill="EAF1F6"/>
            <w:tcMar>
              <w:top w:w="80" w:type="dxa"/>
              <w:left w:w="100" w:type="dxa"/>
              <w:bottom w:w="80" w:type="dxa"/>
              <w:right w:w="100" w:type="dxa"/>
            </w:tcMar>
            <w:vAlign w:val="center"/>
          </w:tcPr>
          <w:p w14:paraId="369BA190">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Line</w:t>
            </w:r>
          </w:p>
        </w:tc>
        <w:tc>
          <w:tcPr>
            <w:tcW w:w="9144" w:type="dxa"/>
            <w:shd w:val="clear" w:color="auto" w:fill="EAF1F6"/>
            <w:tcMar>
              <w:top w:w="80" w:type="dxa"/>
              <w:left w:w="100" w:type="dxa"/>
              <w:bottom w:w="80" w:type="dxa"/>
              <w:right w:w="100" w:type="dxa"/>
            </w:tcMar>
            <w:vAlign w:val="center"/>
          </w:tcPr>
          <w:p w14:paraId="5FC67E48">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Procedure</w:t>
            </w:r>
          </w:p>
        </w:tc>
      </w:tr>
      <w:tr w14:paraId="13FDD7B5">
        <w:trPr>
          <w:cantSplit/>
          <w:jc w:val="center"/>
        </w:trPr>
        <w:tc>
          <w:tcPr>
            <w:tcW w:w="691" w:type="dxa"/>
            <w:tcMar>
              <w:top w:w="80" w:type="dxa"/>
              <w:left w:w="100" w:type="dxa"/>
              <w:bottom w:w="80" w:type="dxa"/>
              <w:right w:w="100" w:type="dxa"/>
            </w:tcMar>
            <w:vAlign w:val="center"/>
          </w:tcPr>
          <w:p w14:paraId="6AD76704">
            <w:pPr>
              <w:spacing w:before="0" w:after="0" w:line="240" w:lineRule="auto"/>
              <w:jc w:val="center"/>
              <w:rPr>
                <w:rFonts w:hint="default" w:ascii="Times New Roman Regular" w:hAnsi="Times New Roman Regular" w:cs="Times New Roman Regular"/>
              </w:rPr>
            </w:pPr>
          </w:p>
        </w:tc>
        <w:tc>
          <w:tcPr>
            <w:tcW w:w="9144" w:type="dxa"/>
            <w:tcMar>
              <w:top w:w="80" w:type="dxa"/>
              <w:left w:w="100" w:type="dxa"/>
              <w:bottom w:w="80" w:type="dxa"/>
              <w:right w:w="100" w:type="dxa"/>
            </w:tcMar>
            <w:vAlign w:val="center"/>
          </w:tcPr>
          <w:p w14:paraId="05F3C8D2">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b/>
                <w:sz w:val="17"/>
              </w:rPr>
              <w:t xml:space="preserve">Input: </w:t>
            </w:r>
            <w:r>
              <w:rPr>
                <w:rFonts w:hint="default" w:ascii="Times New Roman Regular" w:hAnsi="Times New Roman Regular" w:cs="Times New Roman Regular"/>
                <w:sz w:val="17"/>
              </w:rPr>
              <w:t xml:space="preserve">publication record </w:t>
            </w:r>
            <w:r>
              <w:rPr>
                <w:rFonts w:hint="default" w:ascii="Times New Roman Regular" w:hAnsi="Times New Roman Regular" w:cs="Times New Roman Regular"/>
                <w:i/>
                <w:sz w:val="17"/>
              </w:rPr>
              <w:t>R_pub</w:t>
            </w:r>
            <w:r>
              <w:rPr>
                <w:rFonts w:hint="default" w:ascii="Times New Roman Regular" w:hAnsi="Times New Roman Regular" w:cs="Times New Roman Regular"/>
                <w:sz w:val="17"/>
              </w:rPr>
              <w:t xml:space="preserve">={PMID, title, abstract}; linked registry record </w:t>
            </w:r>
            <w:r>
              <w:rPr>
                <w:rFonts w:hint="default" w:ascii="Times New Roman Regular" w:hAnsi="Times New Roman Regular" w:cs="Times New Roman Regular"/>
                <w:i/>
                <w:sz w:val="17"/>
              </w:rPr>
              <w:t>R_reg</w:t>
            </w:r>
            <w:r>
              <w:rPr>
                <w:rFonts w:hint="default" w:ascii="Times New Roman Regular" w:hAnsi="Times New Roman Regular" w:cs="Times New Roman Regular"/>
                <w:sz w:val="17"/>
              </w:rPr>
              <w:t xml:space="preserve">; experimental input condition; locked CU schema and terminology, routing, and validation rules; selected evidence threshold </w:t>
            </w:r>
            <w:r>
              <w:rPr>
                <w:rFonts w:hint="default" w:ascii="Times New Roman Regular" w:hAnsi="Times New Roman Regular" w:cs="Times New Roman Regular"/>
                <w:i/>
                <w:sz w:val="17"/>
              </w:rPr>
              <w:t>theta*</w:t>
            </w:r>
            <w:r>
              <w:rPr>
                <w:rFonts w:hint="default" w:ascii="Times New Roman Regular" w:hAnsi="Times New Roman Regular" w:cs="Times New Roman Regular"/>
                <w:sz w:val="17"/>
              </w:rPr>
              <w:t>.</w:t>
            </w:r>
          </w:p>
        </w:tc>
      </w:tr>
      <w:tr w14:paraId="07BBFEF1">
        <w:trPr>
          <w:cantSplit/>
          <w:jc w:val="center"/>
        </w:trPr>
        <w:tc>
          <w:tcPr>
            <w:tcW w:w="691" w:type="dxa"/>
            <w:tcMar>
              <w:top w:w="80" w:type="dxa"/>
              <w:left w:w="100" w:type="dxa"/>
              <w:bottom w:w="80" w:type="dxa"/>
              <w:right w:w="100" w:type="dxa"/>
            </w:tcMar>
            <w:vAlign w:val="center"/>
          </w:tcPr>
          <w:p w14:paraId="10F41917">
            <w:pPr>
              <w:spacing w:before="0" w:after="0" w:line="240" w:lineRule="auto"/>
              <w:jc w:val="center"/>
              <w:rPr>
                <w:rFonts w:hint="default" w:ascii="Times New Roman Regular" w:hAnsi="Times New Roman Regular" w:cs="Times New Roman Regular"/>
              </w:rPr>
            </w:pPr>
          </w:p>
        </w:tc>
        <w:tc>
          <w:tcPr>
            <w:tcW w:w="9144" w:type="dxa"/>
            <w:tcMar>
              <w:top w:w="80" w:type="dxa"/>
              <w:left w:w="100" w:type="dxa"/>
              <w:bottom w:w="80" w:type="dxa"/>
              <w:right w:w="100" w:type="dxa"/>
            </w:tcMar>
            <w:vAlign w:val="center"/>
          </w:tcPr>
          <w:p w14:paraId="2576E82F">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Output: VERIFIED CU records; comparison-structure assignments; post-extraction evidence-audit mappings; source-linked CCOH updates.</w:t>
            </w:r>
          </w:p>
        </w:tc>
      </w:tr>
      <w:tr w14:paraId="17A42B7E">
        <w:trPr>
          <w:cantSplit/>
          <w:jc w:val="center"/>
        </w:trPr>
        <w:tc>
          <w:tcPr>
            <w:tcW w:w="691" w:type="dxa"/>
            <w:tcMar>
              <w:top w:w="80" w:type="dxa"/>
              <w:left w:w="100" w:type="dxa"/>
              <w:bottom w:w="80" w:type="dxa"/>
              <w:right w:w="100" w:type="dxa"/>
            </w:tcMar>
            <w:vAlign w:val="center"/>
          </w:tcPr>
          <w:p w14:paraId="6B428E2D">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7"/>
              </w:rPr>
              <w:t>1</w:t>
            </w:r>
          </w:p>
        </w:tc>
        <w:tc>
          <w:tcPr>
            <w:tcW w:w="9144" w:type="dxa"/>
            <w:tcMar>
              <w:top w:w="80" w:type="dxa"/>
              <w:left w:w="100" w:type="dxa"/>
              <w:bottom w:w="80" w:type="dxa"/>
              <w:right w:w="100" w:type="dxa"/>
            </w:tcMar>
            <w:vAlign w:val="center"/>
          </w:tcPr>
          <w:p w14:paraId="09A4FD07">
            <w:pPr>
              <w:spacing w:before="0" w:after="0" w:line="240" w:lineRule="auto"/>
              <w:ind w:left="0"/>
              <w:jc w:val="left"/>
              <w:rPr>
                <w:rFonts w:hint="default" w:ascii="Times New Roman Regular" w:hAnsi="Times New Roman Regular" w:cs="Times New Roman Regular"/>
              </w:rPr>
            </w:pPr>
            <w:r>
              <w:rPr>
                <w:rFonts w:hint="default" w:ascii="Times New Roman Regular" w:hAnsi="Times New Roman Regular" w:cs="Times New Roman Regular"/>
                <w:b/>
                <w:sz w:val="17"/>
              </w:rPr>
              <w:t>IF</w:t>
            </w:r>
            <w:r>
              <w:rPr>
                <w:rFonts w:hint="default" w:ascii="Times New Roman Regular" w:hAnsi="Times New Roman Regular" w:cs="Times New Roman Regular"/>
                <w:sz w:val="17"/>
              </w:rPr>
              <w:t xml:space="preserve"> the PubMed abstract is absent, STOP processing the publication</w:t>
            </w:r>
          </w:p>
        </w:tc>
      </w:tr>
      <w:tr w14:paraId="3B9337A9">
        <w:trPr>
          <w:cantSplit/>
          <w:jc w:val="center"/>
        </w:trPr>
        <w:tc>
          <w:tcPr>
            <w:tcW w:w="691" w:type="dxa"/>
            <w:tcMar>
              <w:top w:w="80" w:type="dxa"/>
              <w:left w:w="100" w:type="dxa"/>
              <w:bottom w:w="80" w:type="dxa"/>
              <w:right w:w="100" w:type="dxa"/>
            </w:tcMar>
            <w:vAlign w:val="center"/>
          </w:tcPr>
          <w:p w14:paraId="54E44AC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7"/>
              </w:rPr>
              <w:t>2</w:t>
            </w:r>
          </w:p>
        </w:tc>
        <w:tc>
          <w:tcPr>
            <w:tcW w:w="9144" w:type="dxa"/>
            <w:tcMar>
              <w:top w:w="80" w:type="dxa"/>
              <w:left w:w="100" w:type="dxa"/>
              <w:bottom w:w="80" w:type="dxa"/>
              <w:right w:w="100" w:type="dxa"/>
            </w:tcMar>
            <w:vAlign w:val="center"/>
          </w:tcPr>
          <w:p w14:paraId="51DBE4BC">
            <w:pPr>
              <w:spacing w:before="0" w:after="0" w:line="240" w:lineRule="auto"/>
              <w:ind w:left="0"/>
              <w:jc w:val="left"/>
              <w:rPr>
                <w:rFonts w:hint="default" w:ascii="Times New Roman Regular" w:hAnsi="Times New Roman Regular" w:cs="Times New Roman Regular"/>
              </w:rPr>
            </w:pPr>
            <w:r>
              <w:rPr>
                <w:rFonts w:hint="default" w:ascii="Times New Roman Regular" w:hAnsi="Times New Roman Regular" w:cs="Times New Roman Regular"/>
                <w:sz w:val="17"/>
              </w:rPr>
              <w:t>LOAD only registry fields permitted by the current input condition</w:t>
            </w:r>
          </w:p>
        </w:tc>
      </w:tr>
      <w:tr w14:paraId="1BC55376">
        <w:trPr>
          <w:cantSplit/>
          <w:jc w:val="center"/>
        </w:trPr>
        <w:tc>
          <w:tcPr>
            <w:tcW w:w="691" w:type="dxa"/>
            <w:tcMar>
              <w:top w:w="80" w:type="dxa"/>
              <w:left w:w="100" w:type="dxa"/>
              <w:bottom w:w="80" w:type="dxa"/>
              <w:right w:w="100" w:type="dxa"/>
            </w:tcMar>
            <w:vAlign w:val="center"/>
          </w:tcPr>
          <w:p w14:paraId="58095ADA">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7"/>
              </w:rPr>
              <w:t>3</w:t>
            </w:r>
          </w:p>
        </w:tc>
        <w:tc>
          <w:tcPr>
            <w:tcW w:w="9144" w:type="dxa"/>
            <w:tcMar>
              <w:top w:w="80" w:type="dxa"/>
              <w:left w:w="100" w:type="dxa"/>
              <w:bottom w:w="80" w:type="dxa"/>
              <w:right w:w="100" w:type="dxa"/>
            </w:tcMar>
            <w:vAlign w:val="center"/>
          </w:tcPr>
          <w:p w14:paraId="689915A3">
            <w:pPr>
              <w:spacing w:before="0" w:after="0" w:line="240" w:lineRule="auto"/>
              <w:ind w:left="0"/>
              <w:jc w:val="left"/>
              <w:rPr>
                <w:rFonts w:hint="default" w:ascii="Times New Roman Regular" w:hAnsi="Times New Roman Regular" w:cs="Times New Roman Regular"/>
              </w:rPr>
            </w:pPr>
            <w:r>
              <w:rPr>
                <w:rFonts w:hint="default" w:ascii="Times New Roman Regular" w:hAnsi="Times New Roman Regular" w:cs="Times New Roman Regular"/>
                <w:sz w:val="17"/>
              </w:rPr>
              <w:t>APPLY the source hierarchy: publication facts are authoritative and registry data are auxiliary</w:t>
            </w:r>
          </w:p>
        </w:tc>
      </w:tr>
      <w:tr w14:paraId="76BB4759">
        <w:trPr>
          <w:cantSplit/>
          <w:jc w:val="center"/>
        </w:trPr>
        <w:tc>
          <w:tcPr>
            <w:tcW w:w="691" w:type="dxa"/>
            <w:tcMar>
              <w:top w:w="80" w:type="dxa"/>
              <w:left w:w="100" w:type="dxa"/>
              <w:bottom w:w="80" w:type="dxa"/>
              <w:right w:w="100" w:type="dxa"/>
            </w:tcMar>
            <w:vAlign w:val="center"/>
          </w:tcPr>
          <w:p w14:paraId="7F93B231">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7"/>
              </w:rPr>
              <w:t>4</w:t>
            </w:r>
          </w:p>
        </w:tc>
        <w:tc>
          <w:tcPr>
            <w:tcW w:w="9144" w:type="dxa"/>
            <w:tcMar>
              <w:top w:w="80" w:type="dxa"/>
              <w:left w:w="100" w:type="dxa"/>
              <w:bottom w:w="80" w:type="dxa"/>
              <w:right w:w="100" w:type="dxa"/>
            </w:tcMar>
            <w:vAlign w:val="center"/>
          </w:tcPr>
          <w:p w14:paraId="7A27D0A0">
            <w:pPr>
              <w:spacing w:before="0" w:after="0" w:line="240" w:lineRule="auto"/>
              <w:ind w:left="0"/>
              <w:jc w:val="left"/>
              <w:rPr>
                <w:rFonts w:hint="default" w:ascii="Times New Roman Regular" w:hAnsi="Times New Roman Regular" w:cs="Times New Roman Regular"/>
              </w:rPr>
            </w:pPr>
            <w:r>
              <w:rPr>
                <w:rFonts w:hint="default" w:ascii="Times New Roman Regular" w:hAnsi="Times New Roman Regular" w:cs="Times New Roman Regular"/>
                <w:sz w:val="17"/>
              </w:rPr>
              <w:t>NORMALIZE source-supported intervention, regimen, arm, disease, population, and endpoint expressions</w:t>
            </w:r>
          </w:p>
        </w:tc>
      </w:tr>
      <w:tr w14:paraId="3FC58BF6">
        <w:trPr>
          <w:cantSplit/>
          <w:jc w:val="center"/>
        </w:trPr>
        <w:tc>
          <w:tcPr>
            <w:tcW w:w="691" w:type="dxa"/>
            <w:tcMar>
              <w:top w:w="80" w:type="dxa"/>
              <w:left w:w="100" w:type="dxa"/>
              <w:bottom w:w="80" w:type="dxa"/>
              <w:right w:w="100" w:type="dxa"/>
            </w:tcMar>
            <w:vAlign w:val="center"/>
          </w:tcPr>
          <w:p w14:paraId="0FE4A493">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7"/>
              </w:rPr>
              <w:t>5</w:t>
            </w:r>
          </w:p>
        </w:tc>
        <w:tc>
          <w:tcPr>
            <w:tcW w:w="9144" w:type="dxa"/>
            <w:tcMar>
              <w:top w:w="80" w:type="dxa"/>
              <w:left w:w="100" w:type="dxa"/>
              <w:bottom w:w="80" w:type="dxa"/>
              <w:right w:w="100" w:type="dxa"/>
            </w:tcMar>
            <w:vAlign w:val="center"/>
          </w:tcPr>
          <w:p w14:paraId="304656EF">
            <w:pPr>
              <w:spacing w:before="0" w:after="0" w:line="240" w:lineRule="auto"/>
              <w:ind w:left="0"/>
              <w:jc w:val="left"/>
              <w:rPr>
                <w:rFonts w:hint="default" w:ascii="Times New Roman Regular" w:hAnsi="Times New Roman Regular" w:cs="Times New Roman Regular"/>
              </w:rPr>
            </w:pPr>
            <w:r>
              <w:rPr>
                <w:rFonts w:hint="default" w:ascii="Times New Roman Regular" w:hAnsi="Times New Roman Regular" w:cs="Times New Roman Regular"/>
                <w:sz w:val="17"/>
              </w:rPr>
              <w:t>CLASS</w:t>
            </w:r>
            <w:r>
              <w:rPr>
                <w:rFonts w:hint="default" w:ascii="Times New Roman Regular" w:hAnsi="Times New Roman Regular" w:cs="Times New Roman Regular"/>
                <w:b/>
                <w:sz w:val="17"/>
              </w:rPr>
              <w:t>IF</w:t>
            </w:r>
            <w:r>
              <w:rPr>
                <w:rFonts w:hint="default" w:ascii="Times New Roman Regular" w:hAnsi="Times New Roman Regular" w:cs="Times New Roman Regular"/>
                <w:sz w:val="17"/>
              </w:rPr>
              <w:t>Y the therapeutic evaluation as PAIRWISE, SINGLE_ARM, POPULATION_SPE</w:t>
            </w:r>
            <w:r>
              <w:rPr>
                <w:rFonts w:hint="default" w:ascii="Times New Roman Regular" w:hAnsi="Times New Roman Regular" w:cs="Times New Roman Regular"/>
                <w:i/>
                <w:sz w:val="17"/>
              </w:rPr>
              <w:t>CI</w:t>
            </w:r>
            <w:r>
              <w:rPr>
                <w:rFonts w:hint="default" w:ascii="Times New Roman Regular" w:hAnsi="Times New Roman Regular" w:cs="Times New Roman Regular"/>
                <w:sz w:val="17"/>
              </w:rPr>
              <w:t>FIC, or MULTI_ARM_PAIRWISE</w:t>
            </w:r>
          </w:p>
        </w:tc>
      </w:tr>
      <w:tr w14:paraId="2B66485E">
        <w:trPr>
          <w:cantSplit/>
          <w:jc w:val="center"/>
        </w:trPr>
        <w:tc>
          <w:tcPr>
            <w:tcW w:w="691" w:type="dxa"/>
            <w:tcMar>
              <w:top w:w="80" w:type="dxa"/>
              <w:left w:w="100" w:type="dxa"/>
              <w:bottom w:w="80" w:type="dxa"/>
              <w:right w:w="100" w:type="dxa"/>
            </w:tcMar>
            <w:vAlign w:val="center"/>
          </w:tcPr>
          <w:p w14:paraId="67CBD119">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7"/>
              </w:rPr>
              <w:t>6</w:t>
            </w:r>
          </w:p>
        </w:tc>
        <w:tc>
          <w:tcPr>
            <w:tcW w:w="9144" w:type="dxa"/>
            <w:tcMar>
              <w:top w:w="80" w:type="dxa"/>
              <w:left w:w="100" w:type="dxa"/>
              <w:bottom w:w="80" w:type="dxa"/>
              <w:right w:w="100" w:type="dxa"/>
            </w:tcMar>
            <w:vAlign w:val="center"/>
          </w:tcPr>
          <w:p w14:paraId="6300BB59">
            <w:pPr>
              <w:spacing w:before="0" w:after="0" w:line="240" w:lineRule="auto"/>
              <w:ind w:left="0"/>
              <w:jc w:val="left"/>
              <w:rPr>
                <w:rFonts w:hint="default" w:ascii="Times New Roman Regular" w:hAnsi="Times New Roman Regular" w:cs="Times New Roman Regular"/>
              </w:rPr>
            </w:pPr>
            <w:r>
              <w:rPr>
                <w:rFonts w:hint="default" w:ascii="Times New Roman Regular" w:hAnsi="Times New Roman Regular" w:cs="Times New Roman Regular"/>
                <w:b/>
                <w:sz w:val="17"/>
              </w:rPr>
              <w:t>IF</w:t>
            </w:r>
            <w:r>
              <w:rPr>
                <w:rFonts w:hint="default" w:ascii="Times New Roman Regular" w:hAnsi="Times New Roman Regular" w:cs="Times New Roman Regular"/>
                <w:sz w:val="17"/>
              </w:rPr>
              <w:t xml:space="preserve"> the comparison boundary is unresolved, </w:t>
            </w:r>
            <w:r>
              <w:rPr>
                <w:rFonts w:hint="default" w:ascii="Times New Roman Regular" w:hAnsi="Times New Roman Regular" w:cs="Times New Roman Regular"/>
                <w:b/>
                <w:sz w:val="17"/>
              </w:rPr>
              <w:t>RETURN</w:t>
            </w:r>
            <w:r>
              <w:rPr>
                <w:rFonts w:hint="default" w:ascii="Times New Roman Regular" w:hAnsi="Times New Roman Regular" w:cs="Times New Roman Regular"/>
                <w:sz w:val="17"/>
              </w:rPr>
              <w:t xml:space="preserve"> </w:t>
            </w:r>
            <w:r>
              <w:rPr>
                <w:rFonts w:hint="default" w:ascii="Times New Roman Regular" w:hAnsi="Times New Roman Regular" w:cs="Times New Roman Regular"/>
                <w:b/>
                <w:sz w:val="17"/>
              </w:rPr>
              <w:t>REVIEW REQUIRED</w:t>
            </w:r>
          </w:p>
        </w:tc>
      </w:tr>
      <w:tr w14:paraId="3F714F1B">
        <w:trPr>
          <w:cantSplit/>
          <w:jc w:val="center"/>
        </w:trPr>
        <w:tc>
          <w:tcPr>
            <w:tcW w:w="691" w:type="dxa"/>
            <w:tcMar>
              <w:top w:w="80" w:type="dxa"/>
              <w:left w:w="100" w:type="dxa"/>
              <w:bottom w:w="80" w:type="dxa"/>
              <w:right w:w="100" w:type="dxa"/>
            </w:tcMar>
            <w:vAlign w:val="center"/>
          </w:tcPr>
          <w:p w14:paraId="473FB77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7"/>
              </w:rPr>
              <w:t>7</w:t>
            </w:r>
          </w:p>
        </w:tc>
        <w:tc>
          <w:tcPr>
            <w:tcW w:w="9144" w:type="dxa"/>
            <w:tcMar>
              <w:top w:w="80" w:type="dxa"/>
              <w:left w:w="100" w:type="dxa"/>
              <w:bottom w:w="80" w:type="dxa"/>
              <w:right w:w="100" w:type="dxa"/>
            </w:tcMar>
            <w:vAlign w:val="center"/>
          </w:tcPr>
          <w:p w14:paraId="4604195F">
            <w:pPr>
              <w:spacing w:before="0" w:after="0" w:line="240" w:lineRule="auto"/>
              <w:ind w:left="0"/>
              <w:jc w:val="left"/>
              <w:rPr>
                <w:rFonts w:hint="default" w:ascii="Times New Roman Regular" w:hAnsi="Times New Roman Regular" w:cs="Times New Roman Regular"/>
              </w:rPr>
            </w:pPr>
            <w:r>
              <w:rPr>
                <w:rFonts w:hint="default" w:ascii="Times New Roman Regular" w:hAnsi="Times New Roman Regular" w:cs="Times New Roman Regular"/>
                <w:sz w:val="17"/>
              </w:rPr>
              <w:t>DECOMPOSE only source-supported comparison slots authorized by the route</w:t>
            </w:r>
          </w:p>
        </w:tc>
      </w:tr>
      <w:tr w14:paraId="74ABA757">
        <w:trPr>
          <w:cantSplit/>
          <w:jc w:val="center"/>
        </w:trPr>
        <w:tc>
          <w:tcPr>
            <w:tcW w:w="691" w:type="dxa"/>
            <w:tcMar>
              <w:top w:w="80" w:type="dxa"/>
              <w:left w:w="100" w:type="dxa"/>
              <w:bottom w:w="80" w:type="dxa"/>
              <w:right w:w="100" w:type="dxa"/>
            </w:tcMar>
            <w:vAlign w:val="center"/>
          </w:tcPr>
          <w:p w14:paraId="735669D3">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7"/>
              </w:rPr>
              <w:t>8</w:t>
            </w:r>
          </w:p>
        </w:tc>
        <w:tc>
          <w:tcPr>
            <w:tcW w:w="9144" w:type="dxa"/>
            <w:tcMar>
              <w:top w:w="80" w:type="dxa"/>
              <w:left w:w="100" w:type="dxa"/>
              <w:bottom w:w="80" w:type="dxa"/>
              <w:right w:w="100" w:type="dxa"/>
            </w:tcMar>
            <w:vAlign w:val="center"/>
          </w:tcPr>
          <w:p w14:paraId="6E48647B">
            <w:pPr>
              <w:spacing w:before="0" w:after="0" w:line="240" w:lineRule="auto"/>
              <w:ind w:left="0"/>
              <w:jc w:val="left"/>
              <w:rPr>
                <w:rFonts w:hint="default" w:ascii="Times New Roman Regular" w:hAnsi="Times New Roman Regular" w:cs="Times New Roman Regular"/>
              </w:rPr>
            </w:pPr>
            <w:r>
              <w:rPr>
                <w:rFonts w:hint="default" w:ascii="Times New Roman Regular" w:hAnsi="Times New Roman Regular" w:cs="Times New Roman Regular"/>
                <w:b/>
                <w:sz w:val="17"/>
              </w:rPr>
              <w:t>FOR EACH</w:t>
            </w:r>
            <w:r>
              <w:rPr>
                <w:rFonts w:hint="default" w:ascii="Times New Roman Regular" w:hAnsi="Times New Roman Regular" w:cs="Times New Roman Regular"/>
                <w:sz w:val="17"/>
              </w:rPr>
              <w:t xml:space="preserve"> comparison slot, EXTRACT disease and population context</w:t>
            </w:r>
          </w:p>
        </w:tc>
      </w:tr>
      <w:tr w14:paraId="7EE566BF">
        <w:trPr>
          <w:cantSplit/>
          <w:jc w:val="center"/>
        </w:trPr>
        <w:tc>
          <w:tcPr>
            <w:tcW w:w="691" w:type="dxa"/>
            <w:tcMar>
              <w:top w:w="80" w:type="dxa"/>
              <w:left w:w="100" w:type="dxa"/>
              <w:bottom w:w="80" w:type="dxa"/>
              <w:right w:w="100" w:type="dxa"/>
            </w:tcMar>
            <w:vAlign w:val="center"/>
          </w:tcPr>
          <w:p w14:paraId="6E34FE24">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7"/>
              </w:rPr>
              <w:t>9</w:t>
            </w:r>
          </w:p>
        </w:tc>
        <w:tc>
          <w:tcPr>
            <w:tcW w:w="9144" w:type="dxa"/>
            <w:tcMar>
              <w:top w:w="80" w:type="dxa"/>
              <w:left w:w="100" w:type="dxa"/>
              <w:bottom w:w="80" w:type="dxa"/>
              <w:right w:w="100" w:type="dxa"/>
            </w:tcMar>
            <w:vAlign w:val="center"/>
          </w:tcPr>
          <w:p w14:paraId="385B64FF">
            <w:pPr>
              <w:spacing w:before="0" w:after="0" w:line="240" w:lineRule="auto"/>
              <w:ind w:left="259"/>
              <w:jc w:val="left"/>
              <w:rPr>
                <w:rFonts w:hint="default" w:ascii="Times New Roman Regular" w:hAnsi="Times New Roman Regular" w:cs="Times New Roman Regular"/>
              </w:rPr>
            </w:pPr>
            <w:r>
              <w:rPr>
                <w:rFonts w:hint="default" w:ascii="Times New Roman Regular" w:hAnsi="Times New Roman Regular" w:cs="Times New Roman Regular"/>
                <w:sz w:val="17"/>
              </w:rPr>
              <w:t>EXTRACT intervention strategy, regimen attributes, and comparator strategy when applicable</w:t>
            </w:r>
          </w:p>
        </w:tc>
      </w:tr>
      <w:tr w14:paraId="7935C194">
        <w:trPr>
          <w:cantSplit/>
          <w:jc w:val="center"/>
        </w:trPr>
        <w:tc>
          <w:tcPr>
            <w:tcW w:w="691" w:type="dxa"/>
            <w:tcMar>
              <w:top w:w="80" w:type="dxa"/>
              <w:left w:w="100" w:type="dxa"/>
              <w:bottom w:w="80" w:type="dxa"/>
              <w:right w:w="100" w:type="dxa"/>
            </w:tcMar>
            <w:vAlign w:val="center"/>
          </w:tcPr>
          <w:p w14:paraId="37C95672">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7"/>
              </w:rPr>
              <w:t>10</w:t>
            </w:r>
          </w:p>
        </w:tc>
        <w:tc>
          <w:tcPr>
            <w:tcW w:w="9144" w:type="dxa"/>
            <w:tcMar>
              <w:top w:w="80" w:type="dxa"/>
              <w:left w:w="100" w:type="dxa"/>
              <w:bottom w:w="80" w:type="dxa"/>
              <w:right w:w="100" w:type="dxa"/>
            </w:tcMar>
            <w:vAlign w:val="center"/>
          </w:tcPr>
          <w:p w14:paraId="27D04159">
            <w:pPr>
              <w:spacing w:before="0" w:after="0" w:line="240" w:lineRule="auto"/>
              <w:ind w:left="259"/>
              <w:jc w:val="left"/>
              <w:rPr>
                <w:rFonts w:hint="default" w:ascii="Times New Roman Regular" w:hAnsi="Times New Roman Regular" w:cs="Times New Roman Regular"/>
              </w:rPr>
            </w:pPr>
            <w:r>
              <w:rPr>
                <w:rFonts w:hint="default" w:ascii="Times New Roman Regular" w:hAnsi="Times New Roman Regular" w:cs="Times New Roman Regular"/>
                <w:sz w:val="17"/>
              </w:rPr>
              <w:t>EXTRACT endpoint-specific publication results and reportable safety outcomes</w:t>
            </w:r>
          </w:p>
        </w:tc>
      </w:tr>
      <w:tr w14:paraId="52392621">
        <w:trPr>
          <w:cantSplit/>
          <w:jc w:val="center"/>
        </w:trPr>
        <w:tc>
          <w:tcPr>
            <w:tcW w:w="691" w:type="dxa"/>
            <w:tcMar>
              <w:top w:w="80" w:type="dxa"/>
              <w:left w:w="100" w:type="dxa"/>
              <w:bottom w:w="80" w:type="dxa"/>
              <w:right w:w="100" w:type="dxa"/>
            </w:tcMar>
            <w:vAlign w:val="center"/>
          </w:tcPr>
          <w:p w14:paraId="4F55B4DF">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7"/>
              </w:rPr>
              <w:t>11</w:t>
            </w:r>
          </w:p>
        </w:tc>
        <w:tc>
          <w:tcPr>
            <w:tcW w:w="9144" w:type="dxa"/>
            <w:tcMar>
              <w:top w:w="80" w:type="dxa"/>
              <w:left w:w="100" w:type="dxa"/>
              <w:bottom w:w="80" w:type="dxa"/>
              <w:right w:w="100" w:type="dxa"/>
            </w:tcMar>
            <w:vAlign w:val="center"/>
          </w:tcPr>
          <w:p w14:paraId="33151A6C">
            <w:pPr>
              <w:spacing w:before="0" w:after="0" w:line="240" w:lineRule="auto"/>
              <w:ind w:left="0"/>
              <w:jc w:val="left"/>
              <w:rPr>
                <w:rFonts w:hint="default" w:ascii="Times New Roman Regular" w:hAnsi="Times New Roman Regular" w:cs="Times New Roman Regular"/>
              </w:rPr>
            </w:pPr>
            <w:r>
              <w:rPr>
                <w:rFonts w:hint="default" w:ascii="Times New Roman Regular" w:hAnsi="Times New Roman Regular" w:cs="Times New Roman Regular"/>
                <w:sz w:val="17"/>
              </w:rPr>
              <w:t>ASSEMBLE endpoint-specific candidate CUs and bind each result to one slot</w:t>
            </w:r>
          </w:p>
        </w:tc>
      </w:tr>
      <w:tr w14:paraId="38685143">
        <w:trPr>
          <w:cantSplit/>
          <w:jc w:val="center"/>
        </w:trPr>
        <w:tc>
          <w:tcPr>
            <w:tcW w:w="691" w:type="dxa"/>
            <w:tcMar>
              <w:top w:w="80" w:type="dxa"/>
              <w:left w:w="100" w:type="dxa"/>
              <w:bottom w:w="80" w:type="dxa"/>
              <w:right w:w="100" w:type="dxa"/>
            </w:tcMar>
            <w:vAlign w:val="center"/>
          </w:tcPr>
          <w:p w14:paraId="13F832DF">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7"/>
              </w:rPr>
              <w:t>12</w:t>
            </w:r>
          </w:p>
        </w:tc>
        <w:tc>
          <w:tcPr>
            <w:tcW w:w="9144" w:type="dxa"/>
            <w:tcMar>
              <w:top w:w="80" w:type="dxa"/>
              <w:left w:w="100" w:type="dxa"/>
              <w:bottom w:w="80" w:type="dxa"/>
              <w:right w:w="100" w:type="dxa"/>
            </w:tcMar>
            <w:vAlign w:val="center"/>
          </w:tcPr>
          <w:p w14:paraId="0FABB106">
            <w:pPr>
              <w:spacing w:after="0"/>
              <w:rPr>
                <w:rFonts w:hint="default" w:ascii="Times New Roman Regular" w:hAnsi="Times New Roman Regular" w:cs="Times New Roman Regular"/>
              </w:rPr>
            </w:pPr>
            <w:r>
              <w:rPr>
                <w:rFonts w:hint="default" w:ascii="Times New Roman Regular" w:hAnsi="Times New Roman Regular" w:cs="Times New Roman Regular"/>
                <w:b w:val="0"/>
                <w:sz w:val="16"/>
              </w:rPr>
              <w:t>APPLY the post-extraction evidence-audit procedure to select a candidate supporting sentence or minimal contiguous span from the current abstract for each result-bearing item</w:t>
            </w:r>
          </w:p>
        </w:tc>
      </w:tr>
      <w:tr w14:paraId="598A22D0">
        <w:trPr>
          <w:cantSplit/>
          <w:jc w:val="center"/>
        </w:trPr>
        <w:tc>
          <w:tcPr>
            <w:tcW w:w="691" w:type="dxa"/>
            <w:tcMar>
              <w:top w:w="80" w:type="dxa"/>
              <w:left w:w="100" w:type="dxa"/>
              <w:bottom w:w="80" w:type="dxa"/>
              <w:right w:w="100" w:type="dxa"/>
            </w:tcMar>
            <w:vAlign w:val="center"/>
          </w:tcPr>
          <w:p w14:paraId="2F8069F8">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7"/>
              </w:rPr>
              <w:t>13</w:t>
            </w:r>
          </w:p>
        </w:tc>
        <w:tc>
          <w:tcPr>
            <w:tcW w:w="9144" w:type="dxa"/>
            <w:tcMar>
              <w:top w:w="80" w:type="dxa"/>
              <w:left w:w="100" w:type="dxa"/>
              <w:bottom w:w="80" w:type="dxa"/>
              <w:right w:w="100" w:type="dxa"/>
            </w:tcMar>
            <w:vAlign w:val="center"/>
          </w:tcPr>
          <w:p w14:paraId="6B3C86FE">
            <w:pPr>
              <w:spacing w:before="0" w:after="0" w:line="240" w:lineRule="auto"/>
              <w:ind w:left="0"/>
              <w:jc w:val="left"/>
              <w:rPr>
                <w:rFonts w:hint="default" w:ascii="Times New Roman Regular" w:hAnsi="Times New Roman Regular" w:cs="Times New Roman Regular"/>
              </w:rPr>
            </w:pPr>
            <w:r>
              <w:rPr>
                <w:rFonts w:hint="default" w:ascii="Times New Roman Regular" w:hAnsi="Times New Roman Regular" w:cs="Times New Roman Regular"/>
                <w:sz w:val="17"/>
              </w:rPr>
              <w:t>VALIDATE each candidate using schema, route, attribution, source support, numerical integrity, statistical consistency, and safety eligibility checks</w:t>
            </w:r>
          </w:p>
        </w:tc>
      </w:tr>
      <w:tr w14:paraId="23F350BF">
        <w:trPr>
          <w:cantSplit/>
          <w:jc w:val="center"/>
        </w:trPr>
        <w:tc>
          <w:tcPr>
            <w:tcW w:w="691" w:type="dxa"/>
            <w:tcMar>
              <w:top w:w="80" w:type="dxa"/>
              <w:left w:w="100" w:type="dxa"/>
              <w:bottom w:w="80" w:type="dxa"/>
              <w:right w:w="100" w:type="dxa"/>
            </w:tcMar>
            <w:vAlign w:val="center"/>
          </w:tcPr>
          <w:p w14:paraId="7DD9AB3A">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7"/>
              </w:rPr>
              <w:t>14</w:t>
            </w:r>
          </w:p>
        </w:tc>
        <w:tc>
          <w:tcPr>
            <w:tcW w:w="9144" w:type="dxa"/>
            <w:tcMar>
              <w:top w:w="80" w:type="dxa"/>
              <w:left w:w="100" w:type="dxa"/>
              <w:bottom w:w="80" w:type="dxa"/>
              <w:right w:w="100" w:type="dxa"/>
            </w:tcMar>
            <w:vAlign w:val="center"/>
          </w:tcPr>
          <w:p w14:paraId="5CD9D28C">
            <w:pPr>
              <w:spacing w:before="0" w:after="0" w:line="240" w:lineRule="auto"/>
              <w:ind w:left="0"/>
              <w:jc w:val="left"/>
              <w:rPr>
                <w:rFonts w:hint="default" w:ascii="Times New Roman Regular" w:hAnsi="Times New Roman Regular" w:cs="Times New Roman Regular"/>
              </w:rPr>
            </w:pPr>
            <w:r>
              <w:rPr>
                <w:rFonts w:hint="default" w:ascii="Times New Roman Regular" w:hAnsi="Times New Roman Regular" w:cs="Times New Roman Regular"/>
                <w:sz w:val="17"/>
              </w:rPr>
              <w:t xml:space="preserve">ASSIGN </w:t>
            </w:r>
            <w:r>
              <w:rPr>
                <w:rFonts w:hint="default" w:ascii="Times New Roman Regular" w:hAnsi="Times New Roman Regular" w:cs="Times New Roman Regular"/>
                <w:b/>
                <w:sz w:val="17"/>
              </w:rPr>
              <w:t>VERIFIED</w:t>
            </w:r>
            <w:r>
              <w:rPr>
                <w:rFonts w:hint="default" w:ascii="Times New Roman Regular" w:hAnsi="Times New Roman Regular" w:cs="Times New Roman Regular"/>
                <w:sz w:val="17"/>
              </w:rPr>
              <w:t xml:space="preserve">, </w:t>
            </w:r>
            <w:r>
              <w:rPr>
                <w:rFonts w:hint="default" w:ascii="Times New Roman Regular" w:hAnsi="Times New Roman Regular" w:cs="Times New Roman Regular"/>
                <w:b/>
                <w:sz w:val="17"/>
              </w:rPr>
              <w:t>REVIEW REQUIRED</w:t>
            </w:r>
            <w:r>
              <w:rPr>
                <w:rFonts w:hint="default" w:ascii="Times New Roman Regular" w:hAnsi="Times New Roman Regular" w:cs="Times New Roman Regular"/>
                <w:sz w:val="17"/>
              </w:rPr>
              <w:t xml:space="preserve">, or </w:t>
            </w:r>
            <w:r>
              <w:rPr>
                <w:rFonts w:hint="default" w:ascii="Times New Roman Regular" w:hAnsi="Times New Roman Regular" w:cs="Times New Roman Regular"/>
                <w:b/>
                <w:sz w:val="17"/>
              </w:rPr>
              <w:t>EXCLUDED</w:t>
            </w:r>
          </w:p>
        </w:tc>
      </w:tr>
      <w:tr w14:paraId="13FCBC03">
        <w:trPr>
          <w:cantSplit/>
          <w:jc w:val="center"/>
        </w:trPr>
        <w:tc>
          <w:tcPr>
            <w:tcW w:w="691" w:type="dxa"/>
            <w:tcMar>
              <w:top w:w="80" w:type="dxa"/>
              <w:left w:w="100" w:type="dxa"/>
              <w:bottom w:w="80" w:type="dxa"/>
              <w:right w:w="100" w:type="dxa"/>
            </w:tcMar>
            <w:vAlign w:val="center"/>
          </w:tcPr>
          <w:p w14:paraId="30A496DB">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7"/>
              </w:rPr>
              <w:t>15</w:t>
            </w:r>
          </w:p>
        </w:tc>
        <w:tc>
          <w:tcPr>
            <w:tcW w:w="9144" w:type="dxa"/>
            <w:tcMar>
              <w:top w:w="80" w:type="dxa"/>
              <w:left w:w="100" w:type="dxa"/>
              <w:bottom w:w="80" w:type="dxa"/>
              <w:right w:w="100" w:type="dxa"/>
            </w:tcMar>
            <w:vAlign w:val="center"/>
          </w:tcPr>
          <w:p w14:paraId="5786BB3A">
            <w:pPr>
              <w:spacing w:before="0" w:after="0" w:line="240" w:lineRule="auto"/>
              <w:ind w:left="0"/>
              <w:jc w:val="left"/>
              <w:rPr>
                <w:rFonts w:hint="default" w:ascii="Times New Roman Regular" w:hAnsi="Times New Roman Regular" w:cs="Times New Roman Regular"/>
              </w:rPr>
            </w:pPr>
            <w:r>
              <w:rPr>
                <w:rFonts w:hint="default" w:ascii="Times New Roman Regular" w:hAnsi="Times New Roman Regular" w:cs="Times New Roman Regular"/>
                <w:sz w:val="17"/>
              </w:rPr>
              <w:t>PERMIT repair retries only for malformed serialization; do not create new clinical facts</w:t>
            </w:r>
          </w:p>
        </w:tc>
      </w:tr>
      <w:tr w14:paraId="3F117D5E">
        <w:trPr>
          <w:cantSplit/>
          <w:jc w:val="center"/>
        </w:trPr>
        <w:tc>
          <w:tcPr>
            <w:tcW w:w="691" w:type="dxa"/>
            <w:tcMar>
              <w:top w:w="80" w:type="dxa"/>
              <w:left w:w="100" w:type="dxa"/>
              <w:bottom w:w="80" w:type="dxa"/>
              <w:right w:w="100" w:type="dxa"/>
            </w:tcMar>
            <w:vAlign w:val="center"/>
          </w:tcPr>
          <w:p w14:paraId="3D18E9F8">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7"/>
              </w:rPr>
              <w:t>16</w:t>
            </w:r>
          </w:p>
        </w:tc>
        <w:tc>
          <w:tcPr>
            <w:tcW w:w="9144" w:type="dxa"/>
            <w:tcMar>
              <w:top w:w="80" w:type="dxa"/>
              <w:left w:w="100" w:type="dxa"/>
              <w:bottom w:w="80" w:type="dxa"/>
              <w:right w:w="100" w:type="dxa"/>
            </w:tcMar>
            <w:vAlign w:val="center"/>
          </w:tcPr>
          <w:p w14:paraId="3F89F3CC">
            <w:pPr>
              <w:spacing w:before="0" w:after="0" w:line="240" w:lineRule="auto"/>
              <w:ind w:left="0"/>
              <w:jc w:val="left"/>
              <w:rPr>
                <w:rFonts w:hint="default" w:ascii="Times New Roman Regular" w:hAnsi="Times New Roman Regular" w:cs="Times New Roman Regular"/>
              </w:rPr>
            </w:pPr>
            <w:r>
              <w:rPr>
                <w:rFonts w:hint="default" w:ascii="Times New Roman Regular" w:hAnsi="Times New Roman Regular" w:cs="Times New Roman Regular"/>
                <w:sz w:val="17"/>
              </w:rPr>
              <w:t xml:space="preserve">ADD only </w:t>
            </w:r>
            <w:r>
              <w:rPr>
                <w:rFonts w:hint="default" w:ascii="Times New Roman Regular" w:hAnsi="Times New Roman Regular" w:cs="Times New Roman Regular"/>
                <w:b/>
                <w:sz w:val="17"/>
              </w:rPr>
              <w:t>VERIFIED</w:t>
            </w:r>
            <w:r>
              <w:rPr>
                <w:rFonts w:hint="default" w:ascii="Times New Roman Regular" w:hAnsi="Times New Roman Regular" w:cs="Times New Roman Regular"/>
                <w:sz w:val="17"/>
              </w:rPr>
              <w:t xml:space="preserve"> CUs to the CCOH</w:t>
            </w:r>
          </w:p>
        </w:tc>
      </w:tr>
      <w:tr w14:paraId="1A25A0C8">
        <w:trPr>
          <w:cantSplit/>
          <w:jc w:val="center"/>
        </w:trPr>
        <w:tc>
          <w:tcPr>
            <w:tcW w:w="691" w:type="dxa"/>
            <w:tcMar>
              <w:top w:w="80" w:type="dxa"/>
              <w:left w:w="100" w:type="dxa"/>
              <w:bottom w:w="80" w:type="dxa"/>
              <w:right w:w="100" w:type="dxa"/>
            </w:tcMar>
            <w:vAlign w:val="center"/>
          </w:tcPr>
          <w:p w14:paraId="7A79A09B">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7"/>
              </w:rPr>
              <w:t>17</w:t>
            </w:r>
          </w:p>
        </w:tc>
        <w:tc>
          <w:tcPr>
            <w:tcW w:w="9144" w:type="dxa"/>
            <w:tcMar>
              <w:top w:w="80" w:type="dxa"/>
              <w:left w:w="100" w:type="dxa"/>
              <w:bottom w:w="80" w:type="dxa"/>
              <w:right w:w="100" w:type="dxa"/>
            </w:tcMar>
            <w:vAlign w:val="center"/>
          </w:tcPr>
          <w:p w14:paraId="21808C05">
            <w:pPr>
              <w:spacing w:before="0" w:after="0" w:line="240" w:lineRule="auto"/>
              <w:ind w:left="0"/>
              <w:jc w:val="left"/>
              <w:rPr>
                <w:rFonts w:hint="default" w:ascii="Times New Roman Regular" w:hAnsi="Times New Roman Regular" w:cs="Times New Roman Regular"/>
              </w:rPr>
            </w:pPr>
            <w:r>
              <w:rPr>
                <w:rFonts w:hint="default" w:ascii="Times New Roman Regular" w:hAnsi="Times New Roman Regular" w:cs="Times New Roman Regular"/>
                <w:sz w:val="17"/>
              </w:rPr>
              <w:t>ARCHIVE raw output, parsed record, validation decisions, and metric inputs by PMID</w:t>
            </w:r>
          </w:p>
        </w:tc>
      </w:tr>
    </w:tbl>
    <w:p w14:paraId="58960C8F">
      <w:pPr>
        <w:pStyle w:val="2"/>
        <w:bidi w:val="0"/>
        <w:rPr>
          <w:rFonts w:hint="default" w:ascii="Times New Roman Regular" w:hAnsi="Times New Roman Regular" w:cs="Times New Roman Regular" w:eastAsiaTheme="majorEastAsia"/>
          <w:b/>
          <w:bCs/>
          <w:color w:val="4874CB" w:themeColor="accent1"/>
          <w:sz w:val="23"/>
          <w:szCs w:val="26"/>
          <w:lang w:val="en-US" w:eastAsia="zh-CN" w:bidi="ar-SA"/>
          <w14:textFill>
            <w14:solidFill>
              <w14:schemeClr w14:val="accent1"/>
            </w14:solidFill>
          </w14:textFill>
        </w:rPr>
      </w:pPr>
      <w:r>
        <w:rPr>
          <w:rFonts w:hint="default" w:ascii="Times New Roman Regular" w:hAnsi="Times New Roman Regular" w:cs="Times New Roman Regular" w:eastAsiaTheme="majorEastAsia"/>
          <w:b/>
          <w:bCs/>
          <w:color w:val="4874CB" w:themeColor="accent1"/>
          <w:sz w:val="23"/>
          <w:szCs w:val="26"/>
          <w:lang w:val="en-US" w:eastAsia="zh-CN" w:bidi="ar-SA"/>
          <w14:textFill>
            <w14:solidFill>
              <w14:schemeClr w14:val="accent1"/>
            </w14:solidFill>
          </w14:textFill>
        </w:rPr>
        <w:t>2. Evaluation Metrics, Threshold Calibration, and Statistical Analysis</w:t>
      </w:r>
    </w:p>
    <w:p w14:paraId="17E40689">
      <w:pPr>
        <w:pStyle w:val="3"/>
        <w:keepNext/>
        <w:spacing w:after="80"/>
        <w:rPr>
          <w:rFonts w:hint="default" w:ascii="Times New Roman Regular" w:hAnsi="Times New Roman Regular" w:cs="Times New Roman Regular"/>
        </w:rPr>
      </w:pPr>
      <w:r>
        <w:rPr>
          <w:rFonts w:hint="default" w:ascii="Times New Roman Regular" w:hAnsi="Times New Roman Regular" w:cs="Times New Roman Regular"/>
        </w:rPr>
        <w:t>2.1 Evaluation Scope and One-to-One CU Matching</w:t>
      </w:r>
    </w:p>
    <w:p w14:paraId="46654BCF">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Final performance evaluation was conducted only on the 90-publication held-out subset. The gold-standard CU schema and annotation guideline were locked before independent annotation of all 100 publications. After annotation and adjudication were completed, 10 publications were designated as the development and calibration subset. This subset was used before held-out evaluation to finalize model-facing prompt templates and examples, extraction and output-validation rules, structured-output parsing and format, numerical-correctness rules, invalid-output handling, and the evidence-support threshold.</w:t>
      </w:r>
    </w:p>
    <w:p w14:paraId="4D89D031">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After evaluation on the 90-publication subset began, the following elements were not modified:</w:t>
      </w:r>
    </w:p>
    <w:p w14:paraId="618AD9AF">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1. model and deployment configuration;</w:t>
      </w:r>
    </w:p>
    <w:p w14:paraId="2BA71D46">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2. source-use rules;</w:t>
      </w:r>
    </w:p>
    <w:p w14:paraId="4BC86FEB">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3. comparison-structure definitions;</w:t>
      </w:r>
    </w:p>
    <w:p w14:paraId="72711E77">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4. CU-construction rules;</w:t>
      </w:r>
    </w:p>
    <w:p w14:paraId="4566FFFC">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5. field-normalization rules;</w:t>
      </w:r>
    </w:p>
    <w:p w14:paraId="095F016E">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6. one-to-one CU-matching procedure;</w:t>
      </w:r>
    </w:p>
    <w:p w14:paraId="7B37B51C">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7. field-specific numerical-correctness rules;</w:t>
      </w:r>
    </w:p>
    <w:p w14:paraId="4298B842">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8. evidence-support threshold;</w:t>
      </w:r>
    </w:p>
    <w:p w14:paraId="4AF60104">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9. missingness treatment; and</w:t>
      </w:r>
    </w:p>
    <w:p w14:paraId="2CF231F4">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10. metric denominators.</w:t>
      </w:r>
    </w:p>
    <w:p w14:paraId="0355901B">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The complete-corpus extraction was not used as an evaluation reference. Only manually adjudicated gold-standard CUs from the held-out subset were used for final performance calculation.</w:t>
      </w:r>
    </w:p>
    <w:p w14:paraId="12420867">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Predicted CUs and gold-standard CUs were matched only within the same PMID.</w:t>
      </w:r>
    </w:p>
    <w:p w14:paraId="0150BA4E">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Matching did not use:</w:t>
      </w:r>
    </w:p>
    <w:p w14:paraId="796E72A1">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1. comparison_id;</w:t>
      </w:r>
    </w:p>
    <w:p w14:paraId="2ECA9D90">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2. row number;</w:t>
      </w:r>
    </w:p>
    <w:p w14:paraId="4CBEF017">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3. record order;</w:t>
      </w:r>
    </w:p>
    <w:p w14:paraId="4AC28F11">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4. temporary annotation identifiers; or</w:t>
      </w:r>
    </w:p>
    <w:p w14:paraId="465F59D3">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5. complete-corpus CU identifiers.</w:t>
      </w:r>
    </w:p>
    <w:p w14:paraId="5D26B812">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A candidate predicted-gold pair was eligible for matching only when the following elements were compatible:</w:t>
      </w:r>
    </w:p>
    <w:p w14:paraId="0BAA2DED">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1. primary comparison structure;</w:t>
      </w:r>
    </w:p>
    <w:p w14:paraId="1597ABA5">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2. disease or analysis-population context;</w:t>
      </w:r>
    </w:p>
    <w:p w14:paraId="79D29877">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3. intervention strategy;</w:t>
      </w:r>
    </w:p>
    <w:p w14:paraId="1D371F8E">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4. comparator strategy when applicable;</w:t>
      </w:r>
    </w:p>
    <w:p w14:paraId="4947F304">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5. endpoint; and</w:t>
      </w:r>
    </w:p>
    <w:p w14:paraId="0836AABB">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6. reported-result attribution.</w:t>
      </w:r>
    </w:p>
    <w:p w14:paraId="19CCAF28">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b w:val="0"/>
          <w:i w:val="0"/>
        </w:rPr>
        <w:t>Minor lexical differences were normalized according to the prespecified terminology-normalization rules before matching. Clinically distinct treatments, endpoints, populations, analysis methods, or result assignments were not made compatible through normalization.</w:t>
      </w:r>
    </w:p>
    <w:p w14:paraId="36D42ACC">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Eligible candidate pairs were scored using the following six components:</w:t>
      </w:r>
    </w:p>
    <w:p w14:paraId="3E7856E2">
      <w:pPr>
        <w:keepLines/>
        <w:tabs>
          <w:tab w:val="center" w:pos="4680"/>
          <w:tab w:val="right" w:pos="9360"/>
        </w:tabs>
        <w:spacing w:before="60" w:after="80" w:line="259" w:lineRule="auto"/>
        <w:ind w:left="0" w:right="0" w:firstLine="0"/>
        <w:jc w:val="center"/>
        <w:rPr>
          <w:rFonts w:hint="default" w:ascii="Times New Roman Regular" w:hAnsi="Times New Roman Regular" w:eastAsia="宋体" w:cs="Times New Roman Regular"/>
        </w:rPr>
      </w:pPr>
      <w:r>
        <w:tab/>
      </w:r>
      <m:oMath>
        <m:r>
          <m:t>w</m:t>
        </m:r>
        <m:r>
          <m:rPr>
            <m:sty m:val="p"/>
          </m:rPr>
          <m:t>(</m:t>
        </m:r>
        <m:r>
          <m:t>p</m:t>
        </m:r>
        <m:r>
          <m:rPr>
            <m:sty m:val="p"/>
          </m:rPr>
          <m:t>,</m:t>
        </m:r>
        <m:r>
          <m:t>g</m:t>
        </m:r>
        <m:r>
          <m:rPr>
            <m:sty m:val="p"/>
          </m:rPr>
          <m:t>)</m:t>
        </m:r>
        <m:r>
          <m:rPr>
            <m:sty m:val="p"/>
          </m:rPr>
          <m:t>=</m:t>
        </m:r>
        <m:sSub>
          <m:e>
            <m:r>
              <m:t>w</m:t>
            </m:r>
          </m:e>
          <m:sub>
            <m:r>
              <m:t>s</m:t>
            </m:r>
          </m:sub>
        </m:sSub>
        <m:r>
          <m:t>S</m:t>
        </m:r>
        <m:r>
          <m:rPr>
            <m:sty m:val="p"/>
          </m:rPr>
          <m:t>+</m:t>
        </m:r>
        <m:sSub>
          <m:e>
            <m:r>
              <m:t>w</m:t>
            </m:r>
          </m:e>
          <m:sub>
            <m:r>
              <m:t>p</m:t>
            </m:r>
          </m:sub>
        </m:sSub>
        <m:r>
          <m:t>P</m:t>
        </m:r>
        <m:r>
          <m:rPr>
            <m:sty m:val="p"/>
          </m:rPr>
          <m:t>+</m:t>
        </m:r>
        <m:sSub>
          <m:e>
            <m:r>
              <m:t>w</m:t>
            </m:r>
          </m:e>
          <m:sub>
            <m:r>
              <m:t>i</m:t>
            </m:r>
          </m:sub>
        </m:sSub>
        <m:r>
          <m:t>I</m:t>
        </m:r>
        <m:r>
          <m:rPr>
            <m:sty m:val="p"/>
          </m:rPr>
          <m:t>+</m:t>
        </m:r>
        <m:sSub>
          <m:e>
            <m:r>
              <m:t>w</m:t>
            </m:r>
          </m:e>
          <m:sub>
            <m:r>
              <m:t>c</m:t>
            </m:r>
          </m:sub>
        </m:sSub>
        <m:r>
          <m:t>C</m:t>
        </m:r>
        <m:r>
          <m:rPr>
            <m:sty m:val="p"/>
          </m:rPr>
          <m:t>+</m:t>
        </m:r>
        <m:sSub>
          <m:e>
            <m:r>
              <m:t>w</m:t>
            </m:r>
          </m:e>
          <m:sub>
            <m:r>
              <m:t>o</m:t>
            </m:r>
          </m:sub>
        </m:sSub>
        <m:r>
          <m:t>O</m:t>
        </m:r>
        <m:r>
          <m:rPr>
            <m:sty m:val="p"/>
          </m:rPr>
          <m:t>+</m:t>
        </m:r>
        <m:sSub>
          <m:e>
            <m:r>
              <m:t>w</m:t>
            </m:r>
          </m:e>
          <m:sub>
            <m:r>
              <m:t>r</m:t>
            </m:r>
          </m:sub>
        </m:sSub>
        <m:r>
          <m:t>R</m:t>
        </m:r>
      </m:oMath>
      <w:r>
        <w:tab/>
      </w:r>
      <w:r>
        <w:rPr>
          <w:rFonts w:ascii="Times New Roman" w:hAnsi="Times New Roman" w:eastAsia="Times New Roman"/>
        </w:rPr>
        <w:t xml:space="preserve">(Equation 1)</w:t>
      </w:r>
    </w:p>
    <w:p w14:paraId="6A1BAFEB">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where S, P, I, C, O, and R are binary or graded compatibility scores for comparison structure, population, intervention, comparator, outcome, and result attribution. The weights were fixed before held-out evaluation.</w:t>
      </w:r>
    </w:p>
    <w:p w14:paraId="156AB0F6">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A maximum-weight one-to-one bipartite matching was then used within each PMID. Consequently:</w:t>
      </w:r>
    </w:p>
    <w:p w14:paraId="758A69B0">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1. each predicted CU could match at most one gold-standard CU;</w:t>
      </w:r>
    </w:p>
    <w:p w14:paraId="5F02EDFC">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2. each gold-standard CU could match at most one predicted CU;</w:t>
      </w:r>
    </w:p>
    <w:p w14:paraId="453B05AC">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3. unmatched predicted CUs were false positives;</w:t>
      </w:r>
    </w:p>
    <w:p w14:paraId="15E32F6F">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4. unmatched gold-standard CUs were false negatives.</w:t>
      </w:r>
    </w:p>
    <w:p w14:paraId="4EDA8261">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When two assignments had the same total weight, endpoint and result attribution were prioritized, followed by intervention/comparator identity and then a stable deterministic record order.</w:t>
      </w:r>
    </w:p>
    <w:p w14:paraId="2768F6BB">
      <w:pPr>
        <w:pStyle w:val="7"/>
        <w:keepNext/>
        <w:spacing w:after="80"/>
        <w:rPr>
          <w:rFonts w:hint="default" w:ascii="Times New Roman Regular" w:hAnsi="Times New Roman Regular" w:cs="Times New Roman Regular"/>
        </w:rPr>
      </w:pPr>
      <w:r>
        <w:rPr>
          <w:rFonts w:hint="default" w:ascii="Times New Roman Regular" w:hAnsi="Times New Roman Regular" w:cs="Times New Roman Regular"/>
          <w:b/>
        </w:rPr>
        <w:t xml:space="preserve">Table </w:t>
      </w:r>
      <w:r>
        <w:rPr>
          <w:rFonts w:hint="eastAsia" w:ascii="Times New Roman Regular" w:hAnsi="Times New Roman Regular" w:eastAsia="宋体" w:cs="Times New Roman Regular"/>
          <w:b/>
          <w:lang w:val="en-US" w:eastAsia="zh-CN"/>
        </w:rPr>
        <w:t>8</w:t>
      </w:r>
      <w:r>
        <w:rPr>
          <w:rFonts w:hint="default" w:ascii="Times New Roman Regular" w:hAnsi="Times New Roman Regular" w:cs="Times New Roman Regular"/>
          <w:b/>
        </w:rPr>
        <w:t>. CU matching parameters and metric denominators</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9"/>
        <w:gridCol w:w="3389"/>
        <w:gridCol w:w="3389"/>
      </w:tblGrid>
      <w:tr w14:paraId="33E235F8">
        <w:trPr>
          <w:cantSplit/>
          <w:tblHeader/>
          <w:jc w:val="center"/>
        </w:trPr>
        <w:tc>
          <w:tcPr>
            <w:tcW w:w="3389" w:type="dxa"/>
            <w:shd w:val="clear" w:color="auto" w:fill="D9EAF7"/>
            <w:tcMar>
              <w:top w:w="80" w:type="dxa"/>
              <w:left w:w="100" w:type="dxa"/>
              <w:bottom w:w="80" w:type="dxa"/>
              <w:right w:w="100" w:type="dxa"/>
            </w:tcMar>
            <w:vAlign w:val="center"/>
          </w:tcPr>
          <w:p w14:paraId="3D98FBAA">
            <w:pPr>
              <w:spacing w:after="0"/>
              <w:rPr>
                <w:rFonts w:hint="default" w:ascii="Times New Roman Regular" w:hAnsi="Times New Roman Regular" w:cs="Times New Roman Regular"/>
              </w:rPr>
            </w:pPr>
            <w:r>
              <w:rPr>
                <w:rFonts w:hint="default" w:ascii="Times New Roman Regular" w:hAnsi="Times New Roman Regular" w:cs="Times New Roman Regular"/>
                <w:b/>
                <w:sz w:val="17"/>
              </w:rPr>
              <w:t>Parameter</w:t>
            </w:r>
          </w:p>
        </w:tc>
        <w:tc>
          <w:tcPr>
            <w:tcW w:w="3389" w:type="dxa"/>
            <w:shd w:val="clear" w:color="auto" w:fill="D9EAF7"/>
            <w:tcMar>
              <w:top w:w="80" w:type="dxa"/>
              <w:left w:w="100" w:type="dxa"/>
              <w:bottom w:w="80" w:type="dxa"/>
              <w:right w:w="100" w:type="dxa"/>
            </w:tcMar>
            <w:vAlign w:val="center"/>
          </w:tcPr>
          <w:p w14:paraId="7BEC4304">
            <w:pPr>
              <w:spacing w:after="0"/>
              <w:rPr>
                <w:rFonts w:hint="default" w:ascii="Times New Roman Regular" w:hAnsi="Times New Roman Regular" w:cs="Times New Roman Regular"/>
              </w:rPr>
            </w:pPr>
            <w:r>
              <w:rPr>
                <w:rFonts w:hint="default" w:ascii="Times New Roman Regular" w:hAnsi="Times New Roman Regular" w:cs="Times New Roman Regular"/>
                <w:b/>
                <w:sz w:val="17"/>
              </w:rPr>
              <w:t>Frozen value or rule</w:t>
            </w:r>
          </w:p>
        </w:tc>
        <w:tc>
          <w:tcPr>
            <w:tcW w:w="3389" w:type="dxa"/>
            <w:shd w:val="clear" w:color="auto" w:fill="D9EAF7"/>
            <w:tcMar>
              <w:top w:w="80" w:type="dxa"/>
              <w:left w:w="100" w:type="dxa"/>
              <w:bottom w:w="80" w:type="dxa"/>
              <w:right w:w="100" w:type="dxa"/>
            </w:tcMar>
            <w:vAlign w:val="center"/>
          </w:tcPr>
          <w:p w14:paraId="246126D8">
            <w:pPr>
              <w:spacing w:after="0"/>
              <w:rPr>
                <w:rFonts w:hint="default" w:ascii="Times New Roman Regular" w:hAnsi="Times New Roman Regular" w:cs="Times New Roman Regular"/>
              </w:rPr>
            </w:pPr>
            <w:r>
              <w:rPr>
                <w:rFonts w:hint="default" w:ascii="Times New Roman Regular" w:hAnsi="Times New Roman Regular" w:cs="Times New Roman Regular"/>
                <w:b/>
                <w:sz w:val="17"/>
              </w:rPr>
              <w:t>Audit source</w:t>
            </w:r>
          </w:p>
        </w:tc>
      </w:tr>
      <w:tr w14:paraId="3137736E">
        <w:trPr>
          <w:cantSplit/>
          <w:jc w:val="center"/>
        </w:trPr>
        <w:tc>
          <w:tcPr>
            <w:tcW w:w="3389" w:type="dxa"/>
            <w:tcMar>
              <w:top w:w="80" w:type="dxa"/>
              <w:left w:w="100" w:type="dxa"/>
              <w:bottom w:w="80" w:type="dxa"/>
              <w:right w:w="100" w:type="dxa"/>
            </w:tcMar>
            <w:vAlign w:val="center"/>
          </w:tcPr>
          <w:p w14:paraId="76AFBBCE">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Candidate restriction</w:t>
            </w:r>
          </w:p>
        </w:tc>
        <w:tc>
          <w:tcPr>
            <w:tcW w:w="3389" w:type="dxa"/>
            <w:tcMar>
              <w:top w:w="80" w:type="dxa"/>
              <w:left w:w="100" w:type="dxa"/>
              <w:bottom w:w="80" w:type="dxa"/>
              <w:right w:w="100" w:type="dxa"/>
            </w:tcMar>
            <w:vAlign w:val="center"/>
          </w:tcPr>
          <w:p w14:paraId="05883867">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Same PMID</w:t>
            </w:r>
          </w:p>
        </w:tc>
        <w:tc>
          <w:tcPr>
            <w:tcW w:w="3389" w:type="dxa"/>
            <w:tcMar>
              <w:top w:w="80" w:type="dxa"/>
              <w:left w:w="100" w:type="dxa"/>
              <w:bottom w:w="80" w:type="dxa"/>
              <w:right w:w="100" w:type="dxa"/>
            </w:tcMar>
            <w:vAlign w:val="center"/>
          </w:tcPr>
          <w:p w14:paraId="35CECAFF">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Fixed</w:t>
            </w:r>
          </w:p>
        </w:tc>
      </w:tr>
      <w:tr w14:paraId="5DDCBA99">
        <w:trPr>
          <w:cantSplit/>
          <w:jc w:val="center"/>
        </w:trPr>
        <w:tc>
          <w:tcPr>
            <w:tcW w:w="3389" w:type="dxa"/>
            <w:tcMar>
              <w:top w:w="80" w:type="dxa"/>
              <w:left w:w="100" w:type="dxa"/>
              <w:bottom w:w="80" w:type="dxa"/>
              <w:right w:w="100" w:type="dxa"/>
            </w:tcMar>
            <w:vAlign w:val="center"/>
          </w:tcPr>
          <w:p w14:paraId="1D895B82">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Structure weight (ws)</w:t>
            </w:r>
          </w:p>
        </w:tc>
        <w:tc>
          <w:tcPr>
            <w:tcW w:w="3389" w:type="dxa"/>
            <w:tcMar>
              <w:top w:w="80" w:type="dxa"/>
              <w:left w:w="100" w:type="dxa"/>
              <w:bottom w:w="80" w:type="dxa"/>
              <w:right w:w="100" w:type="dxa"/>
            </w:tcMar>
            <w:vAlign w:val="center"/>
          </w:tcPr>
          <w:p w14:paraId="3343BF6A">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0.20</w:t>
            </w:r>
          </w:p>
        </w:tc>
        <w:tc>
          <w:tcPr>
            <w:tcW w:w="3389" w:type="dxa"/>
            <w:tcMar>
              <w:top w:w="80" w:type="dxa"/>
              <w:left w:w="100" w:type="dxa"/>
              <w:bottom w:w="80" w:type="dxa"/>
              <w:right w:w="100" w:type="dxa"/>
            </w:tcMar>
            <w:vAlign w:val="center"/>
          </w:tcPr>
          <w:p w14:paraId="4DCE1B71">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Frozen evaluation specification</w:t>
            </w:r>
          </w:p>
        </w:tc>
      </w:tr>
      <w:tr w14:paraId="7AC92F8A">
        <w:trPr>
          <w:cantSplit/>
          <w:jc w:val="center"/>
        </w:trPr>
        <w:tc>
          <w:tcPr>
            <w:tcW w:w="3389" w:type="dxa"/>
            <w:tcMar>
              <w:top w:w="80" w:type="dxa"/>
              <w:left w:w="100" w:type="dxa"/>
              <w:bottom w:w="80" w:type="dxa"/>
              <w:right w:w="100" w:type="dxa"/>
            </w:tcMar>
            <w:vAlign w:val="center"/>
          </w:tcPr>
          <w:p w14:paraId="75C552DF">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Population weight (wp)</w:t>
            </w:r>
          </w:p>
        </w:tc>
        <w:tc>
          <w:tcPr>
            <w:tcW w:w="3389" w:type="dxa"/>
            <w:tcMar>
              <w:top w:w="80" w:type="dxa"/>
              <w:left w:w="100" w:type="dxa"/>
              <w:bottom w:w="80" w:type="dxa"/>
              <w:right w:w="100" w:type="dxa"/>
            </w:tcMar>
            <w:vAlign w:val="center"/>
          </w:tcPr>
          <w:p w14:paraId="6AC112AF">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0.15</w:t>
            </w:r>
          </w:p>
        </w:tc>
        <w:tc>
          <w:tcPr>
            <w:tcW w:w="3389" w:type="dxa"/>
            <w:tcMar>
              <w:top w:w="80" w:type="dxa"/>
              <w:left w:w="100" w:type="dxa"/>
              <w:bottom w:w="80" w:type="dxa"/>
              <w:right w:w="100" w:type="dxa"/>
            </w:tcMar>
            <w:vAlign w:val="center"/>
          </w:tcPr>
          <w:p w14:paraId="2308D86D">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Frozen evaluation specification</w:t>
            </w:r>
          </w:p>
        </w:tc>
      </w:tr>
      <w:tr w14:paraId="595BD91E">
        <w:trPr>
          <w:cantSplit/>
          <w:jc w:val="center"/>
        </w:trPr>
        <w:tc>
          <w:tcPr>
            <w:tcW w:w="3389" w:type="dxa"/>
            <w:tcMar>
              <w:top w:w="80" w:type="dxa"/>
              <w:left w:w="100" w:type="dxa"/>
              <w:bottom w:w="80" w:type="dxa"/>
              <w:right w:w="100" w:type="dxa"/>
            </w:tcMar>
            <w:vAlign w:val="center"/>
          </w:tcPr>
          <w:p w14:paraId="5484CB53">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Intervention weight (wi)</w:t>
            </w:r>
          </w:p>
        </w:tc>
        <w:tc>
          <w:tcPr>
            <w:tcW w:w="3389" w:type="dxa"/>
            <w:tcMar>
              <w:top w:w="80" w:type="dxa"/>
              <w:left w:w="100" w:type="dxa"/>
              <w:bottom w:w="80" w:type="dxa"/>
              <w:right w:w="100" w:type="dxa"/>
            </w:tcMar>
            <w:vAlign w:val="center"/>
          </w:tcPr>
          <w:p w14:paraId="47D0D78C">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0.20</w:t>
            </w:r>
          </w:p>
        </w:tc>
        <w:tc>
          <w:tcPr>
            <w:tcW w:w="3389" w:type="dxa"/>
            <w:tcMar>
              <w:top w:w="80" w:type="dxa"/>
              <w:left w:w="100" w:type="dxa"/>
              <w:bottom w:w="80" w:type="dxa"/>
              <w:right w:w="100" w:type="dxa"/>
            </w:tcMar>
            <w:vAlign w:val="center"/>
          </w:tcPr>
          <w:p w14:paraId="59C93164">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Frozen evaluation specification</w:t>
            </w:r>
          </w:p>
        </w:tc>
      </w:tr>
      <w:tr w14:paraId="59AF5BC7">
        <w:trPr>
          <w:cantSplit/>
          <w:jc w:val="center"/>
        </w:trPr>
        <w:tc>
          <w:tcPr>
            <w:tcW w:w="3389" w:type="dxa"/>
            <w:tcMar>
              <w:top w:w="80" w:type="dxa"/>
              <w:left w:w="100" w:type="dxa"/>
              <w:bottom w:w="80" w:type="dxa"/>
              <w:right w:w="100" w:type="dxa"/>
            </w:tcMar>
            <w:vAlign w:val="center"/>
          </w:tcPr>
          <w:p w14:paraId="32F37339">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Comparator weight (wc)</w:t>
            </w:r>
          </w:p>
        </w:tc>
        <w:tc>
          <w:tcPr>
            <w:tcW w:w="3389" w:type="dxa"/>
            <w:tcMar>
              <w:top w:w="80" w:type="dxa"/>
              <w:left w:w="100" w:type="dxa"/>
              <w:bottom w:w="80" w:type="dxa"/>
              <w:right w:w="100" w:type="dxa"/>
            </w:tcMar>
            <w:vAlign w:val="center"/>
          </w:tcPr>
          <w:p w14:paraId="43F026AB">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0.15</w:t>
            </w:r>
          </w:p>
        </w:tc>
        <w:tc>
          <w:tcPr>
            <w:tcW w:w="3389" w:type="dxa"/>
            <w:tcMar>
              <w:top w:w="80" w:type="dxa"/>
              <w:left w:w="100" w:type="dxa"/>
              <w:bottom w:w="80" w:type="dxa"/>
              <w:right w:w="100" w:type="dxa"/>
            </w:tcMar>
            <w:vAlign w:val="center"/>
          </w:tcPr>
          <w:p w14:paraId="518A267D">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Frozen evaluation specification</w:t>
            </w:r>
          </w:p>
        </w:tc>
      </w:tr>
      <w:tr w14:paraId="7E46BED5">
        <w:trPr>
          <w:cantSplit/>
          <w:jc w:val="center"/>
        </w:trPr>
        <w:tc>
          <w:tcPr>
            <w:tcW w:w="3389" w:type="dxa"/>
            <w:tcMar>
              <w:top w:w="80" w:type="dxa"/>
              <w:left w:w="100" w:type="dxa"/>
              <w:bottom w:w="80" w:type="dxa"/>
              <w:right w:w="100" w:type="dxa"/>
            </w:tcMar>
            <w:vAlign w:val="center"/>
          </w:tcPr>
          <w:p w14:paraId="21BD6A35">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Outcome weight (wo)</w:t>
            </w:r>
          </w:p>
        </w:tc>
        <w:tc>
          <w:tcPr>
            <w:tcW w:w="3389" w:type="dxa"/>
            <w:tcMar>
              <w:top w:w="80" w:type="dxa"/>
              <w:left w:w="100" w:type="dxa"/>
              <w:bottom w:w="80" w:type="dxa"/>
              <w:right w:w="100" w:type="dxa"/>
            </w:tcMar>
            <w:vAlign w:val="center"/>
          </w:tcPr>
          <w:p w14:paraId="48066BDC">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0.20</w:t>
            </w:r>
          </w:p>
        </w:tc>
        <w:tc>
          <w:tcPr>
            <w:tcW w:w="3389" w:type="dxa"/>
            <w:tcMar>
              <w:top w:w="80" w:type="dxa"/>
              <w:left w:w="100" w:type="dxa"/>
              <w:bottom w:w="80" w:type="dxa"/>
              <w:right w:w="100" w:type="dxa"/>
            </w:tcMar>
            <w:vAlign w:val="center"/>
          </w:tcPr>
          <w:p w14:paraId="113E86F8">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Frozen evaluation specification</w:t>
            </w:r>
          </w:p>
        </w:tc>
      </w:tr>
      <w:tr w14:paraId="42B6CE36">
        <w:trPr>
          <w:cantSplit/>
          <w:jc w:val="center"/>
        </w:trPr>
        <w:tc>
          <w:tcPr>
            <w:tcW w:w="3389" w:type="dxa"/>
            <w:tcMar>
              <w:top w:w="80" w:type="dxa"/>
              <w:left w:w="100" w:type="dxa"/>
              <w:bottom w:w="80" w:type="dxa"/>
              <w:right w:w="100" w:type="dxa"/>
            </w:tcMar>
            <w:vAlign w:val="center"/>
          </w:tcPr>
          <w:p w14:paraId="6F3B531E">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Result weight (wr)</w:t>
            </w:r>
          </w:p>
        </w:tc>
        <w:tc>
          <w:tcPr>
            <w:tcW w:w="3389" w:type="dxa"/>
            <w:tcMar>
              <w:top w:w="80" w:type="dxa"/>
              <w:left w:w="100" w:type="dxa"/>
              <w:bottom w:w="80" w:type="dxa"/>
              <w:right w:w="100" w:type="dxa"/>
            </w:tcMar>
            <w:vAlign w:val="center"/>
          </w:tcPr>
          <w:p w14:paraId="1C41EC07">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0.10</w:t>
            </w:r>
          </w:p>
        </w:tc>
        <w:tc>
          <w:tcPr>
            <w:tcW w:w="3389" w:type="dxa"/>
            <w:tcMar>
              <w:top w:w="80" w:type="dxa"/>
              <w:left w:w="100" w:type="dxa"/>
              <w:bottom w:w="80" w:type="dxa"/>
              <w:right w:w="100" w:type="dxa"/>
            </w:tcMar>
            <w:vAlign w:val="center"/>
          </w:tcPr>
          <w:p w14:paraId="4F324C54">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Frozen evaluation specification</w:t>
            </w:r>
          </w:p>
        </w:tc>
      </w:tr>
      <w:tr w14:paraId="11CE1945">
        <w:trPr>
          <w:cantSplit/>
          <w:jc w:val="center"/>
        </w:trPr>
        <w:tc>
          <w:tcPr>
            <w:tcW w:w="3389" w:type="dxa"/>
            <w:tcMar>
              <w:top w:w="80" w:type="dxa"/>
              <w:left w:w="100" w:type="dxa"/>
              <w:bottom w:w="80" w:type="dxa"/>
              <w:right w:w="100" w:type="dxa"/>
            </w:tcMar>
            <w:vAlign w:val="center"/>
          </w:tcPr>
          <w:p w14:paraId="24D3E0BB">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Eligibility threshold</w:t>
            </w:r>
          </w:p>
        </w:tc>
        <w:tc>
          <w:tcPr>
            <w:tcW w:w="3389" w:type="dxa"/>
            <w:tcMar>
              <w:top w:w="80" w:type="dxa"/>
              <w:left w:w="100" w:type="dxa"/>
              <w:bottom w:w="80" w:type="dxa"/>
              <w:right w:w="100" w:type="dxa"/>
            </w:tcMar>
            <w:vAlign w:val="center"/>
          </w:tcPr>
          <w:p w14:paraId="40526421">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0.80</w:t>
            </w:r>
          </w:p>
        </w:tc>
        <w:tc>
          <w:tcPr>
            <w:tcW w:w="3389" w:type="dxa"/>
            <w:tcMar>
              <w:top w:w="80" w:type="dxa"/>
              <w:left w:w="100" w:type="dxa"/>
              <w:bottom w:w="80" w:type="dxa"/>
              <w:right w:w="100" w:type="dxa"/>
            </w:tcMar>
            <w:vAlign w:val="center"/>
          </w:tcPr>
          <w:p w14:paraId="1EB592DF">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Prespecified before final scoring</w:t>
            </w:r>
          </w:p>
        </w:tc>
      </w:tr>
      <w:tr w14:paraId="34FBD5CD">
        <w:trPr>
          <w:cantSplit/>
          <w:jc w:val="center"/>
        </w:trPr>
        <w:tc>
          <w:tcPr>
            <w:tcW w:w="3389" w:type="dxa"/>
            <w:tcMar>
              <w:top w:w="80" w:type="dxa"/>
              <w:left w:w="100" w:type="dxa"/>
              <w:bottom w:w="80" w:type="dxa"/>
              <w:right w:w="100" w:type="dxa"/>
            </w:tcMar>
            <w:vAlign w:val="center"/>
          </w:tcPr>
          <w:p w14:paraId="6A042C65">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Tie handling</w:t>
            </w:r>
          </w:p>
        </w:tc>
        <w:tc>
          <w:tcPr>
            <w:tcW w:w="3389" w:type="dxa"/>
            <w:tcMar>
              <w:top w:w="80" w:type="dxa"/>
              <w:left w:w="100" w:type="dxa"/>
              <w:bottom w:w="80" w:type="dxa"/>
              <w:right w:w="100" w:type="dxa"/>
            </w:tcMar>
            <w:vAlign w:val="center"/>
          </w:tcPr>
          <w:p w14:paraId="09A9532A">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Prefer outcome and arm-role agreement; unresolved ties undergo blinded content review</w:t>
            </w:r>
          </w:p>
        </w:tc>
        <w:tc>
          <w:tcPr>
            <w:tcW w:w="3389" w:type="dxa"/>
            <w:tcMar>
              <w:top w:w="80" w:type="dxa"/>
              <w:left w:w="100" w:type="dxa"/>
              <w:bottom w:w="80" w:type="dxa"/>
              <w:right w:w="100" w:type="dxa"/>
            </w:tcMar>
            <w:vAlign w:val="center"/>
          </w:tcPr>
          <w:p w14:paraId="2108BD15">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Deterministic rule followed by review</w:t>
            </w:r>
          </w:p>
        </w:tc>
      </w:tr>
      <w:tr w14:paraId="7DDAD4A9">
        <w:trPr>
          <w:cantSplit/>
          <w:jc w:val="center"/>
        </w:trPr>
        <w:tc>
          <w:tcPr>
            <w:tcW w:w="3389" w:type="dxa"/>
            <w:tcMar>
              <w:top w:w="80" w:type="dxa"/>
              <w:left w:w="100" w:type="dxa"/>
              <w:bottom w:w="80" w:type="dxa"/>
              <w:right w:w="100" w:type="dxa"/>
            </w:tcMar>
            <w:vAlign w:val="center"/>
          </w:tcPr>
          <w:p w14:paraId="0E6C70E4">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Matching algorithm</w:t>
            </w:r>
          </w:p>
        </w:tc>
        <w:tc>
          <w:tcPr>
            <w:tcW w:w="3389" w:type="dxa"/>
            <w:tcMar>
              <w:top w:w="80" w:type="dxa"/>
              <w:left w:w="100" w:type="dxa"/>
              <w:bottom w:w="80" w:type="dxa"/>
              <w:right w:w="100" w:type="dxa"/>
            </w:tcMar>
            <w:vAlign w:val="center"/>
          </w:tcPr>
          <w:p w14:paraId="1AC04B73">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Maximum-weight one-to-one bipartite assignment within PMID</w:t>
            </w:r>
          </w:p>
        </w:tc>
        <w:tc>
          <w:tcPr>
            <w:tcW w:w="3389" w:type="dxa"/>
            <w:tcMar>
              <w:top w:w="80" w:type="dxa"/>
              <w:left w:w="100" w:type="dxa"/>
              <w:bottom w:w="80" w:type="dxa"/>
              <w:right w:w="100" w:type="dxa"/>
            </w:tcMar>
            <w:vAlign w:val="center"/>
          </w:tcPr>
          <w:p w14:paraId="5BC62E14">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Python implementation; pair archive retained</w:t>
            </w:r>
          </w:p>
        </w:tc>
      </w:tr>
      <w:tr w14:paraId="40850FA5">
        <w:trPr>
          <w:cantSplit/>
          <w:jc w:val="center"/>
        </w:trPr>
        <w:tc>
          <w:tcPr>
            <w:tcW w:w="3389" w:type="dxa"/>
            <w:tcMar>
              <w:top w:w="80" w:type="dxa"/>
              <w:left w:w="100" w:type="dxa"/>
              <w:bottom w:w="80" w:type="dxa"/>
              <w:right w:w="100" w:type="dxa"/>
            </w:tcMar>
            <w:vAlign w:val="center"/>
          </w:tcPr>
          <w:p w14:paraId="77F585F2">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Single-arm comparator</w:t>
            </w:r>
          </w:p>
        </w:tc>
        <w:tc>
          <w:tcPr>
            <w:tcW w:w="3389" w:type="dxa"/>
            <w:tcMar>
              <w:top w:w="80" w:type="dxa"/>
              <w:left w:w="100" w:type="dxa"/>
              <w:bottom w:w="80" w:type="dxa"/>
              <w:right w:w="100" w:type="dxa"/>
            </w:tcMar>
            <w:vAlign w:val="center"/>
          </w:tcPr>
          <w:p w14:paraId="3E41FC45">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Excluded from comparator scoring when structurally not applicable</w:t>
            </w:r>
          </w:p>
        </w:tc>
        <w:tc>
          <w:tcPr>
            <w:tcW w:w="3389" w:type="dxa"/>
            <w:tcMar>
              <w:top w:w="80" w:type="dxa"/>
              <w:left w:w="100" w:type="dxa"/>
              <w:bottom w:w="80" w:type="dxa"/>
              <w:right w:w="100" w:type="dxa"/>
            </w:tcMar>
            <w:vAlign w:val="center"/>
          </w:tcPr>
          <w:p w14:paraId="6FE4DAA7">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Must match code</w:t>
            </w:r>
          </w:p>
        </w:tc>
      </w:tr>
      <w:tr w14:paraId="4F5A4F49">
        <w:trPr>
          <w:cantSplit/>
          <w:jc w:val="center"/>
        </w:trPr>
        <w:tc>
          <w:tcPr>
            <w:tcW w:w="3389" w:type="dxa"/>
            <w:tcMar>
              <w:top w:w="80" w:type="dxa"/>
              <w:left w:w="100" w:type="dxa"/>
              <w:bottom w:w="80" w:type="dxa"/>
              <w:right w:w="100" w:type="dxa"/>
            </w:tcMar>
            <w:vAlign w:val="center"/>
          </w:tcPr>
          <w:p w14:paraId="0B546795">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CU Detection F1 denominator</w:t>
            </w:r>
          </w:p>
        </w:tc>
        <w:tc>
          <w:tcPr>
            <w:tcW w:w="3389" w:type="dxa"/>
            <w:tcMar>
              <w:top w:w="80" w:type="dxa"/>
              <w:left w:w="100" w:type="dxa"/>
              <w:bottom w:w="80" w:type="dxa"/>
              <w:right w:w="100" w:type="dxa"/>
            </w:tcMar>
            <w:vAlign w:val="center"/>
          </w:tcPr>
          <w:p w14:paraId="69604C30">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Gold and predicted CUs in the 90-publication held-out evaluation set</w:t>
            </w:r>
          </w:p>
        </w:tc>
        <w:tc>
          <w:tcPr>
            <w:tcW w:w="3389" w:type="dxa"/>
            <w:tcMar>
              <w:top w:w="80" w:type="dxa"/>
              <w:left w:w="100" w:type="dxa"/>
              <w:bottom w:w="80" w:type="dxa"/>
              <w:right w:w="100" w:type="dxa"/>
            </w:tcMar>
            <w:vAlign w:val="center"/>
          </w:tcPr>
          <w:p w14:paraId="4F8DC0E9">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PMID-stratified reporting</w:t>
            </w:r>
          </w:p>
        </w:tc>
      </w:tr>
      <w:tr w14:paraId="32000543">
        <w:trPr>
          <w:cantSplit/>
          <w:jc w:val="center"/>
        </w:trPr>
        <w:tc>
          <w:tcPr>
            <w:tcW w:w="3389" w:type="dxa"/>
            <w:tcMar>
              <w:top w:w="80" w:type="dxa"/>
              <w:left w:w="100" w:type="dxa"/>
              <w:bottom w:w="80" w:type="dxa"/>
              <w:right w:w="100" w:type="dxa"/>
            </w:tcMar>
            <w:vAlign w:val="center"/>
          </w:tcPr>
          <w:p w14:paraId="0FBEBA27">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Field metric denominator</w:t>
            </w:r>
          </w:p>
        </w:tc>
        <w:tc>
          <w:tcPr>
            <w:tcW w:w="3389" w:type="dxa"/>
            <w:tcMar>
              <w:top w:w="80" w:type="dxa"/>
              <w:left w:w="100" w:type="dxa"/>
              <w:bottom w:w="80" w:type="dxa"/>
              <w:right w:w="100" w:type="dxa"/>
            </w:tcMar>
            <w:vAlign w:val="center"/>
          </w:tcPr>
          <w:p w14:paraId="60B7AA80">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Assessable fields within matched CUs</w:t>
            </w:r>
          </w:p>
        </w:tc>
        <w:tc>
          <w:tcPr>
            <w:tcW w:w="3389" w:type="dxa"/>
            <w:tcMar>
              <w:top w:w="80" w:type="dxa"/>
              <w:left w:w="100" w:type="dxa"/>
              <w:bottom w:w="80" w:type="dxa"/>
              <w:right w:w="100" w:type="dxa"/>
            </w:tcMar>
            <w:vAlign w:val="center"/>
          </w:tcPr>
          <w:p w14:paraId="43802C60">
            <w:pPr>
              <w:spacing w:after="0"/>
              <w:rPr>
                <w:rFonts w:hint="default" w:ascii="Times New Roman Regular" w:hAnsi="Times New Roman Regular" w:cs="Times New Roman Regular"/>
              </w:rPr>
            </w:pPr>
            <w:r>
              <w:rPr>
                <w:rFonts w:hint="default" w:ascii="Times New Roman Regular" w:hAnsi="Times New Roman Regular" w:cs="Times New Roman Regular"/>
                <w:sz w:val="17"/>
              </w:rPr>
              <w:t>Prespecified missing-state rules</w:t>
            </w:r>
          </w:p>
        </w:tc>
      </w:tr>
    </w:tbl>
    <w:p w14:paraId="60051E17">
      <w:pPr>
        <w:pStyle w:val="3"/>
        <w:keepNext/>
        <w:spacing w:after="80"/>
        <w:rPr>
          <w:rFonts w:hint="default" w:ascii="Times New Roman Regular" w:hAnsi="Times New Roman Regular" w:cs="Times New Roman Regular"/>
        </w:rPr>
      </w:pPr>
      <w:r>
        <w:rPr>
          <w:rFonts w:hint="default" w:ascii="Times New Roman Regular" w:hAnsi="Times New Roman Regular" w:cs="Times New Roman Regular"/>
        </w:rPr>
        <w:t>2.2 CU, Unit, Numerical, and Evidence Metrics</w:t>
      </w:r>
    </w:p>
    <w:p w14:paraId="29F550E1">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b w:val="0"/>
          <w:i w:val="0"/>
        </w:rPr>
        <w:t xml:space="preserve">Let </w:t>
      </w:r>
      <m:oMath>
        <m:sSub>
          <m:sSubPr>
            <m:ctrlPr>
              <w:rPr>
                <w:rFonts w:hint="default" w:ascii="DejaVu Math TeX Gyre" w:hAnsi="DejaVu Math TeX Gyre" w:cs="Times New Roman Regular"/>
              </w:rPr>
            </m:ctrlPr>
          </m:sSubPr>
          <m:e>
            <m:r>
              <m:rPr>
                <m:nor/>
              </m:rPr>
              <w:rPr>
                <w:rFonts w:hint="default" w:ascii="DejaVu Math TeX Gyre" w:hAnsi="DejaVu Math TeX Gyre" w:cs="Times New Roman Regular"/>
                <w:i/>
              </w:rPr>
              <m:t>TP</m:t>
            </m:r>
            <m:ctrlPr>
              <w:rPr>
                <w:rFonts w:hint="default" w:ascii="DejaVu Math TeX Gyre" w:hAnsi="DejaVu Math TeX Gyre" w:cs="Times New Roman Regular"/>
              </w:rPr>
            </m:ctrlPr>
          </m:e>
          <m:sub>
            <m:r>
              <m:rPr>
                <m:nor/>
              </m:rPr>
              <w:rPr>
                <w:rFonts w:hint="default" w:ascii="DejaVu Math TeX Gyre" w:hAnsi="DejaVu Math TeX Gyre" w:cs="Times New Roman Regular"/>
                <w:i/>
              </w:rPr>
              <m:t>CU</m:t>
            </m:r>
            <m:ctrlPr>
              <w:rPr>
                <w:rFonts w:hint="default" w:ascii="DejaVu Math TeX Gyre" w:hAnsi="DejaVu Math TeX Gyre" w:cs="Times New Roman Regular"/>
              </w:rPr>
            </m:ctrlPr>
          </m:sub>
        </m:sSub>
      </m:oMath>
      <w:r>
        <w:rPr>
          <w:rFonts w:hint="default" w:ascii="Times New Roman Regular" w:hAnsi="Times New Roman Regular" w:cs="Times New Roman Regular"/>
          <w:b w:val="0"/>
          <w:i w:val="0"/>
        </w:rPr>
        <w:t xml:space="preserve"> denote matched CU pairs, </w:t>
      </w:r>
      <m:oMath>
        <m:sSub>
          <m:sSubPr>
            <m:ctrlPr>
              <w:rPr>
                <w:rFonts w:hint="default" w:ascii="DejaVu Math TeX Gyre" w:hAnsi="DejaVu Math TeX Gyre" w:cs="Times New Roman Regular"/>
              </w:rPr>
            </m:ctrlPr>
          </m:sSubPr>
          <m:e>
            <m:r>
              <m:rPr>
                <m:nor/>
              </m:rPr>
              <w:rPr>
                <w:rFonts w:hint="default" w:ascii="DejaVu Math TeX Gyre" w:hAnsi="DejaVu Math TeX Gyre" w:cs="Times New Roman Regular"/>
                <w:i/>
              </w:rPr>
              <m:t>FP</m:t>
            </m:r>
            <m:ctrlPr>
              <w:rPr>
                <w:rFonts w:hint="default" w:ascii="DejaVu Math TeX Gyre" w:hAnsi="DejaVu Math TeX Gyre" w:cs="Times New Roman Regular"/>
              </w:rPr>
            </m:ctrlPr>
          </m:e>
          <m:sub>
            <m:r>
              <m:rPr>
                <m:nor/>
              </m:rPr>
              <w:rPr>
                <w:rFonts w:hint="default" w:ascii="DejaVu Math TeX Gyre" w:hAnsi="DejaVu Math TeX Gyre" w:cs="Times New Roman Regular"/>
                <w:i/>
              </w:rPr>
              <m:t>CU</m:t>
            </m:r>
            <m:ctrlPr>
              <w:rPr>
                <w:rFonts w:hint="default" w:ascii="DejaVu Math TeX Gyre" w:hAnsi="DejaVu Math TeX Gyre" w:cs="Times New Roman Regular"/>
              </w:rPr>
            </m:ctrlPr>
          </m:sub>
        </m:sSub>
      </m:oMath>
      <w:r>
        <w:rPr>
          <w:rFonts w:hint="default" w:ascii="Times New Roman Regular" w:hAnsi="Times New Roman Regular" w:cs="Times New Roman Regular"/>
          <w:b w:val="0"/>
          <w:i w:val="0"/>
        </w:rPr>
        <w:t xml:space="preserve"> unmatched predicted CUs, and </w:t>
      </w:r>
      <m:oMath>
        <m:sSub>
          <m:sSubPr>
            <m:ctrlPr>
              <w:rPr>
                <w:rFonts w:hint="default" w:ascii="DejaVu Math TeX Gyre" w:hAnsi="DejaVu Math TeX Gyre" w:cs="Times New Roman Regular"/>
              </w:rPr>
            </m:ctrlPr>
          </m:sSubPr>
          <m:e>
            <m:r>
              <m:rPr>
                <m:nor/>
              </m:rPr>
              <w:rPr>
                <w:rFonts w:hint="default" w:ascii="DejaVu Math TeX Gyre" w:hAnsi="DejaVu Math TeX Gyre" w:cs="Times New Roman Regular"/>
                <w:i/>
              </w:rPr>
              <m:t>FN</m:t>
            </m:r>
            <m:ctrlPr>
              <w:rPr>
                <w:rFonts w:hint="default" w:ascii="DejaVu Math TeX Gyre" w:hAnsi="DejaVu Math TeX Gyre" w:cs="Times New Roman Regular"/>
              </w:rPr>
            </m:ctrlPr>
          </m:e>
          <m:sub>
            <m:r>
              <m:rPr>
                <m:nor/>
              </m:rPr>
              <w:rPr>
                <w:rFonts w:hint="default" w:ascii="DejaVu Math TeX Gyre" w:hAnsi="DejaVu Math TeX Gyre" w:cs="Times New Roman Regular"/>
                <w:i/>
              </w:rPr>
              <m:t>CU</m:t>
            </m:r>
            <m:ctrlPr>
              <w:rPr>
                <w:rFonts w:hint="default" w:ascii="DejaVu Math TeX Gyre" w:hAnsi="DejaVu Math TeX Gyre" w:cs="Times New Roman Regular"/>
              </w:rPr>
            </m:ctrlPr>
          </m:sub>
        </m:sSub>
      </m:oMath>
      <w:r>
        <w:rPr>
          <w:rFonts w:hint="default" w:ascii="Times New Roman Regular" w:hAnsi="Times New Roman Regular" w:cs="Times New Roman Regular"/>
          <w:b w:val="0"/>
          <w:i w:val="0"/>
        </w:rPr>
        <w:t xml:space="preserve"> unmatched gold-standard CUs.</w:t>
      </w:r>
    </w:p>
    <w:p w14:paraId="5A2E85D2">
      <w:pPr>
        <w:keepLines/>
        <w:tabs>
          <w:tab w:val="center" w:pos="4680"/>
          <w:tab w:val="right" w:pos="9360"/>
        </w:tabs>
        <w:spacing w:before="60" w:after="80" w:line="259" w:lineRule="auto"/>
        <w:ind w:left="0" w:right="0" w:firstLine="0"/>
        <w:jc w:val="center"/>
        <w:rPr>
          <w:rFonts w:hint="default" w:ascii="Times New Roman Regular" w:hAnsi="Times New Roman Regular" w:eastAsia="宋体" w:cs="Times New Roman Regular"/>
        </w:rPr>
      </w:pPr>
      <w:r>
        <w:tab/>
      </w:r>
      <m:oMath>
        <m:sSub>
          <m:e>
            <m:r>
              <m:t>P</m:t>
            </m:r>
          </m:e>
          <m:sub>
            <m:r>
              <m:t>C</m:t>
            </m:r>
            <m:r>
              <m:t>U</m:t>
            </m:r>
          </m:sub>
        </m:sSub>
        <m:r>
          <m:rPr>
            <m:sty m:val="p"/>
          </m:rPr>
          <m:t>=</m:t>
        </m:r>
        <m:f>
          <m:fPr>
            <m:type m:val="bar"/>
          </m:fPr>
          <m:num>
            <m:r>
              <m:t>T</m:t>
            </m:r>
            <m:sSub>
              <m:e>
                <m:r>
                  <m:t>P</m:t>
                </m:r>
              </m:e>
              <m:sub>
                <m:r>
                  <m:t>C</m:t>
                </m:r>
                <m:r>
                  <m:t>U</m:t>
                </m:r>
              </m:sub>
            </m:sSub>
          </m:num>
          <m:den>
            <m:r>
              <m:t>T</m:t>
            </m:r>
            <m:sSub>
              <m:e>
                <m:r>
                  <m:t>P</m:t>
                </m:r>
              </m:e>
              <m:sub>
                <m:r>
                  <m:t>C</m:t>
                </m:r>
                <m:r>
                  <m:t>U</m:t>
                </m:r>
              </m:sub>
            </m:sSub>
            <m:r>
              <m:rPr>
                <m:sty m:val="p"/>
              </m:rPr>
              <m:t>+</m:t>
            </m:r>
            <m:r>
              <m:t>F</m:t>
            </m:r>
            <m:sSub>
              <m:e>
                <m:r>
                  <m:t>P</m:t>
                </m:r>
              </m:e>
              <m:sub>
                <m:r>
                  <m:t>C</m:t>
                </m:r>
                <m:r>
                  <m:t>U</m:t>
                </m:r>
              </m:sub>
            </m:sSub>
          </m:den>
        </m:f>
      </m:oMath>
      <w:r>
        <w:tab/>
      </w:r>
      <w:r>
        <w:rPr>
          <w:rFonts w:ascii="Times New Roman" w:hAnsi="Times New Roman" w:eastAsia="Times New Roman"/>
        </w:rPr>
        <w:t xml:space="preserve">(Equation 2)</w:t>
      </w:r>
    </w:p>
    <w:p w14:paraId="6F3CD75A">
      <w:pPr>
        <w:keepLines/>
        <w:tabs>
          <w:tab w:val="center" w:pos="4680"/>
          <w:tab w:val="right" w:pos="9360"/>
        </w:tabs>
        <w:spacing w:before="60" w:after="80" w:line="259" w:lineRule="auto"/>
        <w:ind w:left="0" w:right="0" w:firstLine="0"/>
        <w:jc w:val="center"/>
        <w:rPr>
          <w:rFonts w:hint="default" w:ascii="Times New Roman Regular" w:hAnsi="Times New Roman Regular" w:eastAsia="宋体" w:cs="Times New Roman Regular"/>
        </w:rPr>
      </w:pPr>
      <w:r>
        <w:tab/>
      </w:r>
      <m:oMath>
        <m:sSub>
          <m:e>
            <m:r>
              <m:t>R</m:t>
            </m:r>
          </m:e>
          <m:sub>
            <m:r>
              <m:t>C</m:t>
            </m:r>
            <m:r>
              <m:t>U</m:t>
            </m:r>
          </m:sub>
        </m:sSub>
        <m:r>
          <m:rPr>
            <m:sty m:val="p"/>
          </m:rPr>
          <m:t>=</m:t>
        </m:r>
        <m:f>
          <m:fPr>
            <m:type m:val="bar"/>
          </m:fPr>
          <m:num>
            <m:r>
              <m:t>T</m:t>
            </m:r>
            <m:sSub>
              <m:e>
                <m:r>
                  <m:t>P</m:t>
                </m:r>
              </m:e>
              <m:sub>
                <m:r>
                  <m:t>C</m:t>
                </m:r>
                <m:r>
                  <m:t>U</m:t>
                </m:r>
              </m:sub>
            </m:sSub>
          </m:num>
          <m:den>
            <m:r>
              <m:t>T</m:t>
            </m:r>
            <m:sSub>
              <m:e>
                <m:r>
                  <m:t>P</m:t>
                </m:r>
              </m:e>
              <m:sub>
                <m:r>
                  <m:t>C</m:t>
                </m:r>
                <m:r>
                  <m:t>U</m:t>
                </m:r>
              </m:sub>
            </m:sSub>
            <m:r>
              <m:rPr>
                <m:sty m:val="p"/>
              </m:rPr>
              <m:t>+</m:t>
            </m:r>
            <m:r>
              <m:t>F</m:t>
            </m:r>
            <m:sSub>
              <m:e>
                <m:r>
                  <m:t>N</m:t>
                </m:r>
              </m:e>
              <m:sub>
                <m:r>
                  <m:t>C</m:t>
                </m:r>
                <m:r>
                  <m:t>U</m:t>
                </m:r>
              </m:sub>
            </m:sSub>
          </m:den>
        </m:f>
      </m:oMath>
      <w:r>
        <w:tab/>
      </w:r>
      <w:r>
        <w:rPr>
          <w:rFonts w:ascii="Times New Roman" w:hAnsi="Times New Roman" w:eastAsia="Times New Roman"/>
        </w:rPr>
        <w:t xml:space="preserve">(Equation 3)</w:t>
      </w:r>
    </w:p>
    <w:p w14:paraId="56678B44">
      <w:pPr>
        <w:keepLines/>
        <w:tabs>
          <w:tab w:val="center" w:pos="4680"/>
          <w:tab w:val="right" w:pos="9360"/>
        </w:tabs>
        <w:spacing w:before="60" w:after="80" w:line="259" w:lineRule="auto"/>
        <w:ind w:left="0" w:right="0" w:firstLine="0"/>
        <w:jc w:val="center"/>
        <w:rPr>
          <w:rFonts w:hint="default" w:ascii="Times New Roman Regular" w:hAnsi="Times New Roman Regular" w:eastAsia="宋体" w:cs="Times New Roman Regular"/>
        </w:rPr>
      </w:pPr>
      <w:r>
        <w:tab/>
      </w:r>
      <m:oMath>
        <m:r>
          <m:t>F</m:t>
        </m:r>
        <m:sSub>
          <m:e>
            <m:r>
              <m:t>1</m:t>
            </m:r>
          </m:e>
          <m:sub>
            <m:r>
              <m:t>C</m:t>
            </m:r>
            <m:r>
              <m:t>U</m:t>
            </m:r>
          </m:sub>
        </m:sSub>
        <m:r>
          <m:rPr>
            <m:sty m:val="p"/>
          </m:rPr>
          <m:t>=</m:t>
        </m:r>
        <m:f>
          <m:fPr>
            <m:type m:val="bar"/>
          </m:fPr>
          <m:num>
            <m:r>
              <m:t>2</m:t>
            </m:r>
            <m:sSub>
              <m:e>
                <m:r>
                  <m:t>P</m:t>
                </m:r>
              </m:e>
              <m:sub>
                <m:r>
                  <m:t>C</m:t>
                </m:r>
                <m:r>
                  <m:t>U</m:t>
                </m:r>
              </m:sub>
            </m:sSub>
            <m:sSub>
              <m:e>
                <m:r>
                  <m:t>R</m:t>
                </m:r>
              </m:e>
              <m:sub>
                <m:r>
                  <m:t>C</m:t>
                </m:r>
                <m:r>
                  <m:t>U</m:t>
                </m:r>
              </m:sub>
            </m:sSub>
          </m:num>
          <m:den>
            <m:sSub>
              <m:e>
                <m:r>
                  <m:t>P</m:t>
                </m:r>
              </m:e>
              <m:sub>
                <m:r>
                  <m:t>C</m:t>
                </m:r>
                <m:r>
                  <m:t>U</m:t>
                </m:r>
              </m:sub>
            </m:sSub>
            <m:r>
              <m:rPr>
                <m:sty m:val="p"/>
              </m:rPr>
              <m:t>+</m:t>
            </m:r>
            <m:sSub>
              <m:e>
                <m:r>
                  <m:t>R</m:t>
                </m:r>
              </m:e>
              <m:sub>
                <m:r>
                  <m:t>C</m:t>
                </m:r>
                <m:r>
                  <m:t>U</m:t>
                </m:r>
              </m:sub>
            </m:sSub>
          </m:den>
        </m:f>
      </m:oMath>
      <w:r>
        <w:tab/>
      </w:r>
      <w:r>
        <w:rPr>
          <w:rFonts w:ascii="Times New Roman" w:hAnsi="Times New Roman" w:eastAsia="Times New Roman"/>
        </w:rPr>
        <w:t xml:space="preserve">(Equation 4)</w:t>
      </w:r>
    </w:p>
    <w:p w14:paraId="0AC8E1C0">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CU Detection F1 evaluated whether a complete therapeutic evaluation was identified at the structured-record level. It was calculated independently of entity-level precision, recall, and F1 because correct recognition of isolated information items does not necessarily imply correct CU construction.</w:t>
      </w:r>
    </w:p>
    <w:p w14:paraId="22628020">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b w:val="0"/>
          <w:i w:val="0"/>
        </w:rPr>
        <w:t xml:space="preserve">Conditional Unit-Accuracy</w:t>
      </w:r>
      <w:r>
        <w:rPr>
          <w:rFonts w:hint="default" w:ascii="Times New Roman Regular" w:hAnsi="Times New Roman Regular" w:cs="Times New Roman Regular"/>
          <w:b w:val="0"/>
          <w:i w:val="0"/>
        </w:rPr>
        <w:t xml:space="preserve"> evaluated whether the required CU elements were logically bound to the same therapeutic evaluation among one-to-one matched CU pairs. It is therefore a conditional logical-organization metric and should not be interpreted as exact recovery over all gold-standard CUs.</w:t>
      </w:r>
    </w:p>
    <w:p w14:paraId="4F7C4DEF">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b w:val="0"/>
          <w:i w:val="0"/>
        </w:rPr>
        <w:t xml:space="preserve">It was calculated only for the set </w:t>
      </w:r>
      <m:oMath>
        <m:r>
          <m:rPr>
            <m:nor/>
          </m:rPr>
          <w:rPr>
            <w:rFonts w:hint="default" w:ascii="DejaVu Math TeX Gyre" w:hAnsi="DejaVu Math TeX Gyre" w:cs="Times New Roman Regular"/>
            <w:i/>
          </w:rPr>
          <m:t>M</m:t>
        </m:r>
      </m:oMath>
      <w:r>
        <w:rPr>
          <w:rFonts w:hint="default" w:ascii="Times New Roman Regular" w:hAnsi="Times New Roman Regular" w:cs="Times New Roman Regular"/>
          <w:b w:val="0"/>
          <w:i w:val="0"/>
        </w:rPr>
        <w:t xml:space="preserve"> of one-to-one matched CU pairs:</w:t>
      </w:r>
    </w:p>
    <w:p w14:paraId="055E43AE">
      <w:pPr>
        <w:keepLines/>
        <w:tabs>
          <w:tab w:val="center" w:pos="4680"/>
          <w:tab w:val="right" w:pos="9360"/>
        </w:tabs>
        <w:spacing w:before="60" w:after="80" w:line="259" w:lineRule="auto"/>
        <w:ind w:left="0" w:right="0" w:firstLine="0"/>
        <w:jc w:val="center"/>
        <w:rPr>
          <w:rFonts w:hint="default" w:ascii="Times New Roman Regular" w:hAnsi="Times New Roman Regular" w:eastAsia="宋体" w:cs="Times New Roman Regular"/>
        </w:rPr>
      </w:pPr>
      <w:r>
        <w:tab/>
      </w:r>
      <m:oMath>
        <m:sSub>
          <m:e>
            <m:r>
              <m:rPr>
                <m:sty m:val="p"/>
              </m:rPr>
              <m:t>A</m:t>
            </m:r>
            <m:r>
              <m:rPr>
                <m:sty m:val="p"/>
              </m:rPr>
              <m:t>c</m:t>
            </m:r>
            <m:r>
              <m:rPr>
                <m:sty m:val="p"/>
              </m:rPr>
              <m:t>c</m:t>
            </m:r>
          </m:e>
          <m:sub>
            <m:r>
              <m:t>u</m:t>
            </m:r>
            <m:r>
              <m:t>n</m:t>
            </m:r>
            <m:r>
              <m:t>i</m:t>
            </m:r>
            <m:r>
              <m:t>t</m:t>
            </m:r>
          </m:sub>
        </m:sSub>
        <m:r>
          <m:rPr>
            <m:sty m:val="p"/>
          </m:rPr>
          <m:t>=</m:t>
        </m:r>
        <m:f>
          <m:fPr>
            <m:type m:val="bar"/>
          </m:fPr>
          <m:num>
            <m:r>
              <m:t>1</m:t>
            </m:r>
          </m:num>
          <m:den>
            <m:r>
              <m:rPr>
                <m:sty m:val="p"/>
              </m:rPr>
              <m:t>|</m:t>
            </m:r>
            <m:r>
              <m:rPr>
                <m:scr m:val="script"/>
                <m:sty m:val="p"/>
              </m:rPr>
              <m:t>M</m:t>
            </m:r>
            <m:r>
              <m:rPr>
                <m:sty m:val="p"/>
              </m:rPr>
              <m:t>|</m:t>
            </m:r>
          </m:den>
        </m:f>
        <m:nary>
          <m:naryPr>
            <m:chr m:val="∑"/>
            <m:limLoc m:val="undOvr"/>
            <m:subHide m:val="off"/>
            <m:supHide m:val="on"/>
          </m:naryPr>
          <m:sub>
            <m:r>
              <m:rPr>
                <m:sty m:val="p"/>
              </m:rPr>
              <m:t>(</m:t>
            </m:r>
            <m:r>
              <m:t>p</m:t>
            </m:r>
            <m:r>
              <m:rPr>
                <m:sty m:val="p"/>
              </m:rPr>
              <m:t>,</m:t>
            </m:r>
            <m:r>
              <m:t>g</m:t>
            </m:r>
            <m:r>
              <m:rPr>
                <m:sty m:val="p"/>
              </m:rPr>
              <m:t>)</m:t>
            </m:r>
            <m:r>
              <m:rPr>
                <m:sty m:val="p"/>
              </m:rPr>
              <m:t>∈</m:t>
            </m:r>
            <m:r>
              <m:rPr>
                <m:scr m:val="script"/>
                <m:sty m:val="p"/>
              </m:rPr>
              <m:t>M</m:t>
            </m:r>
          </m:sub>
          <m:sup>
            <m:r>
              <m:t>​</m:t>
            </m:r>
          </m:sup>
          <m:e>
            <m:sSub>
              <m:e>
                <m:r>
                  <m:rPr>
                    <m:scr m:val="double-struck"/>
                    <m:sty m:val="p"/>
                  </m:rPr>
                  <m:t>I</m:t>
                </m:r>
              </m:e>
              <m:sub>
                <m:r>
                  <m:t>l</m:t>
                </m:r>
                <m:r>
                  <m:t>o</m:t>
                </m:r>
                <m:r>
                  <m:t>g</m:t>
                </m:r>
                <m:r>
                  <m:t>i</m:t>
                </m:r>
                <m:r>
                  <m:t>c</m:t>
                </m:r>
              </m:sub>
            </m:sSub>
          </m:e>
        </m:nary>
        <m:r>
          <m:rPr>
            <m:sty m:val="p"/>
          </m:rPr>
          <m:t>(</m:t>
        </m:r>
        <m:r>
          <m:t>p</m:t>
        </m:r>
        <m:r>
          <m:rPr>
            <m:sty m:val="p"/>
          </m:rPr>
          <m:t>,</m:t>
        </m:r>
        <m:r>
          <m:t>g</m:t>
        </m:r>
        <m:r>
          <m:rPr>
            <m:sty m:val="p"/>
          </m:rPr>
          <m:t>)</m:t>
        </m:r>
      </m:oMath>
      <w:r>
        <w:tab/>
      </w:r>
      <w:r>
        <w:rPr>
          <w:rFonts w:ascii="Times New Roman" w:hAnsi="Times New Roman" w:eastAsia="Times New Roman"/>
        </w:rPr>
        <w:t xml:space="preserve">(Equation 5)</w:t>
      </w:r>
    </w:p>
    <w:p w14:paraId="76937627">
      <w:pPr>
        <w:spacing w:after="80" w:line="259" w:lineRule="auto"/>
        <w:ind w:left="0" w:right="0" w:firstLine="0"/>
        <w:jc w:val="both"/>
        <w:rPr>
          <w:rFonts w:hint="default" w:ascii="Times New Roman Regular" w:hAnsi="Times New Roman Regular" w:eastAsia="宋体" w:cs="Times New Roman Regular"/>
        </w:rPr>
      </w:pPr>
      <m:oMath>
        <m:sSub>
          <m:sSubPr>
            <m:ctrlPr>
              <w:rPr>
                <w:rFonts w:hint="default" w:ascii="DejaVu Math TeX Gyre" w:hAnsi="DejaVu Math TeX Gyre" w:cs="Times New Roman Regular"/>
              </w:rPr>
            </m:ctrlPr>
          </m:sSubPr>
          <m:e>
            <m:r>
              <m:rPr>
                <m:nor/>
              </m:rPr>
              <w:rPr>
                <w:rFonts w:hint="default" w:ascii="DejaVu Math TeX Gyre" w:hAnsi="DejaVu Math TeX Gyre" w:cs="Times New Roman Regular"/>
                <w:i/>
              </w:rPr>
              <m:t>I</m:t>
            </m:r>
            <m:ctrlPr>
              <w:rPr>
                <w:rFonts w:hint="default" w:ascii="DejaVu Math TeX Gyre" w:hAnsi="DejaVu Math TeX Gyre" w:cs="Times New Roman Regular"/>
              </w:rPr>
            </m:ctrlPr>
          </m:e>
          <m:sub>
            <m:r>
              <m:rPr>
                <m:nor/>
              </m:rPr>
              <w:rPr>
                <w:rFonts w:hint="default" w:ascii="DejaVu Math TeX Gyre" w:hAnsi="DejaVu Math TeX Gyre" w:cs="Times New Roman Regular"/>
                <w:i/>
              </w:rPr>
              <m:t>logic</m:t>
            </m:r>
            <m:ctrlPr>
              <w:rPr>
                <w:rFonts w:hint="default" w:ascii="DejaVu Math TeX Gyre" w:hAnsi="DejaVu Math TeX Gyre" w:cs="Times New Roman Regular"/>
              </w:rPr>
            </m:ctrlPr>
          </m:sub>
        </m:sSub>
        <m:r>
          <m:rPr>
            <m:nor/>
            <m:sty m:val="p"/>
          </m:rPr>
          <w:rPr>
            <w:rFonts w:hint="default" w:ascii="DejaVu Math TeX Gyre" w:hAnsi="DejaVu Math TeX Gyre" w:cs="Times New Roman Regular"/>
            <w:b w:val="0"/>
            <w:i w:val="0"/>
          </w:rPr>
          <m:t>(</m:t>
        </m:r>
        <m:r>
          <m:rPr>
            <m:nor/>
          </m:rPr>
          <w:rPr>
            <w:rFonts w:hint="default" w:ascii="DejaVu Math TeX Gyre" w:hAnsi="DejaVu Math TeX Gyre" w:cs="Times New Roman Regular"/>
            <w:i/>
          </w:rPr>
          <m:t>p</m:t>
        </m:r>
        <m:r>
          <m:rPr>
            <m:nor/>
            <m:sty m:val="p"/>
          </m:rPr>
          <w:rPr>
            <w:rFonts w:hint="default" w:ascii="DejaVu Math TeX Gyre" w:hAnsi="DejaVu Math TeX Gyre" w:cs="Times New Roman Regular"/>
            <w:b w:val="0"/>
            <w:i w:val="0"/>
          </w:rPr>
          <m:t>,</m:t>
        </m:r>
        <m:r>
          <m:rPr>
            <m:nor/>
          </m:rPr>
          <w:rPr>
            <w:rFonts w:hint="default" w:ascii="DejaVu Math TeX Gyre" w:hAnsi="DejaVu Math TeX Gyre" w:cs="Times New Roman Regular"/>
            <w:i/>
          </w:rPr>
          <m:t>g</m:t>
        </m:r>
        <m:r>
          <m:rPr>
            <m:nor/>
            <m:sty m:val="p"/>
          </m:rPr>
          <w:rPr>
            <w:rFonts w:hint="default" w:ascii="DejaVu Math TeX Gyre" w:hAnsi="DejaVu Math TeX Gyre" w:cs="Times New Roman Regular"/>
            <w:b w:val="0"/>
            <w:i w:val="0"/>
          </w:rPr>
          <m:t>) = 1</m:t>
        </m:r>
      </m:oMath>
      <w:r>
        <w:rPr>
          <w:rFonts w:hint="default" w:ascii="Times New Roman Regular" w:hAnsi="Times New Roman Regular" w:cs="Times New Roman Regular"/>
          <w:b w:val="0"/>
          <w:i w:val="0"/>
        </w:rPr>
        <w:t xml:space="preserve"> only when all of the following were correct:</w:t>
      </w:r>
    </w:p>
    <w:p w14:paraId="11F5A91A">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1. comparison structure;</w:t>
      </w:r>
    </w:p>
    <w:p w14:paraId="60A93536">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2. disease and population context;</w:t>
      </w:r>
    </w:p>
    <w:p w14:paraId="06AC3318">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3. intervention;</w:t>
      </w:r>
    </w:p>
    <w:p w14:paraId="1C4BEEC4">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4. comparator when applicable;</w:t>
      </w:r>
    </w:p>
    <w:p w14:paraId="2E4B20EA">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5. endpoint;</w:t>
      </w:r>
    </w:p>
    <w:p w14:paraId="2277D6F4">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6. result attribution; and</w:t>
      </w:r>
    </w:p>
    <w:p w14:paraId="35892547">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7. analysis context when required to distinguish otherwise similar CUs.</w:t>
      </w:r>
    </w:p>
    <w:p w14:paraId="6C39C6E5">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The metric did not require strict graph-theoretic isomorphism across all CCOH dimensions. It measured CU-level logical organization.</w:t>
      </w:r>
    </w:p>
    <w:p w14:paraId="3F77BC4D">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rPr>
        <w:t xml:space="preserve">Unmatched CUs were not added to the </w:t>
      </w:r>
      <w:r>
        <w:rPr>
          <w:rFonts w:hint="default" w:ascii="Times New Roman Regular" w:hAnsi="Times New Roman Regular" w:cs="Times New Roman Regular"/>
        </w:rPr>
        <w:t xml:space="preserve">Conditional Unit-Accuracy</w:t>
      </w:r>
      <w:r>
        <w:rPr>
          <w:rFonts w:hint="default" w:ascii="Times New Roman Regular" w:hAnsi="Times New Roman Regular" w:cs="Times New Roman Regular"/>
        </w:rPr>
        <w:t xml:space="preserve"> denominator because they were already penalized through CU Detection F1. </w:t>
      </w:r>
      <w:r>
        <w:rPr>
          <w:rFonts w:hint="default" w:ascii="Times New Roman Regular" w:hAnsi="Times New Roman Regular" w:cs="Times New Roman Regular"/>
        </w:rPr>
        <w:t xml:space="preserve">Conditional Unit-Accuracy</w:t>
      </w:r>
      <w:r>
        <w:rPr>
          <w:rFonts w:hint="default" w:ascii="Times New Roman Regular" w:hAnsi="Times New Roman Regular" w:cs="Times New Roman Regular"/>
        </w:rPr>
        <w:t xml:space="preserve"> was therefore interpreted as a conditional logical-organization metric among one-to-one matched CU pairs.</w:t>
      </w:r>
    </w:p>
    <w:p w14:paraId="6C9CB1AD">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b w:val="0"/>
          <w:i w:val="0"/>
        </w:rPr>
        <w:t>Numerical/State Tolerance-Accuracy evaluated combined numerical-value and explicit missing-state consistency at the field level. Because the denominator includes numerical fields together with Not reported and Not applicable states, it should be interpreted as numerical/state consistency rather than as a purely numerical accuracy measure.</w:t>
      </w:r>
    </w:p>
    <w:p w14:paraId="046DE42D">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b w:val="0"/>
          <w:i w:val="0"/>
        </w:rPr>
        <w:t xml:space="preserve">For numerical or state-bearing field </w:t>
      </w:r>
      <m:oMath>
        <m:r>
          <m:rPr>
            <m:nor/>
          </m:rPr>
          <w:rPr>
            <w:rFonts w:hint="default" w:ascii="DejaVu Math TeX Gyre" w:hAnsi="DejaVu Math TeX Gyre" w:cs="Times New Roman Regular"/>
            <w:i/>
          </w:rPr>
          <m:t>j</m:t>
        </m:r>
      </m:oMath>
      <w:r>
        <w:rPr>
          <w:rFonts w:hint="default" w:ascii="Times New Roman Regular" w:hAnsi="Times New Roman Regular" w:cs="Times New Roman Regular"/>
          <w:b w:val="0"/>
          <w:i w:val="0"/>
        </w:rPr>
        <w:t>:</w:t>
      </w:r>
    </w:p>
    <w:p w14:paraId="3FFC8960">
      <w:pPr>
        <w:keepLines/>
        <w:tabs>
          <w:tab w:val="center" w:pos="4680"/>
          <w:tab w:val="right" w:pos="9360"/>
        </w:tabs>
        <w:spacing w:before="60" w:after="80" w:line="259" w:lineRule="auto"/>
        <w:ind w:left="0" w:right="0" w:firstLine="0"/>
        <w:jc w:val="center"/>
        <w:rPr>
          <w:rFonts w:hint="default" w:ascii="Times New Roman Regular" w:hAnsi="Times New Roman Regular" w:eastAsia="宋体" w:cs="Times New Roman Regular"/>
        </w:rPr>
      </w:pPr>
      <w:r>
        <w:tab/>
      </w:r>
      <m:oMath>
        <m:sSub>
          <m:e>
            <m:r>
              <m:t>I</m:t>
            </m:r>
          </m:e>
          <m:sub>
            <m:r>
              <m:t>j</m:t>
            </m:r>
          </m:sub>
        </m:sSub>
        <m:r>
          <m:rPr>
            <m:sty m:val="p"/>
          </m:rPr>
          <m:t>=</m:t>
        </m:r>
        <m:r>
          <m:rPr>
            <m:scr m:val="double-struck"/>
            <m:sty m:val="p"/>
          </m:rPr>
          <m:t>I</m:t>
        </m:r>
        <m:r>
          <m:rPr>
            <m:sty m:val="p"/>
          </m:rPr>
          <m:t>{</m:t>
        </m:r>
        <m:sSub>
          <m:e>
            <m:acc>
              <m:accPr>
                <m:chr m:val="̂"/>
              </m:accPr>
              <m:e>
                <m:r>
                  <m:t>x</m:t>
                </m:r>
              </m:e>
            </m:acc>
          </m:e>
          <m:sub>
            <m:r>
              <m:t>j</m:t>
            </m:r>
          </m:sub>
        </m:sSub>
        <m:r>
          <m:rPr>
            <m:sty m:val="p"/>
          </m:rPr>
          <m:t>≡</m:t>
        </m:r>
        <m:sSubSup>
          <m:e>
            <m:r>
              <m:t>x</m:t>
            </m:r>
          </m:e>
          <m:sub>
            <m:r>
              <m:t>j</m:t>
            </m:r>
          </m:sub>
          <m:sup>
            <m:r>
              <m:t>g</m:t>
            </m:r>
            <m:r>
              <m:t>o</m:t>
            </m:r>
            <m:r>
              <m:t>l</m:t>
            </m:r>
            <m:r>
              <m:t>d</m:t>
            </m:r>
          </m:sup>
        </m:sSubSup>
        <m:r>
          <m:rPr>
            <m:sty m:val="p"/>
          </m:rPr>
          <m:t>∣</m:t>
        </m:r>
        <m:sSub>
          <m:e>
            <m:r>
              <m:t>τ</m:t>
            </m:r>
          </m:e>
          <m:sub>
            <m:r>
              <m:t>f</m:t>
            </m:r>
            <m:r>
              <m:rPr>
                <m:sty m:val="p"/>
              </m:rPr>
              <m:t>(</m:t>
            </m:r>
            <m:r>
              <m:t>j</m:t>
            </m:r>
            <m:r>
              <m:rPr>
                <m:sty m:val="p"/>
              </m:rPr>
              <m:t>)</m:t>
            </m:r>
          </m:sub>
        </m:sSub>
        <m:r>
          <m:rPr>
            <m:sty m:val="p"/>
          </m:rPr>
          <m:t>}</m:t>
        </m:r>
      </m:oMath>
      <w:r>
        <w:tab/>
      </w:r>
      <w:r>
        <w:rPr>
          <w:rFonts w:ascii="Times New Roman" w:hAnsi="Times New Roman" w:eastAsia="Times New Roman"/>
        </w:rPr>
        <w:t xml:space="preserve">(Equation 6)</w:t>
      </w:r>
    </w:p>
    <w:p w14:paraId="595E0D76">
      <w:pPr>
        <w:keepLines/>
        <w:tabs>
          <w:tab w:val="center" w:pos="4680"/>
          <w:tab w:val="right" w:pos="9360"/>
        </w:tabs>
        <w:spacing w:before="60" w:after="80" w:line="259" w:lineRule="auto"/>
        <w:ind w:left="0" w:right="0" w:firstLine="0"/>
        <w:jc w:val="center"/>
        <w:rPr>
          <w:rFonts w:hint="default" w:ascii="Times New Roman Regular" w:hAnsi="Times New Roman Regular" w:eastAsia="宋体" w:cs="Times New Roman Regular"/>
        </w:rPr>
      </w:pPr>
      <w:r>
        <w:tab/>
      </w:r>
      <m:oMath>
        <m:sSub>
          <m:e>
            <m:r>
              <m:rPr>
                <m:sty m:val="p"/>
              </m:rPr>
              <m:t>A</m:t>
            </m:r>
            <m:r>
              <m:rPr>
                <m:sty m:val="p"/>
              </m:rPr>
              <m:t>c</m:t>
            </m:r>
            <m:r>
              <m:rPr>
                <m:sty m:val="p"/>
              </m:rPr>
              <m:t>c</m:t>
            </m:r>
          </m:e>
          <m:sub>
            <m:r>
              <m:t>t</m:t>
            </m:r>
            <m:r>
              <m:t>o</m:t>
            </m:r>
            <m:r>
              <m:t>l</m:t>
            </m:r>
          </m:sub>
        </m:sSub>
        <m:r>
          <m:rPr>
            <m:sty m:val="p"/>
          </m:rPr>
          <m:t>=</m:t>
        </m:r>
        <m:f>
          <m:fPr>
            <m:type m:val="bar"/>
          </m:fPr>
          <m:num>
            <m:r>
              <m:t>1</m:t>
            </m:r>
          </m:num>
          <m:den>
            <m:sSub>
              <m:e>
                <m:r>
                  <m:t>N</m:t>
                </m:r>
              </m:e>
              <m:sub>
                <m:r>
                  <m:t>e</m:t>
                </m:r>
                <m:r>
                  <m:t>v</m:t>
                </m:r>
                <m:r>
                  <m:t>a</m:t>
                </m:r>
                <m:r>
                  <m:t>l</m:t>
                </m:r>
              </m:sub>
            </m:sSub>
          </m:den>
        </m:f>
        <m:nary>
          <m:naryPr>
            <m:chr m:val="∑"/>
            <m:limLoc m:val="undOvr"/>
            <m:subHide m:val="off"/>
            <m:supHide m:val="off"/>
          </m:naryPr>
          <m:sub>
            <m:r>
              <m:t>j</m:t>
            </m:r>
            <m:r>
              <m:rPr>
                <m:sty m:val="p"/>
              </m:rPr>
              <m:t>=</m:t>
            </m:r>
            <m:r>
              <m:t>1</m:t>
            </m:r>
          </m:sub>
          <m:sup>
            <m:sSub>
              <m:e>
                <m:r>
                  <m:t>N</m:t>
                </m:r>
              </m:e>
              <m:sub>
                <m:r>
                  <m:t>e</m:t>
                </m:r>
                <m:r>
                  <m:t>v</m:t>
                </m:r>
                <m:r>
                  <m:t>a</m:t>
                </m:r>
                <m:r>
                  <m:t>l</m:t>
                </m:r>
              </m:sub>
            </m:sSub>
          </m:sup>
          <m:e>
            <m:sSub>
              <m:e>
                <m:r>
                  <m:t>I</m:t>
                </m:r>
              </m:e>
              <m:sub>
                <m:r>
                  <m:t>j</m:t>
                </m:r>
              </m:sub>
            </m:sSub>
          </m:e>
        </m:nary>
      </m:oMath>
      <w:r>
        <w:tab/>
      </w:r>
      <w:r>
        <w:rPr>
          <w:rFonts w:ascii="Times New Roman" w:hAnsi="Times New Roman" w:eastAsia="Times New Roman"/>
        </w:rPr>
        <w:t xml:space="preserve">(Equation 7)</w:t>
      </w:r>
    </w:p>
    <w:p w14:paraId="5BEE6CBA">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b w:val="0"/>
          <w:i w:val="0"/>
        </w:rPr>
        <w:t xml:space="preserve">where </w:t>
      </w:r>
      <m:oMath>
        <m:sSub>
          <m:sSubPr>
            <m:ctrlPr>
              <w:rPr>
                <w:rFonts w:hint="default" w:ascii="DejaVu Math TeX Gyre" w:hAnsi="DejaVu Math TeX Gyre" w:cs="Times New Roman Regular"/>
              </w:rPr>
            </m:ctrlPr>
          </m:sSubPr>
          <m:e>
            <m:r>
              <m:rPr>
                <m:nor/>
              </m:rPr>
              <w:rPr>
                <w:rFonts w:hint="default" w:ascii="DejaVu Math TeX Gyre" w:hAnsi="DejaVu Math TeX Gyre" w:cs="Times New Roman Regular"/>
                <w:i/>
              </w:rPr>
              <m:t>N</m:t>
            </m:r>
            <m:ctrlPr>
              <w:rPr>
                <w:rFonts w:hint="default" w:ascii="DejaVu Math TeX Gyre" w:hAnsi="DejaVu Math TeX Gyre" w:cs="Times New Roman Regular"/>
              </w:rPr>
            </m:ctrlPr>
          </m:e>
          <m:sub>
            <m:r>
              <m:rPr>
                <m:nor/>
              </m:rPr>
              <w:rPr>
                <w:rFonts w:hint="default" w:ascii="DejaVu Math TeX Gyre" w:hAnsi="DejaVu Math TeX Gyre" w:cs="Times New Roman Regular"/>
                <w:i/>
              </w:rPr>
              <m:t>eval</m:t>
            </m:r>
            <m:ctrlPr>
              <w:rPr>
                <w:rFonts w:hint="default" w:ascii="DejaVu Math TeX Gyre" w:hAnsi="DejaVu Math TeX Gyre" w:cs="Times New Roman Regular"/>
              </w:rPr>
            </m:ctrlPr>
          </m:sub>
        </m:sSub>
      </m:oMath>
      <w:r>
        <w:rPr>
          <w:rFonts w:hint="default" w:ascii="Times New Roman Regular" w:hAnsi="Times New Roman Regular" w:cs="Times New Roman Regular"/>
          <w:b w:val="0"/>
          <w:i w:val="0"/>
        </w:rPr>
        <w:t xml:space="preserve"> is the number of evaluated field instances and </w:t>
      </w:r>
      <m:oMath>
        <m:sSub>
          <m:sSubPr>
            <m:ctrlPr>
              <w:rPr>
                <w:rFonts w:hint="default" w:ascii="DejaVu Math TeX Gyre" w:hAnsi="DejaVu Math TeX Gyre" w:cs="Times New Roman Regular"/>
              </w:rPr>
            </m:ctrlPr>
          </m:sSubPr>
          <m:e>
            <m:r>
              <m:rPr>
                <m:nor/>
              </m:rPr>
              <w:rPr>
                <w:rFonts w:hint="default" w:ascii="DejaVu Math TeX Gyre" w:hAnsi="DejaVu Math TeX Gyre" w:cs="Times New Roman Regular"/>
                <w:i/>
              </w:rPr>
              <m:t>τ</m:t>
            </m:r>
            <m:ctrlPr>
              <w:rPr>
                <w:rFonts w:hint="default" w:ascii="DejaVu Math TeX Gyre" w:hAnsi="DejaVu Math TeX Gyre" w:cs="Times New Roman Regular"/>
              </w:rPr>
            </m:ctrlPr>
          </m:e>
          <m:sub>
            <m:r>
              <m:rPr>
                <m:nor/>
              </m:rPr>
              <w:rPr>
                <w:rFonts w:hint="default" w:ascii="DejaVu Math TeX Gyre" w:hAnsi="DejaVu Math TeX Gyre" w:cs="Times New Roman Regular"/>
                <w:i/>
              </w:rPr>
              <m:t>f</m:t>
            </m:r>
            <m:ctrlPr>
              <w:rPr>
                <w:rFonts w:hint="default" w:ascii="DejaVu Math TeX Gyre" w:hAnsi="DejaVu Math TeX Gyre" w:cs="Times New Roman Regular"/>
              </w:rPr>
            </m:ctrlPr>
          </m:sub>
        </m:sSub>
        <m:r>
          <m:rPr>
            <m:nor/>
            <m:sty m:val="p"/>
          </m:rPr>
          <w:rPr>
            <w:rFonts w:hint="default" w:ascii="DejaVu Math TeX Gyre" w:hAnsi="DejaVu Math TeX Gyre" w:cs="Times New Roman Regular"/>
            <w:b w:val="0"/>
            <w:i w:val="0"/>
          </w:rPr>
          <m:t>(</m:t>
        </m:r>
        <m:r>
          <m:rPr>
            <m:nor/>
          </m:rPr>
          <w:rPr>
            <w:rFonts w:hint="default" w:ascii="DejaVu Math TeX Gyre" w:hAnsi="DejaVu Math TeX Gyre" w:cs="Times New Roman Regular"/>
            <w:i/>
          </w:rPr>
          <m:t>j</m:t>
        </m:r>
        <m:r>
          <m:rPr>
            <m:nor/>
            <m:sty m:val="p"/>
          </m:rPr>
          <w:rPr>
            <w:rFonts w:hint="default" w:ascii="DejaVu Math TeX Gyre" w:hAnsi="DejaVu Math TeX Gyre" w:cs="Times New Roman Regular"/>
            <w:b w:val="0"/>
            <w:i w:val="0"/>
          </w:rPr>
          <m:t>)</m:t>
        </m:r>
      </m:oMath>
      <w:r>
        <w:rPr>
          <w:rFonts w:hint="default" w:ascii="Times New Roman Regular" w:hAnsi="Times New Roman Regular" w:cs="Times New Roman Regular"/>
          <w:b w:val="0"/>
          <w:i w:val="0"/>
        </w:rPr>
        <w:t xml:space="preserve"> is the predefined correctness rule for the corresponding field type.</w:t>
      </w:r>
    </w:p>
    <w:p w14:paraId="72AF3A6D">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The denominator was the number of eligible field judgments, not the number of CUs.</w:t>
      </w:r>
    </w:p>
    <w:p w14:paraId="1491BA0A">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A field was incorrect when:</w:t>
      </w:r>
    </w:p>
    <w:p w14:paraId="52C21BC0">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1. the numeric value was outside the allowed field-specific rule;</w:t>
      </w:r>
    </w:p>
    <w:p w14:paraId="1ABF85C3">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2. the value had the wrong unit;</w:t>
      </w:r>
    </w:p>
    <w:p w14:paraId="000840A2">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3. the value was assigned to the wrong arm, population, endpoint, time point, or analysis method;</w:t>
      </w:r>
    </w:p>
    <w:p w14:paraId="0A34BFA8">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4. the effect-measure type was wrong;</w:t>
      </w:r>
    </w:p>
    <w:p w14:paraId="02C6B1F7">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5. an inequality operator was lost or changed;</w:t>
      </w:r>
    </w:p>
    <w:p w14:paraId="27FDEB8F">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6. Not reported was replaced by an unsupported value; or</w:t>
      </w:r>
    </w:p>
    <w:p w14:paraId="40E744DE">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7. Not applicable was confused with Not reported.</w:t>
      </w:r>
    </w:p>
    <w:p w14:paraId="6736DFA7">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CI lower and upper bounds were counted as separate field judgments.</w:t>
      </w:r>
    </w:p>
    <w:p w14:paraId="41F1B034">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Evidence-Supported Item Rate evaluated whether all evidence-eligible structured claims obtained valid supporting text from the corresponding PubMed abstract. Its denominator included every evidence-eligible item, including items for which the audit procedure did not locate a candidate sentence or span. The metric therefore penalized both missing evidence and returned evidence that failed the support checks.</w:t>
      </w:r>
    </w:p>
    <w:p w14:paraId="18E94A4D">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The manually adjudicated core gold-standard schema did not contain a unique expert-designated evidence sentence for each structured item. Evidence-sentence columns in the complete record were auxiliary post-extraction audit fields rather than structured prompt outputs. Accordingly, the evidence evaluation assessed support for a structured claim-evidence pair and did not measure exact agreement with a sentence-level gold standard.</w:t>
      </w:r>
    </w:p>
    <w:p w14:paraId="53D12D18">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For each evidence-eligible structured claim c_k, the evaluation used:</w:t>
      </w:r>
    </w:p>
    <w:p w14:paraId="58CEEC6F">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cs="Times New Roman Regular"/>
          <w:b w:val="0"/>
          <w:i w:val="0"/>
        </w:rPr>
        <w:t xml:space="preserve">1. </w:t>
      </w:r>
      <m:oMath>
        <m:sSub>
          <m:sSubPr>
            <m:ctrlPr>
              <w:rPr>
                <w:rFonts w:hint="default" w:ascii="DejaVu Math TeX Gyre" w:hAnsi="DejaVu Math TeX Gyre" w:cs="Times New Roman Regular"/>
              </w:rPr>
            </m:ctrlPr>
          </m:sSubPr>
          <m:e>
            <m:r>
              <m:rPr>
                <m:nor/>
              </m:rPr>
              <w:rPr>
                <w:rFonts w:hint="default" w:ascii="DejaVu Math TeX Gyre" w:hAnsi="DejaVu Math TeX Gyre" w:cs="Times New Roman Regular"/>
                <w:i/>
              </w:rPr>
              <m:t>q</m:t>
            </m:r>
            <m:ctrlPr>
              <w:rPr>
                <w:rFonts w:hint="default" w:ascii="DejaVu Math TeX Gyre" w:hAnsi="DejaVu Math TeX Gyre" w:cs="Times New Roman Regular"/>
              </w:rPr>
            </m:ctrlPr>
          </m:e>
          <m:sub>
            <m:r>
              <m:rPr>
                <m:nor/>
              </m:rPr>
              <w:rPr>
                <w:rFonts w:hint="default" w:ascii="DejaVu Math TeX Gyre" w:hAnsi="DejaVu Math TeX Gyre" w:cs="Times New Roman Regular"/>
                <w:i/>
              </w:rPr>
              <m:t>k</m:t>
            </m:r>
            <m:ctrlPr>
              <w:rPr>
                <w:rFonts w:hint="default" w:ascii="DejaVu Math TeX Gyre" w:hAnsi="DejaVu Math TeX Gyre" w:cs="Times New Roman Regular"/>
              </w:rPr>
            </m:ctrlPr>
          </m:sub>
        </m:sSub>
      </m:oMath>
      <w:r>
        <w:rPr>
          <w:rFonts w:hint="default" w:ascii="Times New Roman Regular" w:hAnsi="Times New Roman Regular" w:cs="Times New Roman Regular"/>
          <w:b w:val="0"/>
          <w:i w:val="0"/>
        </w:rPr>
        <w:t>: a normalized textual representation of the structured item;</w:t>
      </w:r>
    </w:p>
    <w:p w14:paraId="0132C6D9">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cs="Times New Roman Regular"/>
          <w:b w:val="0"/>
          <w:i w:val="0"/>
        </w:rPr>
        <w:t xml:space="preserve">2. </w:t>
      </w:r>
      <m:oMath>
        <m:sSub>
          <m:sSubPr>
            <m:ctrlPr>
              <w:rPr>
                <w:rFonts w:hint="default" w:ascii="DejaVu Math TeX Gyre" w:hAnsi="DejaVu Math TeX Gyre" w:cs="Times New Roman Regular"/>
              </w:rPr>
            </m:ctrlPr>
          </m:sSubPr>
          <m:e>
            <m:r>
              <m:rPr>
                <m:nor/>
              </m:rPr>
              <w:rPr>
                <w:rFonts w:hint="default" w:ascii="DejaVu Math TeX Gyre" w:hAnsi="DejaVu Math TeX Gyre" w:cs="Times New Roman Regular"/>
                <w:i/>
              </w:rPr>
              <m:t>s</m:t>
            </m:r>
            <m:ctrlPr>
              <w:rPr>
                <w:rFonts w:hint="default" w:ascii="DejaVu Math TeX Gyre" w:hAnsi="DejaVu Math TeX Gyre" w:cs="Times New Roman Regular"/>
              </w:rPr>
            </m:ctrlPr>
          </m:e>
          <m:sub>
            <m:r>
              <m:rPr>
                <m:nor/>
              </m:rPr>
              <w:rPr>
                <w:rFonts w:hint="default" w:ascii="DejaVu Math TeX Gyre" w:hAnsi="DejaVu Math TeX Gyre" w:cs="Times New Roman Regular"/>
                <w:i/>
              </w:rPr>
              <m:t>k</m:t>
            </m:r>
            <m:ctrlPr>
              <w:rPr>
                <w:rFonts w:hint="default" w:ascii="DejaVu Math TeX Gyre" w:hAnsi="DejaVu Math TeX Gyre" w:cs="Times New Roman Regular"/>
              </w:rPr>
            </m:ctrlPr>
          </m:sub>
        </m:sSub>
      </m:oMath>
      <w:r>
        <w:rPr>
          <w:rFonts w:hint="default" w:ascii="Times New Roman Regular" w:hAnsi="Times New Roman Regular" w:cs="Times New Roman Regular"/>
          <w:b w:val="0"/>
          <w:i w:val="0"/>
        </w:rPr>
        <w:t>: the sentence or minimal contiguous sentence span selected from the same PubMed abstract by the post-extraction evidence-audit procedure;</w:t>
      </w:r>
    </w:p>
    <w:p w14:paraId="4B1A5739">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cs="Times New Roman Regular"/>
          <w:b w:val="0"/>
          <w:i w:val="0"/>
        </w:rPr>
        <w:t xml:space="preserve">3. </w:t>
      </w:r>
      <m:oMath>
        <m:sSub>
          <m:sSubPr>
            <m:ctrlPr>
              <w:rPr>
                <w:rFonts w:hint="default" w:ascii="DejaVu Math TeX Gyre" w:hAnsi="DejaVu Math TeX Gyre" w:cs="Times New Roman Regular"/>
              </w:rPr>
            </m:ctrlPr>
          </m:sSubPr>
          <m:e>
            <m:r>
              <m:rPr>
                <m:nor/>
              </m:rPr>
              <w:rPr>
                <w:rFonts w:hint="default" w:ascii="DejaVu Math TeX Gyre" w:hAnsi="DejaVu Math TeX Gyre" w:cs="Times New Roman Regular"/>
                <w:i/>
              </w:rPr>
              <m:t>A</m:t>
            </m:r>
            <m:ctrlPr>
              <w:rPr>
                <w:rFonts w:hint="default" w:ascii="DejaVu Math TeX Gyre" w:hAnsi="DejaVu Math TeX Gyre" w:cs="Times New Roman Regular"/>
              </w:rPr>
            </m:ctrlPr>
          </m:e>
          <m:sub>
            <m:r>
              <m:rPr>
                <m:nor/>
              </m:rPr>
              <w:rPr>
                <w:rFonts w:hint="default" w:ascii="DejaVu Math TeX Gyre" w:hAnsi="DejaVu Math TeX Gyre" w:cs="Times New Roman Regular"/>
                <w:i/>
              </w:rPr>
              <m:t>k</m:t>
            </m:r>
            <m:ctrlPr>
              <w:rPr>
                <w:rFonts w:hint="default" w:ascii="DejaVu Math TeX Gyre" w:hAnsi="DejaVu Math TeX Gyre" w:cs="Times New Roman Regular"/>
              </w:rPr>
            </m:ctrlPr>
          </m:sub>
        </m:sSub>
      </m:oMath>
      <w:r>
        <w:rPr>
          <w:rFonts w:hint="default" w:ascii="Times New Roman Regular" w:hAnsi="Times New Roman Regular" w:cs="Times New Roman Regular"/>
          <w:b w:val="0"/>
          <w:i w:val="0"/>
        </w:rPr>
        <w:t>: the complete PubMed abstract for the current PMID.</w:t>
      </w:r>
    </w:p>
    <w:p w14:paraId="4EC10B06">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b w:val="0"/>
          <w:i w:val="0"/>
        </w:rPr>
        <w:t xml:space="preserve">The normalized query </w:t>
      </w:r>
      <m:oMath>
        <m:sSub>
          <m:sSubPr>
            <m:ctrlPr>
              <w:rPr>
                <w:rFonts w:hint="default" w:ascii="DejaVu Math TeX Gyre" w:hAnsi="DejaVu Math TeX Gyre" w:cs="Times New Roman Regular"/>
              </w:rPr>
            </m:ctrlPr>
          </m:sSubPr>
          <m:e>
            <m:r>
              <m:rPr>
                <m:nor/>
              </m:rPr>
              <w:rPr>
                <w:rFonts w:hint="default" w:ascii="DejaVu Math TeX Gyre" w:hAnsi="DejaVu Math TeX Gyre" w:cs="Times New Roman Regular"/>
                <w:i/>
              </w:rPr>
              <m:t>q</m:t>
            </m:r>
            <m:ctrlPr>
              <w:rPr>
                <w:rFonts w:hint="default" w:ascii="DejaVu Math TeX Gyre" w:hAnsi="DejaVu Math TeX Gyre" w:cs="Times New Roman Regular"/>
              </w:rPr>
            </m:ctrlPr>
          </m:e>
          <m:sub>
            <m:r>
              <m:rPr>
                <m:nor/>
              </m:rPr>
              <w:rPr>
                <w:rFonts w:hint="default" w:ascii="DejaVu Math TeX Gyre" w:hAnsi="DejaVu Math TeX Gyre" w:cs="Times New Roman Regular"/>
                <w:i/>
              </w:rPr>
              <m:t>k</m:t>
            </m:r>
            <m:ctrlPr>
              <w:rPr>
                <w:rFonts w:hint="default" w:ascii="DejaVu Math TeX Gyre" w:hAnsi="DejaVu Math TeX Gyre" w:cs="Times New Roman Regular"/>
              </w:rPr>
            </m:ctrlPr>
          </m:sub>
        </m:sSub>
      </m:oMath>
      <w:r>
        <w:rPr>
          <w:rFonts w:hint="default" w:ascii="Times New Roman Regular" w:hAnsi="Times New Roman Regular" w:cs="Times New Roman Regular"/>
          <w:b w:val="0"/>
          <w:i w:val="0"/>
        </w:rPr>
        <w:t xml:space="preserve"> included the source-supported elements required to identify the result:</w:t>
      </w:r>
    </w:p>
    <w:p w14:paraId="06DACD74">
      <w:pPr>
        <w:keepLines/>
        <w:tabs>
          <w:tab w:val="center" w:pos="4680"/>
          <w:tab w:val="right" w:pos="9360"/>
        </w:tabs>
        <w:spacing w:before="60" w:after="80" w:line="259" w:lineRule="auto"/>
        <w:ind w:left="0" w:right="0" w:firstLine="0"/>
        <w:jc w:val="center"/>
        <w:rPr>
          <w:rFonts w:hint="default" w:ascii="Times New Roman Regular" w:hAnsi="Times New Roman Regular" w:eastAsia="宋体" w:cs="Times New Roman Regular"/>
        </w:rPr>
      </w:pPr>
      <w:r>
        <w:tab/>
      </w:r>
      <m:oMath>
        <m:sSub>
          <m:e>
            <m:r>
              <m:t>q</m:t>
            </m:r>
          </m:e>
          <m:sub>
            <m:r>
              <m:t>k</m:t>
            </m:r>
          </m:sub>
        </m:sSub>
        <m:r>
          <m:rPr>
            <m:sty m:val="p"/>
          </m:rPr>
          <m:t>=</m:t>
        </m:r>
        <m:sSub>
          <m:e>
            <m:r>
              <m:t>P</m:t>
            </m:r>
          </m:e>
          <m:sub>
            <m:r>
              <m:t>k</m:t>
            </m:r>
          </m:sub>
        </m:sSub>
        <m:r>
          <m:rPr>
            <m:sty m:val="p"/>
          </m:rPr>
          <m:t>⊕</m:t>
        </m:r>
        <m:sSub>
          <m:e>
            <m:r>
              <m:t>I</m:t>
            </m:r>
          </m:e>
          <m:sub>
            <m:r>
              <m:t>k</m:t>
            </m:r>
          </m:sub>
        </m:sSub>
        <m:r>
          <m:rPr>
            <m:sty m:val="p"/>
          </m:rPr>
          <m:t>⊕</m:t>
        </m:r>
        <m:sSub>
          <m:e>
            <m:r>
              <m:t>C</m:t>
            </m:r>
          </m:e>
          <m:sub>
            <m:r>
              <m:t>k</m:t>
            </m:r>
          </m:sub>
        </m:sSub>
        <m:r>
          <m:rPr>
            <m:sty m:val="p"/>
          </m:rPr>
          <m:t>⊕</m:t>
        </m:r>
        <m:sSub>
          <m:e>
            <m:r>
              <m:t>O</m:t>
            </m:r>
          </m:e>
          <m:sub>
            <m:r>
              <m:t>k</m:t>
            </m:r>
          </m:sub>
        </m:sSub>
        <m:r>
          <m:rPr>
            <m:sty m:val="p"/>
          </m:rPr>
          <m:t>⊕</m:t>
        </m:r>
        <m:sSub>
          <m:e>
            <m:r>
              <m:t>R</m:t>
            </m:r>
          </m:e>
          <m:sub>
            <m:r>
              <m:t>k</m:t>
            </m:r>
          </m:sub>
        </m:sSub>
        <m:r>
          <m:rPr>
            <m:sty m:val="p"/>
          </m:rPr>
          <m:t>⊕</m:t>
        </m:r>
        <m:sSub>
          <m:e>
            <m:r>
              <m:t>A</m:t>
            </m:r>
          </m:e>
          <m:sub>
            <m:r>
              <m:t>k</m:t>
            </m:r>
          </m:sub>
        </m:sSub>
      </m:oMath>
      <w:r>
        <w:tab/>
      </w:r>
      <w:r>
        <w:rPr>
          <w:rFonts w:ascii="Times New Roman" w:hAnsi="Times New Roman" w:eastAsia="Times New Roman"/>
        </w:rPr>
        <w:t xml:space="preserve">(Equation 8)</w:t>
      </w:r>
    </w:p>
    <w:p w14:paraId="65471BDA">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Sentence representations were generated using NeuML/pubmedbert-base-embeddings, a 768-dimensional PubMedBERT-based sentence-embedding model. Text was whitespace-normalized without removing negation, comparison operators, units, or numerical values. Embeddings were L2-normalized, and cosine similarity was used:</w:t>
      </w:r>
    </w:p>
    <w:p w14:paraId="41956BED">
      <w:pPr>
        <w:keepLines/>
        <w:tabs>
          <w:tab w:val="center" w:pos="4680"/>
          <w:tab w:val="right" w:pos="9360"/>
        </w:tabs>
        <w:spacing w:before="60" w:after="80" w:line="259" w:lineRule="auto"/>
        <w:ind w:left="0" w:right="0" w:firstLine="0"/>
        <w:jc w:val="center"/>
        <w:rPr>
          <w:rFonts w:hint="default" w:ascii="Times New Roman Regular" w:hAnsi="Times New Roman Regular" w:eastAsia="宋体" w:cs="Times New Roman Regular"/>
        </w:rPr>
      </w:pPr>
      <w:r>
        <w:tab/>
      </w:r>
      <m:oMath>
        <m:r>
          <m:rPr>
            <m:sty m:val="p"/>
          </m:rPr>
          <m:t>S</m:t>
        </m:r>
        <m:r>
          <m:rPr>
            <m:sty m:val="p"/>
          </m:rPr>
          <m:t>i</m:t>
        </m:r>
        <m:r>
          <m:rPr>
            <m:sty m:val="p"/>
          </m:rPr>
          <m:t>m</m:t>
        </m:r>
        <m:r>
          <m:rPr>
            <m:sty m:val="p"/>
          </m:rPr>
          <m:t>(</m:t>
        </m:r>
        <m:sSub>
          <m:e>
            <m:r>
              <m:t>q</m:t>
            </m:r>
          </m:e>
          <m:sub>
            <m:r>
              <m:t>k</m:t>
            </m:r>
          </m:sub>
        </m:sSub>
        <m:r>
          <m:rPr>
            <m:sty m:val="p"/>
          </m:rPr>
          <m:t>,</m:t>
        </m:r>
        <m:sSub>
          <m:e>
            <m:r>
              <m:t>s</m:t>
            </m:r>
          </m:e>
          <m:sub>
            <m:r>
              <m:t>k</m:t>
            </m:r>
          </m:sub>
        </m:sSub>
        <m:r>
          <m:rPr>
            <m:sty m:val="p"/>
          </m:rPr>
          <m:t>)</m:t>
        </m:r>
        <m:r>
          <m:rPr>
            <m:sty m:val="p"/>
          </m:rPr>
          <m:t>=</m:t>
        </m:r>
        <m:f>
          <m:fPr>
            <m:type m:val="bar"/>
          </m:fPr>
          <m:num>
            <m:r>
              <m:t>e</m:t>
            </m:r>
            <m:r>
              <m:rPr>
                <m:sty m:val="p"/>
              </m:rPr>
              <m:t>(</m:t>
            </m:r>
            <m:sSub>
              <m:e>
                <m:r>
                  <m:t>q</m:t>
                </m:r>
              </m:e>
              <m:sub>
                <m:r>
                  <m:t>k</m:t>
                </m:r>
              </m:sub>
            </m:sSub>
            <m:r>
              <m:rPr>
                <m:sty m:val="p"/>
              </m:rPr>
              <m:t>)</m:t>
            </m:r>
            <m:r>
              <m:rPr>
                <m:sty m:val="p"/>
              </m:rPr>
              <m:t>⋅</m:t>
            </m:r>
            <m:r>
              <m:t>e</m:t>
            </m:r>
            <m:r>
              <m:rPr>
                <m:sty m:val="p"/>
              </m:rPr>
              <m:t>(</m:t>
            </m:r>
            <m:sSub>
              <m:e>
                <m:r>
                  <m:t>s</m:t>
                </m:r>
              </m:e>
              <m:sub>
                <m:r>
                  <m:t>k</m:t>
                </m:r>
              </m:sub>
            </m:sSub>
            <m:r>
              <m:rPr>
                <m:sty m:val="p"/>
              </m:rPr>
              <m:t>)</m:t>
            </m:r>
          </m:num>
          <m:den>
            <m:r>
              <m:rPr>
                <m:sty m:val="p"/>
              </m:rPr>
              <m:t>∥</m:t>
            </m:r>
            <m:r>
              <m:t>e</m:t>
            </m:r>
            <m:r>
              <m:rPr>
                <m:sty m:val="p"/>
              </m:rPr>
              <m:t>(</m:t>
            </m:r>
            <m:sSub>
              <m:e>
                <m:r>
                  <m:t>q</m:t>
                </m:r>
              </m:e>
              <m:sub>
                <m:r>
                  <m:t>k</m:t>
                </m:r>
              </m:sub>
            </m:sSub>
            <m:r>
              <m:rPr>
                <m:sty m:val="p"/>
              </m:rPr>
              <m:t>)</m:t>
            </m:r>
            <m:sSub>
              <m:e>
                <m:r>
                  <m:rPr>
                    <m:sty m:val="p"/>
                  </m:rPr>
                  <m:t>∥</m:t>
                </m:r>
              </m:e>
              <m:sub>
                <m:r>
                  <m:t>2</m:t>
                </m:r>
              </m:sub>
            </m:sSub>
            <m:r>
              <m:t> </m:t>
            </m:r>
            <m:r>
              <m:rPr>
                <m:sty m:val="p"/>
              </m:rPr>
              <m:t>∥</m:t>
            </m:r>
            <m:r>
              <m:t>e</m:t>
            </m:r>
            <m:r>
              <m:rPr>
                <m:sty m:val="p"/>
              </m:rPr>
              <m:t>(</m:t>
            </m:r>
            <m:sSub>
              <m:e>
                <m:r>
                  <m:t>s</m:t>
                </m:r>
              </m:e>
              <m:sub>
                <m:r>
                  <m:t>k</m:t>
                </m:r>
              </m:sub>
            </m:sSub>
            <m:r>
              <m:rPr>
                <m:sty m:val="p"/>
              </m:rPr>
              <m:t>)</m:t>
            </m:r>
            <m:sSub>
              <m:e>
                <m:r>
                  <m:rPr>
                    <m:sty m:val="p"/>
                  </m:rPr>
                  <m:t>∥</m:t>
                </m:r>
              </m:e>
              <m:sub>
                <m:r>
                  <m:t>2</m:t>
                </m:r>
              </m:sub>
            </m:sSub>
          </m:den>
        </m:f>
      </m:oMath>
      <w:r>
        <w:tab/>
      </w:r>
      <w:r>
        <w:rPr>
          <w:rFonts w:ascii="Times New Roman" w:hAnsi="Times New Roman" w:eastAsia="Times New Roman"/>
        </w:rPr>
        <w:t xml:space="preserve">(Equation 9)</w:t>
      </w:r>
    </w:p>
    <w:p w14:paraId="011BF78E">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A structured claim-evidence pair was counted as valid only when all three conditions were satisfied:</w:t>
      </w:r>
    </w:p>
    <w:p w14:paraId="002C22FB">
      <w:pPr>
        <w:keepLines/>
        <w:tabs>
          <w:tab w:val="center" w:pos="4680"/>
          <w:tab w:val="right" w:pos="9360"/>
        </w:tabs>
        <w:spacing w:before="60" w:after="80" w:line="259" w:lineRule="auto"/>
        <w:ind w:left="0" w:right="0" w:firstLine="0"/>
        <w:jc w:val="center"/>
        <w:rPr>
          <w:rFonts w:hint="default" w:ascii="Times New Roman Regular" w:hAnsi="Times New Roman Regular" w:eastAsia="宋体" w:cs="Times New Roman Regular"/>
        </w:rPr>
      </w:pPr>
      <w:r>
        <w:tab/>
      </w:r>
      <m:oMath>
        <m:sSub>
          <m:e>
            <m:r>
              <m:t>I</m:t>
            </m:r>
          </m:e>
          <m:sub>
            <m:r>
              <m:t>e</m:t>
            </m:r>
            <m:r>
              <m:t>v</m:t>
            </m:r>
            <m:r>
              <m:t>i</m:t>
            </m:r>
            <m:r>
              <m:t>d</m:t>
            </m:r>
            <m:r>
              <m:rPr>
                <m:sty m:val="p"/>
              </m:rPr>
              <m:t>,</m:t>
            </m:r>
            <m:r>
              <m:t>k</m:t>
            </m:r>
          </m:sub>
        </m:sSub>
        <m:r>
          <m:rPr>
            <m:sty m:val="p"/>
          </m:rPr>
          <m:t>=</m:t>
        </m:r>
        <m:sSub>
          <m:e>
            <m:r>
              <m:t>I</m:t>
            </m:r>
          </m:e>
          <m:sub>
            <m:r>
              <m:t>o</m:t>
            </m:r>
            <m:r>
              <m:t>c</m:t>
            </m:r>
            <m:r>
              <m:t>c</m:t>
            </m:r>
            <m:r>
              <m:t>u</m:t>
            </m:r>
            <m:r>
              <m:t>r</m:t>
            </m:r>
            <m:r>
              <m:t>r</m:t>
            </m:r>
            <m:r>
              <m:t>e</m:t>
            </m:r>
            <m:r>
              <m:t>n</m:t>
            </m:r>
            <m:r>
              <m:t>c</m:t>
            </m:r>
            <m:r>
              <m:t>e</m:t>
            </m:r>
            <m:r>
              <m:rPr>
                <m:sty m:val="p"/>
              </m:rPr>
              <m:t>,</m:t>
            </m:r>
            <m:r>
              <m:t>k</m:t>
            </m:r>
          </m:sub>
        </m:sSub>
        <m:r>
          <m:rPr>
            <m:sty m:val="p"/>
          </m:rPr>
          <m:t>×</m:t>
        </m:r>
        <m:sSub>
          <m:e>
            <m:r>
              <m:t>I</m:t>
            </m:r>
          </m:e>
          <m:sub>
            <m:r>
              <m:t>s</m:t>
            </m:r>
            <m:r>
              <m:t>e</m:t>
            </m:r>
            <m:r>
              <m:t>m</m:t>
            </m:r>
            <m:r>
              <m:t>a</m:t>
            </m:r>
            <m:r>
              <m:t>n</m:t>
            </m:r>
            <m:r>
              <m:t>t</m:t>
            </m:r>
            <m:r>
              <m:t>i</m:t>
            </m:r>
            <m:r>
              <m:t>c</m:t>
            </m:r>
            <m:r>
              <m:rPr>
                <m:sty m:val="p"/>
              </m:rPr>
              <m:t>,</m:t>
            </m:r>
            <m:r>
              <m:t>k</m:t>
            </m:r>
          </m:sub>
        </m:sSub>
        <m:r>
          <m:rPr>
            <m:sty m:val="p"/>
          </m:rPr>
          <m:t>×</m:t>
        </m:r>
        <m:sSub>
          <m:e>
            <m:r>
              <m:t>I</m:t>
            </m:r>
          </m:e>
          <m:sub>
            <m:r>
              <m:t>f</m:t>
            </m:r>
            <m:r>
              <m:t>a</m:t>
            </m:r>
            <m:r>
              <m:t>c</m:t>
            </m:r>
            <m:r>
              <m:t>t</m:t>
            </m:r>
            <m:r>
              <m:rPr>
                <m:sty m:val="p"/>
              </m:rPr>
              <m:t>,</m:t>
            </m:r>
            <m:r>
              <m:t>k</m:t>
            </m:r>
          </m:sub>
        </m:sSub>
      </m:oMath>
      <w:r>
        <w:tab/>
      </w:r>
      <w:r>
        <w:rPr>
          <w:rFonts w:ascii="Times New Roman" w:hAnsi="Times New Roman" w:eastAsia="Times New Roman"/>
        </w:rPr>
        <w:t xml:space="preserve">(Equation 10)</w:t>
      </w:r>
    </w:p>
    <w:p w14:paraId="6AE3F795">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where:</w:t>
      </w:r>
    </w:p>
    <w:p w14:paraId="7E490AAD">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cs="Times New Roman Regular"/>
          <w:b w:val="0"/>
          <w:i w:val="0"/>
        </w:rPr>
        <w:t xml:space="preserve">1. </w:t>
      </w:r>
      <m:oMath>
        <m:sSub>
          <m:sSubPr>
            <m:ctrlPr>
              <w:rPr>
                <w:rFonts w:hint="default" w:ascii="DejaVu Math TeX Gyre" w:hAnsi="DejaVu Math TeX Gyre" w:cs="Times New Roman Regular"/>
              </w:rPr>
            </m:ctrlPr>
          </m:sSubPr>
          <m:e>
            <m:r>
              <m:rPr>
                <m:nor/>
              </m:rPr>
              <w:rPr>
                <w:rFonts w:hint="default" w:ascii="DejaVu Math TeX Gyre" w:hAnsi="DejaVu Math TeX Gyre" w:cs="Times New Roman Regular"/>
                <w:i/>
              </w:rPr>
              <m:t>I</m:t>
            </m:r>
            <m:ctrlPr>
              <w:rPr>
                <w:rFonts w:hint="default" w:ascii="DejaVu Math TeX Gyre" w:hAnsi="DejaVu Math TeX Gyre" w:cs="Times New Roman Regular"/>
              </w:rPr>
            </m:ctrlPr>
          </m:e>
          <m:sub>
            <m:r>
              <m:rPr>
                <m:nor/>
              </m:rPr>
              <w:rPr>
                <w:rFonts w:hint="default" w:ascii="DejaVu Math TeX Gyre" w:hAnsi="DejaVu Math TeX Gyre" w:cs="Times New Roman Regular"/>
                <w:i/>
              </w:rPr>
              <m:t>occurrence</m:t>
            </m:r>
            <m:r>
              <m:rPr>
                <m:nor/>
                <m:sty m:val="p"/>
              </m:rPr>
              <w:rPr>
                <w:rFonts w:hint="default" w:ascii="DejaVu Math TeX Gyre" w:hAnsi="DejaVu Math TeX Gyre" w:cs="Times New Roman Regular"/>
                <w:b w:val="0"/>
                <w:i w:val="0"/>
              </w:rPr>
              <m:t>,</m:t>
            </m:r>
            <m:r>
              <m:rPr>
                <m:nor/>
              </m:rPr>
              <w:rPr>
                <w:rFonts w:hint="default" w:ascii="DejaVu Math TeX Gyre" w:hAnsi="DejaVu Math TeX Gyre" w:cs="Times New Roman Regular"/>
                <w:i/>
              </w:rPr>
              <m:t>k</m:t>
            </m:r>
            <m:ctrlPr>
              <w:rPr>
                <w:rFonts w:hint="default" w:ascii="DejaVu Math TeX Gyre" w:hAnsi="DejaVu Math TeX Gyre" w:cs="Times New Roman Regular"/>
              </w:rPr>
            </m:ctrlPr>
          </m:sub>
        </m:sSub>
        <m:r>
          <m:rPr>
            <m:nor/>
            <m:sty m:val="p"/>
          </m:rPr>
          <w:rPr>
            <w:rFonts w:hint="default" w:ascii="DejaVu Math TeX Gyre" w:hAnsi="DejaVu Math TeX Gyre" w:cs="Times New Roman Regular"/>
            <w:b w:val="0"/>
            <w:i w:val="0"/>
          </w:rPr>
          <m:t>= 1</m:t>
        </m:r>
      </m:oMath>
      <w:r>
        <w:rPr>
          <w:rFonts w:hint="default" w:ascii="Times New Roman Regular" w:hAnsi="Times New Roman Regular" w:cs="Times New Roman Regular"/>
          <w:b w:val="0"/>
          <w:i w:val="0"/>
        </w:rPr>
        <w:t xml:space="preserve"> when the selected sentence/span occurred in the same PMID abstract;</w:t>
      </w:r>
    </w:p>
    <w:p w14:paraId="052D30AB">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cs="Times New Roman Regular"/>
          <w:b w:val="0"/>
          <w:i w:val="0"/>
        </w:rPr>
        <w:t xml:space="preserve">2. </w:t>
      </w:r>
      <m:oMath>
        <m:sSub>
          <m:sSubPr>
            <m:ctrlPr>
              <w:rPr>
                <w:rFonts w:hint="default" w:ascii="DejaVu Math TeX Gyre" w:hAnsi="DejaVu Math TeX Gyre" w:cs="Times New Roman Regular"/>
              </w:rPr>
            </m:ctrlPr>
          </m:sSubPr>
          <m:e>
            <m:r>
              <m:rPr>
                <m:nor/>
              </m:rPr>
              <w:rPr>
                <w:rFonts w:hint="default" w:ascii="DejaVu Math TeX Gyre" w:hAnsi="DejaVu Math TeX Gyre" w:cs="Times New Roman Regular"/>
                <w:i/>
              </w:rPr>
              <m:t>I</m:t>
            </m:r>
            <m:ctrlPr>
              <w:rPr>
                <w:rFonts w:hint="default" w:ascii="DejaVu Math TeX Gyre" w:hAnsi="DejaVu Math TeX Gyre" w:cs="Times New Roman Regular"/>
              </w:rPr>
            </m:ctrlPr>
          </m:e>
          <m:sub>
            <m:r>
              <m:rPr>
                <m:nor/>
              </m:rPr>
              <w:rPr>
                <w:rFonts w:hint="default" w:ascii="DejaVu Math TeX Gyre" w:hAnsi="DejaVu Math TeX Gyre" w:cs="Times New Roman Regular"/>
                <w:i/>
              </w:rPr>
              <m:t>semantic</m:t>
            </m:r>
            <m:r>
              <m:rPr>
                <m:nor/>
                <m:sty m:val="p"/>
              </m:rPr>
              <w:rPr>
                <w:rFonts w:hint="default" w:ascii="DejaVu Math TeX Gyre" w:hAnsi="DejaVu Math TeX Gyre" w:cs="Times New Roman Regular"/>
                <w:b w:val="0"/>
                <w:i w:val="0"/>
              </w:rPr>
              <m:t>,</m:t>
            </m:r>
            <m:r>
              <m:rPr>
                <m:nor/>
              </m:rPr>
              <w:rPr>
                <w:rFonts w:hint="default" w:ascii="DejaVu Math TeX Gyre" w:hAnsi="DejaVu Math TeX Gyre" w:cs="Times New Roman Regular"/>
                <w:i/>
              </w:rPr>
              <m:t>k</m:t>
            </m:r>
            <m:ctrlPr>
              <w:rPr>
                <w:rFonts w:hint="default" w:ascii="DejaVu Math TeX Gyre" w:hAnsi="DejaVu Math TeX Gyre" w:cs="Times New Roman Regular"/>
              </w:rPr>
            </m:ctrlPr>
          </m:sub>
        </m:sSub>
        <m:r>
          <m:rPr>
            <m:nor/>
            <m:sty m:val="p"/>
          </m:rPr>
          <w:rPr>
            <w:rFonts w:hint="default" w:ascii="DejaVu Math TeX Gyre" w:hAnsi="DejaVu Math TeX Gyre" w:cs="Times New Roman Regular"/>
            <w:b w:val="0"/>
            <w:i w:val="0"/>
          </w:rPr>
          <m:t>= 1</m:t>
        </m:r>
      </m:oMath>
      <w:r>
        <w:rPr>
          <w:rFonts w:hint="default" w:ascii="Times New Roman Regular" w:hAnsi="Times New Roman Regular" w:cs="Times New Roman Regular"/>
          <w:b w:val="0"/>
          <w:i w:val="0"/>
        </w:rPr>
        <w:t xml:space="preserve"> when </w:t>
      </w:r>
      <m:oMath>
        <m:r>
          <m:rPr>
            <m:nor/>
          </m:rPr>
          <w:rPr>
            <w:rFonts w:hint="default" w:ascii="DejaVu Math TeX Gyre" w:hAnsi="DejaVu Math TeX Gyre" w:cs="Times New Roman Regular"/>
            <w:i/>
          </w:rPr>
          <m:t>Sim</m:t>
        </m:r>
        <m:r>
          <m:rPr>
            <m:nor/>
            <m:sty m:val="p"/>
          </m:rPr>
          <w:rPr>
            <w:rFonts w:hint="default" w:ascii="DejaVu Math TeX Gyre" w:hAnsi="DejaVu Math TeX Gyre" w:cs="Times New Roman Regular"/>
            <w:b w:val="0"/>
            <w:i w:val="0"/>
          </w:rPr>
          <m:t>(</m:t>
        </m:r>
        <m:sSub>
          <m:sSubPr>
            <m:ctrlPr>
              <w:rPr>
                <w:rFonts w:hint="default" w:ascii="DejaVu Math TeX Gyre" w:hAnsi="DejaVu Math TeX Gyre" w:cs="Times New Roman Regular"/>
              </w:rPr>
            </m:ctrlPr>
          </m:sSubPr>
          <m:e>
            <m:r>
              <m:rPr>
                <m:nor/>
              </m:rPr>
              <w:rPr>
                <w:rFonts w:hint="default" w:ascii="DejaVu Math TeX Gyre" w:hAnsi="DejaVu Math TeX Gyre" w:cs="Times New Roman Regular"/>
                <w:i/>
              </w:rPr>
              <m:t>q</m:t>
            </m:r>
            <m:ctrlPr>
              <w:rPr>
                <w:rFonts w:hint="default" w:ascii="DejaVu Math TeX Gyre" w:hAnsi="DejaVu Math TeX Gyre" w:cs="Times New Roman Regular"/>
              </w:rPr>
            </m:ctrlPr>
          </m:e>
          <m:sub>
            <m:r>
              <m:rPr>
                <m:nor/>
              </m:rPr>
              <w:rPr>
                <w:rFonts w:hint="default" w:ascii="DejaVu Math TeX Gyre" w:hAnsi="DejaVu Math TeX Gyre" w:cs="Times New Roman Regular"/>
                <w:i/>
              </w:rPr>
              <m:t>k</m:t>
            </m:r>
            <m:ctrlPr>
              <w:rPr>
                <w:rFonts w:hint="default" w:ascii="DejaVu Math TeX Gyre" w:hAnsi="DejaVu Math TeX Gyre" w:cs="Times New Roman Regular"/>
              </w:rPr>
            </m:ctrlPr>
          </m:sub>
        </m:sSub>
        <m:r>
          <m:rPr>
            <m:nor/>
            <m:sty m:val="p"/>
          </m:rPr>
          <w:rPr>
            <w:rFonts w:hint="default" w:ascii="DejaVu Math TeX Gyre" w:hAnsi="DejaVu Math TeX Gyre" w:cs="Times New Roman Regular"/>
            <w:b w:val="0"/>
            <w:i w:val="0"/>
          </w:rPr>
          <m:t>,</m:t>
        </m:r>
        <m:sSub>
          <m:sSubPr>
            <m:ctrlPr>
              <w:rPr>
                <w:rFonts w:hint="default" w:ascii="DejaVu Math TeX Gyre" w:hAnsi="DejaVu Math TeX Gyre" w:cs="Times New Roman Regular"/>
              </w:rPr>
            </m:ctrlPr>
          </m:sSubPr>
          <m:e>
            <m:r>
              <m:rPr>
                <m:nor/>
              </m:rPr>
              <w:rPr>
                <w:rFonts w:hint="default" w:ascii="DejaVu Math TeX Gyre" w:hAnsi="DejaVu Math TeX Gyre" w:cs="Times New Roman Regular"/>
                <w:i/>
              </w:rPr>
              <m:t>s</m:t>
            </m:r>
            <m:ctrlPr>
              <w:rPr>
                <w:rFonts w:hint="default" w:ascii="DejaVu Math TeX Gyre" w:hAnsi="DejaVu Math TeX Gyre" w:cs="Times New Roman Regular"/>
              </w:rPr>
            </m:ctrlPr>
          </m:e>
          <m:sub>
            <m:r>
              <m:rPr>
                <m:nor/>
              </m:rPr>
              <w:rPr>
                <w:rFonts w:hint="default" w:ascii="DejaVu Math TeX Gyre" w:hAnsi="DejaVu Math TeX Gyre" w:cs="Times New Roman Regular"/>
                <w:i/>
              </w:rPr>
              <m:t>k</m:t>
            </m:r>
            <m:ctrlPr>
              <w:rPr>
                <w:rFonts w:hint="default" w:ascii="DejaVu Math TeX Gyre" w:hAnsi="DejaVu Math TeX Gyre" w:cs="Times New Roman Regular"/>
              </w:rPr>
            </m:ctrlPr>
          </m:sub>
        </m:sSub>
        <m:r>
          <m:rPr>
            <m:nor/>
            <m:sty m:val="p"/>
          </m:rPr>
          <w:rPr>
            <w:rFonts w:hint="default" w:ascii="DejaVu Math TeX Gyre" w:hAnsi="DejaVu Math TeX Gyre" w:cs="Times New Roman Regular"/>
            <w:b w:val="0"/>
            <w:i w:val="0"/>
          </w:rPr>
          <m:t xml:space="preserve">) ≥ </m:t>
        </m:r>
        <m:r>
          <m:rPr>
            <m:nor/>
          </m:rPr>
          <w:rPr>
            <w:rFonts w:hint="default" w:ascii="DejaVu Math TeX Gyre" w:hAnsi="DejaVu Math TeX Gyre" w:cs="Times New Roman Regular"/>
            <w:i/>
          </w:rPr>
          <m:t>θ</m:t>
        </m:r>
      </m:oMath>
      <w:r>
        <w:rPr>
          <w:rFonts w:hint="default" w:ascii="Times New Roman Regular" w:hAnsi="Times New Roman Regular" w:cs="Times New Roman Regular"/>
          <w:b w:val="0"/>
          <w:i w:val="0"/>
        </w:rPr>
        <w:t>;</w:t>
      </w:r>
    </w:p>
    <w:p w14:paraId="426A54E9">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cs="Times New Roman Regular"/>
          <w:b w:val="0"/>
          <w:i w:val="0"/>
        </w:rPr>
        <w:t xml:space="preserve">3. </w:t>
      </w:r>
      <m:oMath>
        <m:sSub>
          <m:sSubPr>
            <m:ctrlPr>
              <w:rPr>
                <w:rFonts w:hint="default" w:ascii="DejaVu Math TeX Gyre" w:hAnsi="DejaVu Math TeX Gyre" w:cs="Times New Roman Regular"/>
              </w:rPr>
            </m:ctrlPr>
          </m:sSubPr>
          <m:e>
            <m:r>
              <m:rPr>
                <m:nor/>
              </m:rPr>
              <w:rPr>
                <w:rFonts w:hint="default" w:ascii="DejaVu Math TeX Gyre" w:hAnsi="DejaVu Math TeX Gyre" w:cs="Times New Roman Regular"/>
                <w:i/>
              </w:rPr>
              <m:t>I</m:t>
            </m:r>
            <m:ctrlPr>
              <w:rPr>
                <w:rFonts w:hint="default" w:ascii="DejaVu Math TeX Gyre" w:hAnsi="DejaVu Math TeX Gyre" w:cs="Times New Roman Regular"/>
              </w:rPr>
            </m:ctrlPr>
          </m:e>
          <m:sub>
            <m:r>
              <m:rPr>
                <m:nor/>
              </m:rPr>
              <w:rPr>
                <w:rFonts w:hint="default" w:ascii="DejaVu Math TeX Gyre" w:hAnsi="DejaVu Math TeX Gyre" w:cs="Times New Roman Regular"/>
                <w:i/>
              </w:rPr>
              <m:t>fact</m:t>
            </m:r>
            <m:r>
              <m:rPr>
                <m:nor/>
                <m:sty m:val="p"/>
              </m:rPr>
              <w:rPr>
                <w:rFonts w:hint="default" w:ascii="DejaVu Math TeX Gyre" w:hAnsi="DejaVu Math TeX Gyre" w:cs="Times New Roman Regular"/>
                <w:b w:val="0"/>
                <w:i w:val="0"/>
              </w:rPr>
              <m:t>,</m:t>
            </m:r>
            <m:r>
              <m:rPr>
                <m:nor/>
              </m:rPr>
              <w:rPr>
                <w:rFonts w:hint="default" w:ascii="DejaVu Math TeX Gyre" w:hAnsi="DejaVu Math TeX Gyre" w:cs="Times New Roman Regular"/>
                <w:i/>
              </w:rPr>
              <m:t>k</m:t>
            </m:r>
            <m:ctrlPr>
              <w:rPr>
                <w:rFonts w:hint="default" w:ascii="DejaVu Math TeX Gyre" w:hAnsi="DejaVu Math TeX Gyre" w:cs="Times New Roman Regular"/>
              </w:rPr>
            </m:ctrlPr>
          </m:sub>
        </m:sSub>
        <m:r>
          <m:rPr>
            <m:nor/>
            <m:sty m:val="p"/>
          </m:rPr>
          <w:rPr>
            <w:rFonts w:hint="default" w:ascii="DejaVu Math TeX Gyre" w:hAnsi="DejaVu Math TeX Gyre" w:cs="Times New Roman Regular"/>
            <w:b w:val="0"/>
            <w:i w:val="0"/>
          </w:rPr>
          <m:t>= 1</m:t>
        </m:r>
      </m:oMath>
      <w:r>
        <w:rPr>
          <w:rFonts w:hint="default" w:ascii="Times New Roman Regular" w:hAnsi="Times New Roman Regular" w:cs="Times New Roman Regular"/>
          <w:b w:val="0"/>
          <w:i w:val="0"/>
        </w:rPr>
        <w:t xml:space="preserve"> when critical facts were consistent.</w:t>
      </w:r>
    </w:p>
    <w:p w14:paraId="4232ACCC">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Critical-fact consistency required agreement in all applicable elements:</w:t>
      </w:r>
    </w:p>
    <w:p w14:paraId="0ED90052">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1. numerical value;</w:t>
      </w:r>
    </w:p>
    <w:p w14:paraId="109775BA">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2. inequality operator;</w:t>
      </w:r>
    </w:p>
    <w:p w14:paraId="612740B0">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3. unit or scale;</w:t>
      </w:r>
    </w:p>
    <w:p w14:paraId="5F4A8353">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4. effect-measure type;</w:t>
      </w:r>
    </w:p>
    <w:p w14:paraId="0FFDC536">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5. intervention/comparator attribution;</w:t>
      </w:r>
    </w:p>
    <w:p w14:paraId="5821FDBA">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6. endpoint;</w:t>
      </w:r>
    </w:p>
    <w:p w14:paraId="665A106F">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7. population or subgroup;</w:t>
      </w:r>
    </w:p>
    <w:p w14:paraId="492E077C">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8. time point; and</w:t>
      </w:r>
    </w:p>
    <w:p w14:paraId="0E8F474F">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9. analysis method.</w:t>
      </w:r>
    </w:p>
    <w:p w14:paraId="2B63871A">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Evidence-Supported Item Rate was:</w:t>
      </w:r>
    </w:p>
    <w:p>
      <w:pPr>
        <w:spacing w:after="80" w:line="259" w:lineRule="auto"/>
        <w:ind w:left="0" w:right="0" w:firstLine="0"/>
        <w:jc w:val="center"/>
        <w:rPr>
          <w:rFonts w:hint="default" w:ascii="Times New Roman Regular" w:hAnsi="Times New Roman Regular" w:eastAsia="宋体" w:cs="Times New Roman Regular"/>
        </w:rPr>
      </w:pPr>
      <m:oMath>
        <m:r>
          <m:rPr>
            <m:nor/>
            <m:sty m:val="p"/>
          </m:rPr>
          <w:rPr>
            <w:rFonts w:ascii="Cambria Math" w:hAnsi="Cambria Math"/>
          </w:rPr>
          <m:t>Evidence-Supported Item Rate</m:t>
        </m:r>
        <m:r>
          <m:rPr>
            <m:nor/>
            <m:sty m:val="p"/>
          </m:rPr>
          <w:rPr>
            <w:rFonts w:ascii="Cambria Math" w:hAnsi="Cambria Math"/>
          </w:rPr>
          <m:t> = </m:t>
        </m:r>
        <m:f>
          <m:num>
            <m:r>
              <m:rPr>
                <m:nor/>
              </m:rPr>
              <w:rPr>
                <w:rFonts w:ascii="Cambria Math" w:hAnsi="Cambria Math"/>
                <w:i/>
              </w:rPr>
              <m:t>V</m:t>
            </m:r>
          </m:num>
          <m:den>
            <m:r>
              <m:rPr>
                <m:nor/>
              </m:rPr>
              <w:rPr>
                <w:rFonts w:ascii="Cambria Math" w:hAnsi="Cambria Math"/>
                <w:i/>
              </w:rPr>
              <m:t>E</m:t>
            </m:r>
          </m:den>
        </m:f>
      </m:oMath>
    </w:p>
    <w:p w14:paraId="2C235A41">
      <w:pPr>
        <w:keepLines/>
        <w:tabs>
          <w:tab w:val="center" w:pos="4680"/>
          <w:tab w:val="right" w:pos="9360"/>
        </w:tabs>
        <w:spacing w:before="60" w:after="80" w:line="259" w:lineRule="auto"/>
        <w:ind w:left="0" w:right="0" w:firstLine="0"/>
        <w:jc w:val="center"/>
        <w:rPr>
          <w:rFonts w:hint="default" w:ascii="Times New Roman Regular" w:hAnsi="Times New Roman Regular" w:eastAsia="宋体" w:cs="Times New Roman Regular"/>
        </w:rPr>
      </w:pPr>
      <w:r>
        <w:tab/>
      </w:r>
      <m:oMath>
        <m:sSub>
          <m:e>
            <m:r>
              <m:rPr>
                <m:sty m:val="p"/>
              </m:rPr>
              <m:t>A</m:t>
            </m:r>
            <m:r>
              <m:rPr>
                <m:sty m:val="p"/>
              </m:rPr>
              <m:t>c</m:t>
            </m:r>
            <m:r>
              <m:rPr>
                <m:sty m:val="p"/>
              </m:rPr>
              <m:t>c</m:t>
            </m:r>
          </m:e>
          <m:sub>
            <m:r>
              <m:t>e</m:t>
            </m:r>
            <m:r>
              <m:t>v</m:t>
            </m:r>
            <m:r>
              <m:t>i</m:t>
            </m:r>
            <m:r>
              <m:t>d</m:t>
            </m:r>
          </m:sub>
        </m:sSub>
        <m:r>
          <m:rPr>
            <m:sty m:val="p"/>
          </m:rPr>
          <m:t>=</m:t>
        </m:r>
        <m:f>
          <m:fPr>
            <m:type m:val="bar"/>
          </m:fPr>
          <m:num>
            <m:r>
              <m:t>1</m:t>
            </m:r>
          </m:num>
          <m:den>
            <m:sSub>
              <m:e>
                <m:r>
                  <m:t>N</m:t>
                </m:r>
              </m:e>
              <m:sub>
                <m:r>
                  <m:t>e</m:t>
                </m:r>
                <m:r>
                  <m:t>v</m:t>
                </m:r>
                <m:r>
                  <m:t>i</m:t>
                </m:r>
                <m:r>
                  <m:t>d</m:t>
                </m:r>
              </m:sub>
            </m:sSub>
          </m:den>
        </m:f>
        <m:nary>
          <m:naryPr>
            <m:chr m:val="∑"/>
            <m:limLoc m:val="undOvr"/>
            <m:subHide m:val="off"/>
            <m:supHide m:val="off"/>
          </m:naryPr>
          <m:sub>
            <m:r>
              <m:t>k</m:t>
            </m:r>
            <m:r>
              <m:rPr>
                <m:sty m:val="p"/>
              </m:rPr>
              <m:t>=</m:t>
            </m:r>
            <m:r>
              <m:t>1</m:t>
            </m:r>
          </m:sub>
          <m:sup>
            <m:sSub>
              <m:e>
                <m:r>
                  <m:t>N</m:t>
                </m:r>
              </m:e>
              <m:sub>
                <m:r>
                  <m:t>e</m:t>
                </m:r>
                <m:r>
                  <m:t>v</m:t>
                </m:r>
                <m:r>
                  <m:t>i</m:t>
                </m:r>
                <m:r>
                  <m:t>d</m:t>
                </m:r>
              </m:sub>
            </m:sSub>
          </m:sup>
          <m:e>
            <m:sSub>
              <m:e>
                <m:r>
                  <m:t>I</m:t>
                </m:r>
              </m:e>
              <m:sub>
                <m:r>
                  <m:t>e</m:t>
                </m:r>
                <m:r>
                  <m:t>v</m:t>
                </m:r>
                <m:r>
                  <m:t>i</m:t>
                </m:r>
                <m:r>
                  <m:t>d</m:t>
                </m:r>
                <m:r>
                  <m:rPr>
                    <m:sty m:val="p"/>
                  </m:rPr>
                  <m:t>,</m:t>
                </m:r>
                <m:r>
                  <m:t>k</m:t>
                </m:r>
              </m:sub>
            </m:sSub>
          </m:e>
        </m:nary>
      </m:oMath>
      <w:r>
        <w:tab/>
      </w:r>
      <w:r>
        <w:rPr>
          <w:rFonts w:ascii="Times New Roman" w:hAnsi="Times New Roman" w:eastAsia="Times New Roman"/>
        </w:rPr>
        <w:t xml:space="preserve">(Equation 11)</w:t>
      </w:r>
    </w:p>
    <w:p w14:paraId="2B443F38">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Exceeding the semantic-support threshold alone was insufficient. A pair failed whenever its source was not the same PMID or when it contained a conflicting number, arm, endpoint, subgroup, time point, effect-measure type, unit, operator, or analysis context.</w:t>
      </w:r>
    </w:p>
    <w:p w14:paraId="45526642">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rPr>
        <w:t>When one sentence was insufficient and the supporting content occurred in two adjacent sentences, the minimal contiguous two-sentence span could be evaluated. When the post-extraction audit procedure identified several candidate sentences, only candidates occurring in the same abstract were eligible; the highest-scoring eligible candidate was used.</w:t>
      </w:r>
    </w:p>
    <w:p w14:paraId="36FD50B6">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Registry text, publication titles alone, external documents, and model-generated paraphrases were not accepted as evidence sentences.</w:t>
      </w:r>
    </w:p>
    <w:p w14:paraId="64C76F32">
      <w:pPr>
        <w:pStyle w:val="7"/>
        <w:keepNext/>
        <w:spacing w:after="80"/>
        <w:rPr>
          <w:rFonts w:hint="default" w:ascii="Times New Roman Regular" w:hAnsi="Times New Roman Regular" w:cs="Times New Roman Regular"/>
        </w:rPr>
      </w:pPr>
      <w:r>
        <w:rPr>
          <w:rFonts w:hint="default" w:ascii="Times New Roman Regular" w:hAnsi="Times New Roman Regular" w:cs="Times New Roman Regular"/>
          <w:b/>
        </w:rPr>
        <w:t xml:space="preserve">Table </w:t>
      </w:r>
      <w:r>
        <w:rPr>
          <w:rFonts w:hint="eastAsia" w:ascii="Times New Roman Regular" w:hAnsi="Times New Roman Regular" w:eastAsia="宋体" w:cs="Times New Roman Regular"/>
          <w:b/>
          <w:lang w:val="en-US" w:eastAsia="zh-CN"/>
        </w:rPr>
        <w:t>9</w:t>
      </w:r>
      <w:r>
        <w:rPr>
          <w:rFonts w:hint="default" w:ascii="Times New Roman Regular" w:hAnsi="Times New Roman Regular" w:cs="Times New Roman Regular"/>
          <w:b/>
        </w:rPr>
        <w:t>. Field-specific numerical correctness rules</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9"/>
        <w:gridCol w:w="3389"/>
        <w:gridCol w:w="3389"/>
      </w:tblGrid>
      <w:tr w14:paraId="194EB51E">
        <w:trPr>
          <w:cantSplit/>
          <w:tblHeader/>
          <w:jc w:val="center"/>
        </w:trPr>
        <w:tc>
          <w:tcPr>
            <w:tcW w:w="3389" w:type="dxa"/>
            <w:shd w:val="clear" w:color="auto" w:fill="D9EAF7"/>
            <w:tcMar>
              <w:top w:w="80" w:type="dxa"/>
              <w:left w:w="100" w:type="dxa"/>
              <w:bottom w:w="80" w:type="dxa"/>
              <w:right w:w="100" w:type="dxa"/>
            </w:tcMar>
            <w:vAlign w:val="center"/>
          </w:tcPr>
          <w:p w14:paraId="602B417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Field type</w:t>
            </w:r>
          </w:p>
        </w:tc>
        <w:tc>
          <w:tcPr>
            <w:tcW w:w="3389" w:type="dxa"/>
            <w:shd w:val="clear" w:color="auto" w:fill="D9EAF7"/>
            <w:tcMar>
              <w:top w:w="80" w:type="dxa"/>
              <w:left w:w="100" w:type="dxa"/>
              <w:bottom w:w="80" w:type="dxa"/>
              <w:right w:w="100" w:type="dxa"/>
            </w:tcMar>
            <w:vAlign w:val="center"/>
          </w:tcPr>
          <w:p w14:paraId="3D81F54A">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Correctness rule</w:t>
            </w:r>
          </w:p>
        </w:tc>
        <w:tc>
          <w:tcPr>
            <w:tcW w:w="3389" w:type="dxa"/>
            <w:shd w:val="clear" w:color="auto" w:fill="D9EAF7"/>
            <w:tcMar>
              <w:top w:w="80" w:type="dxa"/>
              <w:left w:w="100" w:type="dxa"/>
              <w:bottom w:w="80" w:type="dxa"/>
              <w:right w:w="100" w:type="dxa"/>
            </w:tcMar>
            <w:vAlign w:val="center"/>
          </w:tcPr>
          <w:p w14:paraId="250FC5F8">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Additional requirement</w:t>
            </w:r>
          </w:p>
        </w:tc>
      </w:tr>
      <w:tr w14:paraId="4EB9AADE">
        <w:trPr>
          <w:cantSplit/>
          <w:jc w:val="center"/>
        </w:trPr>
        <w:tc>
          <w:tcPr>
            <w:tcW w:w="3389" w:type="dxa"/>
            <w:tcMar>
              <w:top w:w="80" w:type="dxa"/>
              <w:left w:w="100" w:type="dxa"/>
              <w:bottom w:w="80" w:type="dxa"/>
              <w:right w:w="100" w:type="dxa"/>
            </w:tcMar>
            <w:vAlign w:val="center"/>
          </w:tcPr>
          <w:p w14:paraId="7340C272">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6"/>
              </w:rPr>
              <w:t>HR, OR, RR, or other dimensionless ratio estimate</w:t>
            </w:r>
          </w:p>
        </w:tc>
        <w:tc>
          <w:tcPr>
            <w:tcW w:w="3389" w:type="dxa"/>
            <w:tcMar>
              <w:top w:w="80" w:type="dxa"/>
              <w:left w:w="100" w:type="dxa"/>
              <w:bottom w:w="80" w:type="dxa"/>
              <w:right w:w="100" w:type="dxa"/>
            </w:tcMar>
            <w:vAlign w:val="center"/>
          </w:tcPr>
          <w:p w14:paraId="41EB1B7E">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Effect-measure type must match; absolute numerical error &lt;= 0.01</w:t>
            </w:r>
          </w:p>
        </w:tc>
        <w:tc>
          <w:tcPr>
            <w:tcW w:w="3389" w:type="dxa"/>
            <w:tcMar>
              <w:top w:w="80" w:type="dxa"/>
              <w:left w:w="100" w:type="dxa"/>
              <w:bottom w:w="80" w:type="dxa"/>
              <w:right w:w="100" w:type="dxa"/>
            </w:tcMar>
            <w:vAlign w:val="center"/>
          </w:tcPr>
          <w:p w14:paraId="3B88FB09">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HR and OR are not interchangeable</w:t>
            </w:r>
          </w:p>
        </w:tc>
      </w:tr>
      <w:tr w14:paraId="68C9A41E">
        <w:trPr>
          <w:cantSplit/>
          <w:jc w:val="center"/>
        </w:trPr>
        <w:tc>
          <w:tcPr>
            <w:tcW w:w="3389" w:type="dxa"/>
            <w:tcMar>
              <w:top w:w="80" w:type="dxa"/>
              <w:left w:w="100" w:type="dxa"/>
              <w:bottom w:w="80" w:type="dxa"/>
              <w:right w:w="100" w:type="dxa"/>
            </w:tcMar>
            <w:vAlign w:val="center"/>
          </w:tcPr>
          <w:p w14:paraId="36FFBFCF">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6"/>
              </w:rPr>
              <w:t>CI lower and upper limits for ratio measures</w:t>
            </w:r>
          </w:p>
        </w:tc>
        <w:tc>
          <w:tcPr>
            <w:tcW w:w="3389" w:type="dxa"/>
            <w:tcMar>
              <w:top w:w="80" w:type="dxa"/>
              <w:left w:w="100" w:type="dxa"/>
              <w:bottom w:w="80" w:type="dxa"/>
              <w:right w:w="100" w:type="dxa"/>
            </w:tcMar>
            <w:vAlign w:val="center"/>
          </w:tcPr>
          <w:p w14:paraId="52BA13AF">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Each bound evaluated separately; absolute error &lt;= 0.01</w:t>
            </w:r>
          </w:p>
        </w:tc>
        <w:tc>
          <w:tcPr>
            <w:tcW w:w="3389" w:type="dxa"/>
            <w:tcMar>
              <w:top w:w="80" w:type="dxa"/>
              <w:left w:w="100" w:type="dxa"/>
              <w:bottom w:w="80" w:type="dxa"/>
              <w:right w:w="100" w:type="dxa"/>
            </w:tcMar>
            <w:vAlign w:val="center"/>
          </w:tcPr>
          <w:p w14:paraId="0CEEF810">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CI must belong to the same effect measure and CU</w:t>
            </w:r>
          </w:p>
        </w:tc>
      </w:tr>
      <w:tr w14:paraId="1AEF92F0">
        <w:trPr>
          <w:cantSplit/>
          <w:jc w:val="center"/>
        </w:trPr>
        <w:tc>
          <w:tcPr>
            <w:tcW w:w="3389" w:type="dxa"/>
            <w:tcMar>
              <w:top w:w="80" w:type="dxa"/>
              <w:left w:w="100" w:type="dxa"/>
              <w:bottom w:w="80" w:type="dxa"/>
              <w:right w:w="100" w:type="dxa"/>
            </w:tcMar>
            <w:vAlign w:val="center"/>
          </w:tcPr>
          <w:p w14:paraId="1C430E09">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6"/>
              </w:rPr>
              <w:t>CI confidence level</w:t>
            </w:r>
          </w:p>
        </w:tc>
        <w:tc>
          <w:tcPr>
            <w:tcW w:w="3389" w:type="dxa"/>
            <w:tcMar>
              <w:top w:w="80" w:type="dxa"/>
              <w:left w:w="100" w:type="dxa"/>
              <w:bottom w:w="80" w:type="dxa"/>
              <w:right w:w="100" w:type="dxa"/>
            </w:tcMar>
            <w:vAlign w:val="center"/>
          </w:tcPr>
          <w:p w14:paraId="2E7A852F">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Exact categorical match</w:t>
            </w:r>
          </w:p>
        </w:tc>
        <w:tc>
          <w:tcPr>
            <w:tcW w:w="3389" w:type="dxa"/>
            <w:tcMar>
              <w:top w:w="80" w:type="dxa"/>
              <w:left w:w="100" w:type="dxa"/>
              <w:bottom w:w="80" w:type="dxa"/>
              <w:right w:w="100" w:type="dxa"/>
            </w:tcMar>
            <w:vAlign w:val="center"/>
          </w:tcPr>
          <w:p w14:paraId="54447470">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A missing level is not assumed to be 95%</w:t>
            </w:r>
          </w:p>
        </w:tc>
      </w:tr>
      <w:tr w14:paraId="620D47FE">
        <w:trPr>
          <w:cantSplit/>
          <w:jc w:val="center"/>
        </w:trPr>
        <w:tc>
          <w:tcPr>
            <w:tcW w:w="3389" w:type="dxa"/>
            <w:tcMar>
              <w:top w:w="80" w:type="dxa"/>
              <w:left w:w="100" w:type="dxa"/>
              <w:bottom w:w="80" w:type="dxa"/>
              <w:right w:w="100" w:type="dxa"/>
            </w:tcMar>
            <w:vAlign w:val="center"/>
          </w:tcPr>
          <w:p w14:paraId="29154578">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6"/>
              </w:rPr>
              <w:t>rate_I and rate_C as percentage/rate</w:t>
            </w:r>
          </w:p>
        </w:tc>
        <w:tc>
          <w:tcPr>
            <w:tcW w:w="3389" w:type="dxa"/>
            <w:tcMar>
              <w:top w:w="80" w:type="dxa"/>
              <w:left w:w="100" w:type="dxa"/>
              <w:bottom w:w="80" w:type="dxa"/>
              <w:right w:w="100" w:type="dxa"/>
            </w:tcMar>
            <w:vAlign w:val="center"/>
          </w:tcPr>
          <w:p w14:paraId="2D1942FE">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Unit preserved; predicted value rounded to the gold-reported decimal precision must equal the gold value</w:t>
            </w:r>
          </w:p>
        </w:tc>
        <w:tc>
          <w:tcPr>
            <w:tcW w:w="3389" w:type="dxa"/>
            <w:tcMar>
              <w:top w:w="80" w:type="dxa"/>
              <w:left w:w="100" w:type="dxa"/>
              <w:bottom w:w="80" w:type="dxa"/>
              <w:right w:w="100" w:type="dxa"/>
            </w:tcMar>
            <w:vAlign w:val="center"/>
          </w:tcPr>
          <w:p w14:paraId="5FC760B8">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Percent and proportion are not silently interchanged</w:t>
            </w:r>
          </w:p>
        </w:tc>
      </w:tr>
      <w:tr w14:paraId="674C7A94">
        <w:trPr>
          <w:cantSplit/>
          <w:jc w:val="center"/>
        </w:trPr>
        <w:tc>
          <w:tcPr>
            <w:tcW w:w="3389" w:type="dxa"/>
            <w:tcMar>
              <w:top w:w="80" w:type="dxa"/>
              <w:left w:w="100" w:type="dxa"/>
              <w:bottom w:w="80" w:type="dxa"/>
              <w:right w:w="100" w:type="dxa"/>
            </w:tcMar>
            <w:vAlign w:val="center"/>
          </w:tcPr>
          <w:p w14:paraId="72A64E86">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6"/>
              </w:rPr>
              <w:t>Counts</w:t>
            </w:r>
          </w:p>
        </w:tc>
        <w:tc>
          <w:tcPr>
            <w:tcW w:w="3389" w:type="dxa"/>
            <w:tcMar>
              <w:top w:w="80" w:type="dxa"/>
              <w:left w:w="100" w:type="dxa"/>
              <w:bottom w:w="80" w:type="dxa"/>
              <w:right w:w="100" w:type="dxa"/>
            </w:tcMar>
            <w:vAlign w:val="center"/>
          </w:tcPr>
          <w:p w14:paraId="5563325C">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Exact integer match</w:t>
            </w:r>
          </w:p>
        </w:tc>
        <w:tc>
          <w:tcPr>
            <w:tcW w:w="3389" w:type="dxa"/>
            <w:tcMar>
              <w:top w:w="80" w:type="dxa"/>
              <w:left w:w="100" w:type="dxa"/>
              <w:bottom w:w="80" w:type="dxa"/>
              <w:right w:w="100" w:type="dxa"/>
            </w:tcMar>
            <w:vAlign w:val="center"/>
          </w:tcPr>
          <w:p w14:paraId="305A7AFF">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Arm and endpoint attribution must match</w:t>
            </w:r>
          </w:p>
        </w:tc>
      </w:tr>
      <w:tr w14:paraId="7C9CC921">
        <w:trPr>
          <w:cantSplit/>
          <w:jc w:val="center"/>
        </w:trPr>
        <w:tc>
          <w:tcPr>
            <w:tcW w:w="3389" w:type="dxa"/>
            <w:tcMar>
              <w:top w:w="80" w:type="dxa"/>
              <w:left w:w="100" w:type="dxa"/>
              <w:bottom w:w="80" w:type="dxa"/>
              <w:right w:w="100" w:type="dxa"/>
            </w:tcMar>
            <w:vAlign w:val="center"/>
          </w:tcPr>
          <w:p w14:paraId="7B8215E1">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6"/>
              </w:rPr>
              <w:t>Time-to-event, median, score, or other continuous value</w:t>
            </w:r>
          </w:p>
        </w:tc>
        <w:tc>
          <w:tcPr>
            <w:tcW w:w="3389" w:type="dxa"/>
            <w:tcMar>
              <w:top w:w="80" w:type="dxa"/>
              <w:left w:w="100" w:type="dxa"/>
              <w:bottom w:w="80" w:type="dxa"/>
              <w:right w:w="100" w:type="dxa"/>
            </w:tcMar>
            <w:vAlign w:val="center"/>
          </w:tcPr>
          <w:p w14:paraId="30CC6EB3">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Unit preserved; predicted value rounded to the gold-reported precision must equal the gold value</w:t>
            </w:r>
          </w:p>
        </w:tc>
        <w:tc>
          <w:tcPr>
            <w:tcW w:w="3389" w:type="dxa"/>
            <w:tcMar>
              <w:top w:w="80" w:type="dxa"/>
              <w:left w:w="100" w:type="dxa"/>
              <w:bottom w:w="80" w:type="dxa"/>
              <w:right w:w="100" w:type="dxa"/>
            </w:tcMar>
            <w:vAlign w:val="center"/>
          </w:tcPr>
          <w:p w14:paraId="0956ABA3">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Time point and scale must match</w:t>
            </w:r>
          </w:p>
        </w:tc>
      </w:tr>
      <w:tr w14:paraId="613D3E79">
        <w:trPr>
          <w:cantSplit/>
          <w:jc w:val="center"/>
        </w:trPr>
        <w:tc>
          <w:tcPr>
            <w:tcW w:w="3389" w:type="dxa"/>
            <w:tcMar>
              <w:top w:w="80" w:type="dxa"/>
              <w:left w:w="100" w:type="dxa"/>
              <w:bottom w:w="80" w:type="dxa"/>
              <w:right w:w="100" w:type="dxa"/>
            </w:tcMar>
            <w:vAlign w:val="center"/>
          </w:tcPr>
          <w:p w14:paraId="45BE5190">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6"/>
              </w:rPr>
              <w:t>P value</w:t>
            </w:r>
          </w:p>
        </w:tc>
        <w:tc>
          <w:tcPr>
            <w:tcW w:w="3389" w:type="dxa"/>
            <w:tcMar>
              <w:top w:w="80" w:type="dxa"/>
              <w:left w:w="100" w:type="dxa"/>
              <w:bottom w:w="80" w:type="dxa"/>
              <w:right w:w="100" w:type="dxa"/>
            </w:tcMar>
            <w:vAlign w:val="center"/>
          </w:tcPr>
          <w:p w14:paraId="153439A9">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Operator direction preserved; numeric value equal at the reported precision</w:t>
            </w:r>
          </w:p>
        </w:tc>
        <w:tc>
          <w:tcPr>
            <w:tcW w:w="3389" w:type="dxa"/>
            <w:tcMar>
              <w:top w:w="80" w:type="dxa"/>
              <w:left w:w="100" w:type="dxa"/>
              <w:bottom w:w="80" w:type="dxa"/>
              <w:right w:w="100" w:type="dxa"/>
            </w:tcMar>
            <w:vAlign w:val="center"/>
          </w:tcPr>
          <w:p w14:paraId="5ADF8B12">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P&lt;0.001 is not equivalent to P=0.001</w:t>
            </w:r>
          </w:p>
        </w:tc>
      </w:tr>
      <w:tr w14:paraId="7DAE7618">
        <w:trPr>
          <w:cantSplit/>
          <w:jc w:val="center"/>
        </w:trPr>
        <w:tc>
          <w:tcPr>
            <w:tcW w:w="3389" w:type="dxa"/>
            <w:tcMar>
              <w:top w:w="80" w:type="dxa"/>
              <w:left w:w="100" w:type="dxa"/>
              <w:bottom w:w="80" w:type="dxa"/>
              <w:right w:w="100" w:type="dxa"/>
            </w:tcMar>
            <w:vAlign w:val="center"/>
          </w:tcPr>
          <w:p w14:paraId="088D6E28">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6"/>
              </w:rPr>
              <w:t>Not reported</w:t>
            </w:r>
          </w:p>
        </w:tc>
        <w:tc>
          <w:tcPr>
            <w:tcW w:w="3389" w:type="dxa"/>
            <w:tcMar>
              <w:top w:w="80" w:type="dxa"/>
              <w:left w:w="100" w:type="dxa"/>
              <w:bottom w:w="80" w:type="dxa"/>
              <w:right w:w="100" w:type="dxa"/>
            </w:tcMar>
            <w:vAlign w:val="center"/>
          </w:tcPr>
          <w:p w14:paraId="483286B5">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Exact state match</w:t>
            </w:r>
          </w:p>
        </w:tc>
        <w:tc>
          <w:tcPr>
            <w:tcW w:w="3389" w:type="dxa"/>
            <w:tcMar>
              <w:top w:w="80" w:type="dxa"/>
              <w:left w:w="100" w:type="dxa"/>
              <w:bottom w:w="80" w:type="dxa"/>
              <w:right w:w="100" w:type="dxa"/>
            </w:tcMar>
            <w:vAlign w:val="center"/>
          </w:tcPr>
          <w:p w14:paraId="30492B47">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Unsupported completion is incorrect</w:t>
            </w:r>
          </w:p>
        </w:tc>
      </w:tr>
      <w:tr w14:paraId="46F3DFD9">
        <w:trPr>
          <w:cantSplit/>
          <w:jc w:val="center"/>
        </w:trPr>
        <w:tc>
          <w:tcPr>
            <w:tcW w:w="3389" w:type="dxa"/>
            <w:tcMar>
              <w:top w:w="80" w:type="dxa"/>
              <w:left w:w="100" w:type="dxa"/>
              <w:bottom w:w="80" w:type="dxa"/>
              <w:right w:w="100" w:type="dxa"/>
            </w:tcMar>
            <w:vAlign w:val="center"/>
          </w:tcPr>
          <w:p w14:paraId="4EE4BFE5">
            <w:pPr>
              <w:spacing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sz w:val="16"/>
              </w:rPr>
              <w:t>Not applicable</w:t>
            </w:r>
          </w:p>
        </w:tc>
        <w:tc>
          <w:tcPr>
            <w:tcW w:w="3389" w:type="dxa"/>
            <w:tcMar>
              <w:top w:w="80" w:type="dxa"/>
              <w:left w:w="100" w:type="dxa"/>
              <w:bottom w:w="80" w:type="dxa"/>
              <w:right w:w="100" w:type="dxa"/>
            </w:tcMar>
            <w:vAlign w:val="center"/>
          </w:tcPr>
          <w:p w14:paraId="05E26819">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Exact state match</w:t>
            </w:r>
          </w:p>
        </w:tc>
        <w:tc>
          <w:tcPr>
            <w:tcW w:w="3389" w:type="dxa"/>
            <w:tcMar>
              <w:top w:w="80" w:type="dxa"/>
              <w:left w:w="100" w:type="dxa"/>
              <w:bottom w:w="80" w:type="dxa"/>
              <w:right w:w="100" w:type="dxa"/>
            </w:tcMar>
            <w:vAlign w:val="center"/>
          </w:tcPr>
          <w:p w14:paraId="74468417">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6"/>
              </w:rPr>
              <w:t>Not applicable is not equivalent to Not reported</w:t>
            </w:r>
          </w:p>
        </w:tc>
      </w:tr>
    </w:tbl>
    <w:p w14:paraId="5701F984">
      <w:pPr>
        <w:pStyle w:val="3"/>
        <w:keepNext/>
        <w:spacing w:after="80"/>
        <w:rPr>
          <w:rFonts w:hint="default" w:ascii="Times New Roman Regular" w:hAnsi="Times New Roman Regular" w:cs="Times New Roman Regular"/>
        </w:rPr>
      </w:pPr>
      <w:r>
        <w:rPr>
          <w:rFonts w:hint="default" w:ascii="Times New Roman Regular" w:hAnsi="Times New Roman Regular" w:cs="Times New Roman Regular"/>
        </w:rPr>
        <w:t>2.3 Evidence-Support Threshold Calibration</w:t>
      </w:r>
    </w:p>
    <w:p w14:paraId="1A5C961D">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The candidate semantic thresholds were prespecified as:</w:t>
      </w:r>
    </w:p>
    <w:p w14:paraId="6D7734C8">
      <w:pPr>
        <w:keepLines/>
        <w:tabs>
          <w:tab w:val="center" w:pos="4680"/>
          <w:tab w:val="right" w:pos="9360"/>
        </w:tabs>
        <w:spacing w:before="60" w:after="80" w:line="259" w:lineRule="auto"/>
        <w:ind w:left="0" w:right="0" w:firstLine="0"/>
        <w:jc w:val="center"/>
        <w:rPr>
          <w:rFonts w:hint="default" w:ascii="Times New Roman Regular" w:hAnsi="Times New Roman Regular" w:eastAsia="宋体" w:cs="Times New Roman Regular"/>
        </w:rPr>
      </w:pPr>
      <w:r>
        <w:tab/>
      </w:r>
      <m:oMath>
        <m:r>
          <m:rPr>
            <m:sty m:val="p"/>
          </m:rPr>
          <m:t>Θ</m:t>
        </m:r>
        <m:r>
          <m:rPr>
            <m:sty m:val="p"/>
          </m:rPr>
          <m:t>=</m:t>
        </m:r>
        <m:r>
          <m:rPr>
            <m:sty m:val="p"/>
          </m:rPr>
          <m:t>{</m:t>
        </m:r>
        <m:r>
          <m:t>0.70</m:t>
        </m:r>
        <m:r>
          <m:rPr>
            <m:sty m:val="p"/>
          </m:rPr>
          <m:t>,</m:t>
        </m:r>
        <m:r>
          <m:t>0.75</m:t>
        </m:r>
        <m:r>
          <m:rPr>
            <m:sty m:val="p"/>
          </m:rPr>
          <m:t>,</m:t>
        </m:r>
        <m:r>
          <m:t>0.80</m:t>
        </m:r>
        <m:r>
          <m:rPr>
            <m:sty m:val="p"/>
          </m:rPr>
          <m:t>,</m:t>
        </m:r>
        <m:r>
          <m:t>0.85</m:t>
        </m:r>
        <m:r>
          <m:rPr>
            <m:sty m:val="p"/>
          </m:rPr>
          <m:t>,</m:t>
        </m:r>
        <m:r>
          <m:t>0.90</m:t>
        </m:r>
        <m:r>
          <m:rPr>
            <m:sty m:val="p"/>
          </m:rPr>
          <m:t>}</m:t>
        </m:r>
      </m:oMath>
      <w:r>
        <w:tab/>
      </w:r>
      <w:r>
        <w:rPr>
          <w:rFonts w:ascii="Times New Roman" w:hAnsi="Times New Roman" w:eastAsia="Times New Roman"/>
        </w:rPr>
        <w:t xml:space="preserve">(Equation 12)</w:t>
      </w:r>
    </w:p>
    <w:p w14:paraId="32AEFA57">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The 10-publication development and calibration subset was used before held-out evaluation.</w:t>
      </w:r>
    </w:p>
    <w:p w14:paraId="7F01C534">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For each candidate threshold:</w:t>
      </w:r>
    </w:p>
    <w:p w14:paraId="67D4C125">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cs="Times New Roman Regular"/>
        </w:rPr>
        <w:t>1. post-extraction result-evidence candidate pairs were evaluated;</w:t>
      </w:r>
    </w:p>
    <w:p w14:paraId="4D623A96">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2. sentence occurrence in the current abstract was required;</w:t>
      </w:r>
    </w:p>
    <w:p w14:paraId="788D3D6C">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3. critical-fact consistency was required;</w:t>
      </w:r>
    </w:p>
    <w:p w14:paraId="3BE51798">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4. an automated semantic-support decision was produced;</w:t>
      </w:r>
    </w:p>
    <w:p w14:paraId="0124FCA9">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5. the automated decision was compared with manual support judgments on the development subset;</w:t>
      </w:r>
    </w:p>
    <w:p w14:paraId="39B98FD1">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6. evidence precision, recall, and F1 were calculated.</w:t>
      </w:r>
    </w:p>
    <w:p w14:paraId="1CC2C8A3">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The threshold maximizing evidence-level F1 was selected. When two thresholds produced the same F1 to three decimal places, the higher threshold was preferred to prioritize evidence precision.</w:t>
      </w:r>
    </w:p>
    <w:p w14:paraId="6F07A128">
      <w:pPr>
        <w:spacing w:after="80" w:line="259" w:lineRule="auto"/>
        <w:ind w:left="0" w:right="0" w:firstLine="0"/>
        <w:jc w:val="center"/>
        <w:rPr>
          <w:rFonts w:hint="default" w:ascii="Times New Roman Regular" w:hAnsi="Times New Roman Regular" w:eastAsia="宋体" w:cs="Times New Roman Regular"/>
        </w:rPr>
      </w:pPr>
      <w:r>
        <w:rPr>
          <w:rFonts w:hint="default" w:ascii="Times New Roman Regular" w:hAnsi="Times New Roman Regular" w:cs="Times New Roman Regular"/>
          <w:b w:val="0"/>
          <w:i w:val="0"/>
        </w:rPr>
        <w:t xml:space="preserve">The selected operating threshold was </w:t>
      </w:r>
      <m:oMath>
        <m:r>
          <m:rPr>
            <m:nor/>
          </m:rPr>
          <w:rPr>
            <w:rFonts w:hint="default" w:ascii="DejaVu Math TeX Gyre" w:hAnsi="DejaVu Math TeX Gyre" w:cs="Times New Roman Regular"/>
            <w:i/>
          </w:rPr>
          <m:t>θ</m:t>
        </m:r>
        <m:r>
          <m:rPr>
            <m:nor/>
            <m:sty m:val="p"/>
          </m:rPr>
          <w:rPr>
            <w:rFonts w:hint="default" w:ascii="DejaVu Math TeX Gyre" w:hAnsi="DejaVu Math TeX Gyre" w:cs="Times New Roman Regular"/>
            <w:b w:val="0"/>
            <w:i w:val="0"/>
          </w:rPr>
          <m:t xml:space="preserve"> = 0.85</m:t>
        </m:r>
      </m:oMath>
      <w:r>
        <w:rPr>
          <w:rFonts w:hint="default" w:ascii="Times New Roman Regular" w:hAnsi="Times New Roman Regular" w:cs="Times New Roman Regular"/>
          <w:b w:val="0"/>
          <w:i w:val="0"/>
        </w:rPr>
        <w:t>.</w:t>
      </w:r>
    </w:p>
    <w:p w14:paraId="1D856ECC">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The threshold, embedding model, text preprocessing, and critical-fact checks were frozen before evaluation on the 90-publication held-out subset.</w:t>
      </w:r>
    </w:p>
    <w:p w14:paraId="5FAF186E">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The held-out subset was not used to:</w:t>
      </w:r>
    </w:p>
    <w:p w14:paraId="22F3DC36">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1. select the sentence-embedding model;</w:t>
      </w:r>
    </w:p>
    <w:p w14:paraId="37F045BA">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2. alter the normalized query template;</w:t>
      </w:r>
    </w:p>
    <w:p w14:paraId="6EEA12F6">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3. modify preprocessing;</w:t>
      </w:r>
    </w:p>
    <w:p w14:paraId="6025BD11">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4. choose the threshold;</w:t>
      </w:r>
    </w:p>
    <w:p w14:paraId="174963C2">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5. redefine critical-fact consistency; or</w:t>
      </w:r>
    </w:p>
    <w:p w14:paraId="61A96F22">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6. revise evidence labels.</w:t>
      </w:r>
    </w:p>
    <w:p w14:paraId="0B8BEB72">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b w:val="0"/>
          <w:i w:val="0"/>
        </w:rPr>
        <w:t>The candidate threshold set and calibration summary are reported below. Human support labels were assigned under the prespecified same-abstract occurrence and critical-fact criteria and retained in the calibration archive. The operating threshold was selected solely on the 10-publication development subset; the 90-publication held-out set was not inspected during threshold selection.</w:t>
      </w:r>
    </w:p>
    <w:p w14:paraId="4C9102B0">
      <w:pPr>
        <w:spacing w:after="80" w:line="259" w:lineRule="auto"/>
        <w:ind w:left="0" w:right="0" w:firstLine="0"/>
        <w:jc w:val="both"/>
        <w:rPr>
          <w:rFonts w:hint="default" w:ascii="Times New Roman Regular" w:hAnsi="Times New Roman Regular" w:cs="Times New Roman Regular"/>
        </w:rPr>
      </w:pPr>
      <w:r>
        <w:rPr>
          <w:rFonts w:hint="default" w:ascii="Times New Roman Regular" w:hAnsi="Times New Roman Regular" w:cs="Times New Roman Regular"/>
          <w:sz w:val="19"/>
        </w:rPr>
        <w:t>The evidence-support operating threshold was selected exclusively on the 10-publication development subset. Human-labeled evidence-support pairs included source-supported pairs and difficult within-publication negative pairs. The 90-publication held-out set was not inspected or used during threshold selection.</w:t>
      </w:r>
    </w:p>
    <w:p w14:paraId="2AC63A2E">
      <w:pPr>
        <w:spacing w:after="80" w:line="259" w:lineRule="auto"/>
        <w:ind w:left="0" w:right="0" w:firstLine="0"/>
        <w:jc w:val="both"/>
        <w:rPr>
          <w:rFonts w:hint="default" w:ascii="Times New Roman Regular" w:hAnsi="Times New Roman Regular" w:cs="Times New Roman Regular"/>
        </w:rPr>
      </w:pPr>
      <w:r>
        <w:rPr>
          <w:rFonts w:hint="default" w:ascii="Times New Roman Regular" w:hAnsi="Times New Roman Regular" w:cs="Times New Roman Regular"/>
          <w:b w:val="0"/>
          <w:i w:val="0"/>
        </w:rPr>
        <w:t>Threshold selection used the pooled development-set evidence pairs. No leave-one-publication-out stability result is claimed in this appendix unless it is reproduced from the archived publication-level calibration file.</w:t>
      </w:r>
    </w:p>
    <w:p w14:paraId="233D3A7D">
      <w:pPr>
        <w:spacing w:after="80" w:line="259" w:lineRule="auto"/>
        <w:ind w:left="0" w:right="0" w:firstLine="0"/>
        <w:jc w:val="both"/>
        <w:rPr>
          <w:rFonts w:hint="default" w:ascii="Times New Roman Regular" w:hAnsi="Times New Roman Regular" w:cs="Times New Roman Regular"/>
        </w:rPr>
      </w:pPr>
      <w:r>
        <w:rPr>
          <w:rFonts w:ascii="Times New Roman" w:hAnsi="Times New Roman" w:eastAsia="Times New Roman"/>
        </w:rPr>
        <w:t xml:space="preserve">The operating threshold used in the submitted framework results was 0.85. Table 10 retains the threshold-specific calibration counts required to document how that operating point was selected.</w:t>
      </w:r>
    </w:p>
    <w:p w14:paraId="225EAB6B">
      <w:pPr>
        <w:pStyle w:val="7"/>
        <w:keepNext/>
        <w:spacing w:after="80"/>
        <w:rPr>
          <w:rFonts w:hint="default" w:ascii="Times New Roman Regular" w:hAnsi="Times New Roman Regular" w:cs="Times New Roman Regular"/>
        </w:rPr>
      </w:pPr>
      <w:r>
        <w:rPr>
          <w:rFonts w:hint="default" w:ascii="Times New Roman Regular" w:hAnsi="Times New Roman Regular" w:cs="Times New Roman Regular"/>
        </w:rPr>
        <w:t xml:space="preserve">Table </w:t>
      </w:r>
      <w:r>
        <w:rPr>
          <w:rFonts w:hint="eastAsia" w:ascii="Times New Roman Regular" w:hAnsi="Times New Roman Regular" w:eastAsia="宋体" w:cs="Times New Roman Regular"/>
          <w:lang w:val="en-US" w:eastAsia="zh-CN"/>
        </w:rPr>
        <w:t>10</w:t>
      </w:r>
      <w:r>
        <w:rPr>
          <w:rFonts w:hint="default" w:ascii="Times New Roman Regular" w:hAnsi="Times New Roman Regular" w:eastAsia="宋体" w:cs="Times New Roman Regular"/>
          <w:lang w:val="en-US" w:eastAsia="zh-CN"/>
        </w:rPr>
        <w:t>.</w:t>
      </w:r>
      <w:r>
        <w:rPr>
          <w:rFonts w:hint="default" w:ascii="Times New Roman Regular" w:hAnsi="Times New Roman Regular" w:cs="Times New Roman Regular"/>
        </w:rPr>
        <w:t xml:space="preserve"> Evidence-threshold calibration on the 10-publication development subset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271"/>
        <w:gridCol w:w="1271"/>
        <w:gridCol w:w="1271"/>
        <w:gridCol w:w="1271"/>
        <w:gridCol w:w="1271"/>
        <w:gridCol w:w="1271"/>
        <w:gridCol w:w="1271"/>
      </w:tblGrid>
      <w:tr w14:paraId="3E3049FC">
        <w:trPr>
          <w:cantSplit/>
          <w:tblHeader/>
          <w:jc w:val="center"/>
        </w:trPr>
        <w:tc>
          <w:tcPr>
            <w:tcW w:w="1271" w:type="dxa"/>
            <w:shd w:val="clear" w:color="auto" w:fill="D9EAF7"/>
            <w:tcMar>
              <w:top w:w="60" w:type="dxa"/>
              <w:left w:w="80" w:type="dxa"/>
              <w:bottom w:w="60" w:type="dxa"/>
              <w:right w:w="80" w:type="dxa"/>
            </w:tcMar>
            <w:vAlign w:val="center"/>
          </w:tcPr>
          <w:p w14:paraId="57792F9C">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Threshold</w:t>
            </w:r>
          </w:p>
        </w:tc>
        <w:tc>
          <w:tcPr>
            <w:tcW w:w="1271" w:type="dxa"/>
            <w:shd w:val="clear" w:color="auto" w:fill="D9EAF7"/>
            <w:tcMar>
              <w:top w:w="60" w:type="dxa"/>
              <w:left w:w="80" w:type="dxa"/>
              <w:bottom w:w="60" w:type="dxa"/>
              <w:right w:w="80" w:type="dxa"/>
            </w:tcMar>
            <w:vAlign w:val="center"/>
          </w:tcPr>
          <w:p w14:paraId="71B350B0">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Labeled pairs, n</w:t>
            </w:r>
          </w:p>
        </w:tc>
        <w:tc>
          <w:tcPr>
            <w:tcW w:w="1271" w:type="dxa"/>
            <w:shd w:val="clear" w:color="auto" w:fill="D9EAF7"/>
            <w:tcMar>
              <w:top w:w="60" w:type="dxa"/>
              <w:left w:w="80" w:type="dxa"/>
              <w:bottom w:w="60" w:type="dxa"/>
              <w:right w:w="80" w:type="dxa"/>
            </w:tcMar>
            <w:vAlign w:val="center"/>
          </w:tcPr>
          <w:p w14:paraId="7D2DC7B2">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TP</w:t>
            </w:r>
          </w:p>
        </w:tc>
        <w:tc>
          <w:tcPr>
            <w:tcW w:w="1271" w:type="dxa"/>
            <w:shd w:val="clear" w:color="auto" w:fill="D9EAF7"/>
            <w:tcMar>
              <w:top w:w="60" w:type="dxa"/>
              <w:left w:w="80" w:type="dxa"/>
              <w:bottom w:w="60" w:type="dxa"/>
              <w:right w:w="80" w:type="dxa"/>
            </w:tcMar>
            <w:vAlign w:val="center"/>
          </w:tcPr>
          <w:p w14:paraId="44F94B0B">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FP</w:t>
            </w:r>
          </w:p>
        </w:tc>
        <w:tc>
          <w:tcPr>
            <w:tcW w:w="1271" w:type="dxa"/>
            <w:shd w:val="clear" w:color="auto" w:fill="D9EAF7"/>
            <w:tcMar>
              <w:top w:w="60" w:type="dxa"/>
              <w:left w:w="80" w:type="dxa"/>
              <w:bottom w:w="60" w:type="dxa"/>
              <w:right w:w="80" w:type="dxa"/>
            </w:tcMar>
            <w:vAlign w:val="center"/>
          </w:tcPr>
          <w:p w14:paraId="2992BCBA">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FN</w:t>
            </w:r>
          </w:p>
        </w:tc>
        <w:tc>
          <w:tcPr>
            <w:tcW w:w="1271" w:type="dxa"/>
            <w:shd w:val="clear" w:color="auto" w:fill="D9EAF7"/>
            <w:tcMar>
              <w:top w:w="60" w:type="dxa"/>
              <w:left w:w="80" w:type="dxa"/>
              <w:bottom w:w="60" w:type="dxa"/>
              <w:right w:w="80" w:type="dxa"/>
            </w:tcMar>
            <w:vAlign w:val="center"/>
          </w:tcPr>
          <w:p w14:paraId="57F6BFDD">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Precision</w:t>
            </w:r>
          </w:p>
        </w:tc>
        <w:tc>
          <w:tcPr>
            <w:tcW w:w="1271" w:type="dxa"/>
            <w:shd w:val="clear" w:color="auto" w:fill="D9EAF7"/>
            <w:tcMar>
              <w:top w:w="60" w:type="dxa"/>
              <w:left w:w="80" w:type="dxa"/>
              <w:bottom w:w="60" w:type="dxa"/>
              <w:right w:w="80" w:type="dxa"/>
            </w:tcMar>
            <w:vAlign w:val="center"/>
          </w:tcPr>
          <w:p w14:paraId="5390D33F">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Recall</w:t>
            </w:r>
          </w:p>
        </w:tc>
        <w:tc>
          <w:tcPr>
            <w:tcW w:w="1271" w:type="dxa"/>
            <w:shd w:val="clear" w:color="auto" w:fill="D9EAF7"/>
            <w:tcMar>
              <w:top w:w="60" w:type="dxa"/>
              <w:left w:w="80" w:type="dxa"/>
              <w:bottom w:w="60" w:type="dxa"/>
              <w:right w:w="80" w:type="dxa"/>
            </w:tcMar>
            <w:vAlign w:val="center"/>
          </w:tcPr>
          <w:p w14:paraId="7D42BEBF">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F1</w:t>
            </w:r>
          </w:p>
        </w:tc>
      </w:tr>
      <w:tr w14:paraId="14FE81F1">
        <w:trPr>
          <w:cantSplit/>
          <w:jc w:val="center"/>
        </w:trPr>
        <w:tc>
          <w:tcPr>
            <w:tcW w:w="1271" w:type="dxa"/>
            <w:tcMar>
              <w:top w:w="60" w:type="dxa"/>
              <w:left w:w="80" w:type="dxa"/>
              <w:bottom w:w="60" w:type="dxa"/>
              <w:right w:w="80" w:type="dxa"/>
            </w:tcMar>
            <w:vAlign w:val="center"/>
          </w:tcPr>
          <w:p w14:paraId="1D6DB92E">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0.70</w:t>
            </w:r>
          </w:p>
        </w:tc>
        <w:tc>
          <w:tcPr>
            <w:tcW w:w="1271" w:type="dxa"/>
            <w:tcMar>
              <w:top w:w="60" w:type="dxa"/>
              <w:left w:w="80" w:type="dxa"/>
              <w:bottom w:w="60" w:type="dxa"/>
              <w:right w:w="80" w:type="dxa"/>
            </w:tcMar>
            <w:vAlign w:val="center"/>
          </w:tcPr>
          <w:p w14:paraId="67957BE9">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148</w:t>
            </w:r>
          </w:p>
        </w:tc>
        <w:tc>
          <w:tcPr>
            <w:tcW w:w="1271" w:type="dxa"/>
            <w:tcMar>
              <w:top w:w="60" w:type="dxa"/>
              <w:left w:w="80" w:type="dxa"/>
              <w:bottom w:w="60" w:type="dxa"/>
              <w:right w:w="80" w:type="dxa"/>
            </w:tcMar>
            <w:vAlign w:val="center"/>
          </w:tcPr>
          <w:p w14:paraId="2554DF21">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117</w:t>
            </w:r>
          </w:p>
        </w:tc>
        <w:tc>
          <w:tcPr>
            <w:tcW w:w="1271" w:type="dxa"/>
            <w:tcMar>
              <w:top w:w="60" w:type="dxa"/>
              <w:left w:w="80" w:type="dxa"/>
              <w:bottom w:w="60" w:type="dxa"/>
              <w:right w:w="80" w:type="dxa"/>
            </w:tcMar>
            <w:vAlign w:val="center"/>
          </w:tcPr>
          <w:p w14:paraId="78505E25">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16</w:t>
            </w:r>
          </w:p>
        </w:tc>
        <w:tc>
          <w:tcPr>
            <w:tcW w:w="1271" w:type="dxa"/>
            <w:tcMar>
              <w:top w:w="60" w:type="dxa"/>
              <w:left w:w="80" w:type="dxa"/>
              <w:bottom w:w="60" w:type="dxa"/>
              <w:right w:w="80" w:type="dxa"/>
            </w:tcMar>
            <w:vAlign w:val="center"/>
          </w:tcPr>
          <w:p w14:paraId="17DA2A2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1</w:t>
            </w:r>
          </w:p>
        </w:tc>
        <w:tc>
          <w:tcPr>
            <w:tcW w:w="1271" w:type="dxa"/>
            <w:tcMar>
              <w:top w:w="60" w:type="dxa"/>
              <w:left w:w="80" w:type="dxa"/>
              <w:bottom w:w="60" w:type="dxa"/>
              <w:right w:w="80" w:type="dxa"/>
            </w:tcMar>
            <w:vAlign w:val="center"/>
          </w:tcPr>
          <w:p w14:paraId="69EB009F">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0.880</w:t>
            </w:r>
          </w:p>
        </w:tc>
        <w:tc>
          <w:tcPr>
            <w:tcW w:w="1271" w:type="dxa"/>
            <w:tcMar>
              <w:top w:w="60" w:type="dxa"/>
              <w:left w:w="80" w:type="dxa"/>
              <w:bottom w:w="60" w:type="dxa"/>
              <w:right w:w="80" w:type="dxa"/>
            </w:tcMar>
            <w:vAlign w:val="center"/>
          </w:tcPr>
          <w:p w14:paraId="2ACC7D09">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0.992</w:t>
            </w:r>
          </w:p>
        </w:tc>
        <w:tc>
          <w:tcPr>
            <w:tcW w:w="1271" w:type="dxa"/>
            <w:tcMar>
              <w:top w:w="60" w:type="dxa"/>
              <w:left w:w="80" w:type="dxa"/>
              <w:bottom w:w="60" w:type="dxa"/>
              <w:right w:w="80" w:type="dxa"/>
            </w:tcMar>
            <w:vAlign w:val="center"/>
          </w:tcPr>
          <w:p w14:paraId="55A2C811">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0.933</w:t>
            </w:r>
          </w:p>
        </w:tc>
      </w:tr>
      <w:tr w14:paraId="2036F124">
        <w:trPr>
          <w:cantSplit/>
          <w:jc w:val="center"/>
        </w:trPr>
        <w:tc>
          <w:tcPr>
            <w:tcW w:w="1271" w:type="dxa"/>
            <w:tcMar>
              <w:top w:w="60" w:type="dxa"/>
              <w:left w:w="80" w:type="dxa"/>
              <w:bottom w:w="60" w:type="dxa"/>
              <w:right w:w="80" w:type="dxa"/>
            </w:tcMar>
            <w:vAlign w:val="center"/>
          </w:tcPr>
          <w:p w14:paraId="0DDD60A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0.75</w:t>
            </w:r>
          </w:p>
        </w:tc>
        <w:tc>
          <w:tcPr>
            <w:tcW w:w="1271" w:type="dxa"/>
            <w:tcMar>
              <w:top w:w="60" w:type="dxa"/>
              <w:left w:w="80" w:type="dxa"/>
              <w:bottom w:w="60" w:type="dxa"/>
              <w:right w:w="80" w:type="dxa"/>
            </w:tcMar>
            <w:vAlign w:val="center"/>
          </w:tcPr>
          <w:p w14:paraId="1528963A">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148</w:t>
            </w:r>
          </w:p>
        </w:tc>
        <w:tc>
          <w:tcPr>
            <w:tcW w:w="1271" w:type="dxa"/>
            <w:tcMar>
              <w:top w:w="60" w:type="dxa"/>
              <w:left w:w="80" w:type="dxa"/>
              <w:bottom w:w="60" w:type="dxa"/>
              <w:right w:w="80" w:type="dxa"/>
            </w:tcMar>
            <w:vAlign w:val="center"/>
          </w:tcPr>
          <w:p w14:paraId="4AA15BF8">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116</w:t>
            </w:r>
          </w:p>
        </w:tc>
        <w:tc>
          <w:tcPr>
            <w:tcW w:w="1271" w:type="dxa"/>
            <w:tcMar>
              <w:top w:w="60" w:type="dxa"/>
              <w:left w:w="80" w:type="dxa"/>
              <w:bottom w:w="60" w:type="dxa"/>
              <w:right w:w="80" w:type="dxa"/>
            </w:tcMar>
            <w:vAlign w:val="center"/>
          </w:tcPr>
          <w:p w14:paraId="5E43D3C4">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10</w:t>
            </w:r>
          </w:p>
        </w:tc>
        <w:tc>
          <w:tcPr>
            <w:tcW w:w="1271" w:type="dxa"/>
            <w:tcMar>
              <w:top w:w="60" w:type="dxa"/>
              <w:left w:w="80" w:type="dxa"/>
              <w:bottom w:w="60" w:type="dxa"/>
              <w:right w:w="80" w:type="dxa"/>
            </w:tcMar>
            <w:vAlign w:val="center"/>
          </w:tcPr>
          <w:p w14:paraId="525510C2">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2</w:t>
            </w:r>
          </w:p>
        </w:tc>
        <w:tc>
          <w:tcPr>
            <w:tcW w:w="1271" w:type="dxa"/>
            <w:tcMar>
              <w:top w:w="60" w:type="dxa"/>
              <w:left w:w="80" w:type="dxa"/>
              <w:bottom w:w="60" w:type="dxa"/>
              <w:right w:w="80" w:type="dxa"/>
            </w:tcMar>
            <w:vAlign w:val="center"/>
          </w:tcPr>
          <w:p w14:paraId="13E5DB9C">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0.921</w:t>
            </w:r>
          </w:p>
        </w:tc>
        <w:tc>
          <w:tcPr>
            <w:tcW w:w="1271" w:type="dxa"/>
            <w:tcMar>
              <w:top w:w="60" w:type="dxa"/>
              <w:left w:w="80" w:type="dxa"/>
              <w:bottom w:w="60" w:type="dxa"/>
              <w:right w:w="80" w:type="dxa"/>
            </w:tcMar>
            <w:vAlign w:val="center"/>
          </w:tcPr>
          <w:p w14:paraId="2464F715">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0.983</w:t>
            </w:r>
          </w:p>
        </w:tc>
        <w:tc>
          <w:tcPr>
            <w:tcW w:w="1271" w:type="dxa"/>
            <w:tcMar>
              <w:top w:w="60" w:type="dxa"/>
              <w:left w:w="80" w:type="dxa"/>
              <w:bottom w:w="60" w:type="dxa"/>
              <w:right w:w="80" w:type="dxa"/>
            </w:tcMar>
            <w:vAlign w:val="center"/>
          </w:tcPr>
          <w:p w14:paraId="298C6D0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0.951</w:t>
            </w:r>
          </w:p>
        </w:tc>
      </w:tr>
      <w:tr w14:paraId="6A6C05F0">
        <w:trPr>
          <w:cantSplit/>
          <w:jc w:val="center"/>
        </w:trPr>
        <w:tc>
          <w:tcPr>
            <w:tcW w:w="1271" w:type="dxa"/>
            <w:tcMar>
              <w:top w:w="60" w:type="dxa"/>
              <w:left w:w="80" w:type="dxa"/>
              <w:bottom w:w="60" w:type="dxa"/>
              <w:right w:w="80" w:type="dxa"/>
            </w:tcMar>
            <w:vAlign w:val="center"/>
          </w:tcPr>
          <w:p w14:paraId="1FA0A249">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0.80</w:t>
            </w:r>
          </w:p>
        </w:tc>
        <w:tc>
          <w:tcPr>
            <w:tcW w:w="1271" w:type="dxa"/>
            <w:tcMar>
              <w:top w:w="60" w:type="dxa"/>
              <w:left w:w="80" w:type="dxa"/>
              <w:bottom w:w="60" w:type="dxa"/>
              <w:right w:w="80" w:type="dxa"/>
            </w:tcMar>
            <w:vAlign w:val="center"/>
          </w:tcPr>
          <w:p w14:paraId="051657D4">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148</w:t>
            </w:r>
          </w:p>
        </w:tc>
        <w:tc>
          <w:tcPr>
            <w:tcW w:w="1271" w:type="dxa"/>
            <w:tcMar>
              <w:top w:w="60" w:type="dxa"/>
              <w:left w:w="80" w:type="dxa"/>
              <w:bottom w:w="60" w:type="dxa"/>
              <w:right w:w="80" w:type="dxa"/>
            </w:tcMar>
            <w:vAlign w:val="center"/>
          </w:tcPr>
          <w:p w14:paraId="3D7B46D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115</w:t>
            </w:r>
          </w:p>
        </w:tc>
        <w:tc>
          <w:tcPr>
            <w:tcW w:w="1271" w:type="dxa"/>
            <w:tcMar>
              <w:top w:w="60" w:type="dxa"/>
              <w:left w:w="80" w:type="dxa"/>
              <w:bottom w:w="60" w:type="dxa"/>
              <w:right w:w="80" w:type="dxa"/>
            </w:tcMar>
            <w:vAlign w:val="center"/>
          </w:tcPr>
          <w:p w14:paraId="27DC9B73">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6</w:t>
            </w:r>
          </w:p>
        </w:tc>
        <w:tc>
          <w:tcPr>
            <w:tcW w:w="1271" w:type="dxa"/>
            <w:tcMar>
              <w:top w:w="60" w:type="dxa"/>
              <w:left w:w="80" w:type="dxa"/>
              <w:bottom w:w="60" w:type="dxa"/>
              <w:right w:w="80" w:type="dxa"/>
            </w:tcMar>
            <w:vAlign w:val="center"/>
          </w:tcPr>
          <w:p w14:paraId="4A3480D9">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3</w:t>
            </w:r>
          </w:p>
        </w:tc>
        <w:tc>
          <w:tcPr>
            <w:tcW w:w="1271" w:type="dxa"/>
            <w:tcMar>
              <w:top w:w="60" w:type="dxa"/>
              <w:left w:w="80" w:type="dxa"/>
              <w:bottom w:w="60" w:type="dxa"/>
              <w:right w:w="80" w:type="dxa"/>
            </w:tcMar>
            <w:vAlign w:val="center"/>
          </w:tcPr>
          <w:p w14:paraId="19A75D0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0.950</w:t>
            </w:r>
          </w:p>
        </w:tc>
        <w:tc>
          <w:tcPr>
            <w:tcW w:w="1271" w:type="dxa"/>
            <w:tcMar>
              <w:top w:w="60" w:type="dxa"/>
              <w:left w:w="80" w:type="dxa"/>
              <w:bottom w:w="60" w:type="dxa"/>
              <w:right w:w="80" w:type="dxa"/>
            </w:tcMar>
            <w:vAlign w:val="center"/>
          </w:tcPr>
          <w:p w14:paraId="655670F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0.975</w:t>
            </w:r>
          </w:p>
        </w:tc>
        <w:tc>
          <w:tcPr>
            <w:tcW w:w="1271" w:type="dxa"/>
            <w:tcMar>
              <w:top w:w="60" w:type="dxa"/>
              <w:left w:w="80" w:type="dxa"/>
              <w:bottom w:w="60" w:type="dxa"/>
              <w:right w:w="80" w:type="dxa"/>
            </w:tcMar>
            <w:vAlign w:val="center"/>
          </w:tcPr>
          <w:p w14:paraId="0CF3C71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0.962</w:t>
            </w:r>
          </w:p>
        </w:tc>
      </w:tr>
      <w:tr w14:paraId="319BFDA6">
        <w:trPr>
          <w:cantSplit/>
          <w:jc w:val="center"/>
        </w:trPr>
        <w:tc>
          <w:tcPr>
            <w:tcW w:w="1271" w:type="dxa"/>
            <w:tcMar>
              <w:top w:w="60" w:type="dxa"/>
              <w:left w:w="80" w:type="dxa"/>
              <w:bottom w:w="60" w:type="dxa"/>
              <w:right w:w="80" w:type="dxa"/>
            </w:tcMar>
            <w:vAlign w:val="center"/>
          </w:tcPr>
          <w:p w14:paraId="0CB9236F">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0.85</w:t>
            </w:r>
          </w:p>
        </w:tc>
        <w:tc>
          <w:tcPr>
            <w:tcW w:w="1271" w:type="dxa"/>
            <w:tcMar>
              <w:top w:w="60" w:type="dxa"/>
              <w:left w:w="80" w:type="dxa"/>
              <w:bottom w:w="60" w:type="dxa"/>
              <w:right w:w="80" w:type="dxa"/>
            </w:tcMar>
            <w:vAlign w:val="center"/>
          </w:tcPr>
          <w:p w14:paraId="361E1A13">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148</w:t>
            </w:r>
          </w:p>
        </w:tc>
        <w:tc>
          <w:tcPr>
            <w:tcW w:w="1271" w:type="dxa"/>
            <w:tcMar>
              <w:top w:w="60" w:type="dxa"/>
              <w:left w:w="80" w:type="dxa"/>
              <w:bottom w:w="60" w:type="dxa"/>
              <w:right w:w="80" w:type="dxa"/>
            </w:tcMar>
            <w:vAlign w:val="center"/>
          </w:tcPr>
          <w:p w14:paraId="6A732E09">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113</w:t>
            </w:r>
          </w:p>
        </w:tc>
        <w:tc>
          <w:tcPr>
            <w:tcW w:w="1271" w:type="dxa"/>
            <w:tcMar>
              <w:top w:w="60" w:type="dxa"/>
              <w:left w:w="80" w:type="dxa"/>
              <w:bottom w:w="60" w:type="dxa"/>
              <w:right w:w="80" w:type="dxa"/>
            </w:tcMar>
            <w:vAlign w:val="center"/>
          </w:tcPr>
          <w:p w14:paraId="337FE357">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3</w:t>
            </w:r>
          </w:p>
        </w:tc>
        <w:tc>
          <w:tcPr>
            <w:tcW w:w="1271" w:type="dxa"/>
            <w:tcMar>
              <w:top w:w="60" w:type="dxa"/>
              <w:left w:w="80" w:type="dxa"/>
              <w:bottom w:w="60" w:type="dxa"/>
              <w:right w:w="80" w:type="dxa"/>
            </w:tcMar>
            <w:vAlign w:val="center"/>
          </w:tcPr>
          <w:p w14:paraId="6AEF2472">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5</w:t>
            </w:r>
          </w:p>
        </w:tc>
        <w:tc>
          <w:tcPr>
            <w:tcW w:w="1271" w:type="dxa"/>
            <w:tcMar>
              <w:top w:w="60" w:type="dxa"/>
              <w:left w:w="80" w:type="dxa"/>
              <w:bottom w:w="60" w:type="dxa"/>
              <w:right w:w="80" w:type="dxa"/>
            </w:tcMar>
            <w:vAlign w:val="center"/>
          </w:tcPr>
          <w:p w14:paraId="68ADE967">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0.974</w:t>
            </w:r>
          </w:p>
        </w:tc>
        <w:tc>
          <w:tcPr>
            <w:tcW w:w="1271" w:type="dxa"/>
            <w:tcMar>
              <w:top w:w="60" w:type="dxa"/>
              <w:left w:w="80" w:type="dxa"/>
              <w:bottom w:w="60" w:type="dxa"/>
              <w:right w:w="80" w:type="dxa"/>
            </w:tcMar>
            <w:vAlign w:val="center"/>
          </w:tcPr>
          <w:p w14:paraId="2A8B984A">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0.958</w:t>
            </w:r>
          </w:p>
        </w:tc>
        <w:tc>
          <w:tcPr>
            <w:tcW w:w="1271" w:type="dxa"/>
            <w:tcMar>
              <w:top w:w="60" w:type="dxa"/>
              <w:left w:w="80" w:type="dxa"/>
              <w:bottom w:w="60" w:type="dxa"/>
              <w:right w:w="80" w:type="dxa"/>
            </w:tcMar>
            <w:vAlign w:val="center"/>
          </w:tcPr>
          <w:p w14:paraId="438E169B">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0.966</w:t>
            </w:r>
          </w:p>
        </w:tc>
      </w:tr>
      <w:tr w14:paraId="5940320E">
        <w:trPr>
          <w:cantSplit/>
          <w:jc w:val="center"/>
        </w:trPr>
        <w:tc>
          <w:tcPr>
            <w:tcW w:w="1271" w:type="dxa"/>
            <w:tcMar>
              <w:top w:w="60" w:type="dxa"/>
              <w:left w:w="80" w:type="dxa"/>
              <w:bottom w:w="60" w:type="dxa"/>
              <w:right w:w="80" w:type="dxa"/>
            </w:tcMar>
            <w:vAlign w:val="center"/>
          </w:tcPr>
          <w:p w14:paraId="2F03E65B">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0.90</w:t>
            </w:r>
          </w:p>
        </w:tc>
        <w:tc>
          <w:tcPr>
            <w:tcW w:w="1271" w:type="dxa"/>
            <w:tcMar>
              <w:top w:w="60" w:type="dxa"/>
              <w:left w:w="80" w:type="dxa"/>
              <w:bottom w:w="60" w:type="dxa"/>
              <w:right w:w="80" w:type="dxa"/>
            </w:tcMar>
            <w:vAlign w:val="center"/>
          </w:tcPr>
          <w:p w14:paraId="7648D6B2">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148</w:t>
            </w:r>
          </w:p>
        </w:tc>
        <w:tc>
          <w:tcPr>
            <w:tcW w:w="1271" w:type="dxa"/>
            <w:tcMar>
              <w:top w:w="60" w:type="dxa"/>
              <w:left w:w="80" w:type="dxa"/>
              <w:bottom w:w="60" w:type="dxa"/>
              <w:right w:w="80" w:type="dxa"/>
            </w:tcMar>
            <w:vAlign w:val="center"/>
          </w:tcPr>
          <w:p w14:paraId="5F9B3AA5">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106</w:t>
            </w:r>
          </w:p>
        </w:tc>
        <w:tc>
          <w:tcPr>
            <w:tcW w:w="1271" w:type="dxa"/>
            <w:tcMar>
              <w:top w:w="60" w:type="dxa"/>
              <w:left w:w="80" w:type="dxa"/>
              <w:bottom w:w="60" w:type="dxa"/>
              <w:right w:w="80" w:type="dxa"/>
            </w:tcMar>
            <w:vAlign w:val="center"/>
          </w:tcPr>
          <w:p w14:paraId="3A67286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1</w:t>
            </w:r>
          </w:p>
        </w:tc>
        <w:tc>
          <w:tcPr>
            <w:tcW w:w="1271" w:type="dxa"/>
            <w:tcMar>
              <w:top w:w="60" w:type="dxa"/>
              <w:left w:w="80" w:type="dxa"/>
              <w:bottom w:w="60" w:type="dxa"/>
              <w:right w:w="80" w:type="dxa"/>
            </w:tcMar>
            <w:vAlign w:val="center"/>
          </w:tcPr>
          <w:p w14:paraId="6BB7B50A">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12</w:t>
            </w:r>
          </w:p>
        </w:tc>
        <w:tc>
          <w:tcPr>
            <w:tcW w:w="1271" w:type="dxa"/>
            <w:tcMar>
              <w:top w:w="60" w:type="dxa"/>
              <w:left w:w="80" w:type="dxa"/>
              <w:bottom w:w="60" w:type="dxa"/>
              <w:right w:w="80" w:type="dxa"/>
            </w:tcMar>
            <w:vAlign w:val="center"/>
          </w:tcPr>
          <w:p w14:paraId="0B5FE8FC">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0.991</w:t>
            </w:r>
          </w:p>
        </w:tc>
        <w:tc>
          <w:tcPr>
            <w:tcW w:w="1271" w:type="dxa"/>
            <w:tcMar>
              <w:top w:w="60" w:type="dxa"/>
              <w:left w:w="80" w:type="dxa"/>
              <w:bottom w:w="60" w:type="dxa"/>
              <w:right w:w="80" w:type="dxa"/>
            </w:tcMar>
            <w:vAlign w:val="center"/>
          </w:tcPr>
          <w:p w14:paraId="7C69FDD9">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0.898</w:t>
            </w:r>
          </w:p>
        </w:tc>
        <w:tc>
          <w:tcPr>
            <w:tcW w:w="1271" w:type="dxa"/>
            <w:tcMar>
              <w:top w:w="60" w:type="dxa"/>
              <w:left w:w="80" w:type="dxa"/>
              <w:bottom w:w="60" w:type="dxa"/>
              <w:right w:w="80" w:type="dxa"/>
            </w:tcMar>
            <w:vAlign w:val="center"/>
          </w:tcPr>
          <w:p w14:paraId="003357E3">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7"/>
              </w:rPr>
              <w:t>0.942</w:t>
            </w:r>
          </w:p>
        </w:tc>
      </w:tr>
    </w:tbl>
    <w:p w14:paraId="2B31985B">
      <w:pPr>
        <w:keepLines/>
        <w:spacing w:before="100" w:after="80" w:line="252" w:lineRule="auto"/>
        <w:ind w:left="259" w:right="115" w:firstLine="0"/>
        <w:jc w:val="left"/>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Threshold-calibration result. At </w:t>
      </w:r>
      <m:oMath>
        <m:r>
          <m:rPr>
            <m:nor/>
          </m:rPr>
          <w:rPr>
            <w:rFonts w:hint="default" w:ascii="DejaVu Math TeX Gyre" w:hAnsi="DejaVu Math TeX Gyre" w:cs="Times New Roman Regular"/>
            <w:i/>
          </w:rPr>
          <m:t>θ</m:t>
        </m:r>
        <m:r>
          <m:rPr>
            <m:nor/>
            <m:sty m:val="p"/>
          </m:rPr>
          <w:rPr>
            <w:rFonts w:hint="default" w:ascii="DejaVu Math TeX Gyre" w:hAnsi="DejaVu Math TeX Gyre" w:cs="Times New Roman Regular"/>
            <w:b w:val="0"/>
            <w:i w:val="0"/>
          </w:rPr>
          <m:t xml:space="preserve"> = 0.85</m:t>
        </m:r>
      </m:oMath>
      <w:r>
        <w:rPr>
          <w:rFonts w:hint="default" w:ascii="Times New Roman Regular" w:hAnsi="Times New Roman Regular" w:cs="Times New Roman Regular"/>
          <w:b w:val="0"/>
          <w:i w:val="0"/>
        </w:rPr>
        <w:t>, evidence-level precision was 0.974, recall was 0.958, and F1 was 0.966, the highest F1 among the prespecified candidate thresholds.</w:t>
      </w:r>
    </w:p>
    <w:p w14:paraId="58F50E90">
      <w:pPr>
        <w:keepLines/>
        <w:spacing w:before="100" w:after="80" w:line="252" w:lineRule="auto"/>
        <w:ind w:left="259" w:right="115" w:firstLine="0"/>
        <w:jc w:val="left"/>
        <w:rPr>
          <w:rFonts w:hint="default" w:ascii="Times New Roman Regular" w:hAnsi="Times New Roman Regular" w:cs="Times New Roman Regular"/>
        </w:rPr>
      </w:pPr>
      <w:r>
        <w:rPr>
          <w:rFonts w:hint="default" w:ascii="Times New Roman Regular" w:hAnsi="Times New Roman Regular" w:cs="Times New Roman Regular"/>
        </w:rPr>
        <w:t xml:space="preserve">Evidence-support audit. For Full TRACE-CU, 362 of 387 evidence-eligible structured items passed the same-PMID source-location, calibrated semantic-support, and critical-fact consistency checks, yielding an Evidence-Supported Item Rate of 93.54%. Publication-level bootstrap resampling with 2,000 replicates produced a 95% CI of 91.75%-95.37%.</w:t>
      </w:r>
    </w:p>
    <w:p w14:paraId="01B8A48B">
      <w:pPr>
        <w:pStyle w:val="3"/>
        <w:keepNext/>
        <w:spacing w:after="80"/>
        <w:rPr>
          <w:rFonts w:hint="default" w:ascii="Times New Roman Regular" w:hAnsi="Times New Roman Regular" w:cs="Times New Roman Regular"/>
        </w:rPr>
      </w:pPr>
      <w:r>
        <w:rPr>
          <w:rFonts w:hint="default" w:ascii="Times New Roman Regular" w:hAnsi="Times New Roman Regular" w:cs="Times New Roman Regular"/>
        </w:rPr>
        <w:t>2.4 Bootstrap Confidence Intervals and Paired Comparisons</w:t>
      </w:r>
    </w:p>
    <w:p w14:paraId="715F8A2E">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Missingness was evaluated as an explicit state.</w:t>
      </w:r>
    </w:p>
    <w:p w14:paraId="5B2C2186">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1. Gold Not reported was correct only when the prediction also remained Not reported.</w:t>
      </w:r>
    </w:p>
    <w:p w14:paraId="27886DC0">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2. A generated value for an unreported field was incorrect.</w:t>
      </w:r>
    </w:p>
    <w:p w14:paraId="64FCEAFA">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3. Gold Not applicable was correct only when structural inapplicability was preserved.</w:t>
      </w:r>
    </w:p>
    <w:p w14:paraId="1914F8E1">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4. Not reported and Not applicable were not interchangeable.</w:t>
      </w:r>
    </w:p>
    <w:p w14:paraId="4851BB41">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5. Empty strings and omitted keys were not automatically treated as correct missingness states unless the locked output parser explicitly normalized them to the correct state before scoring.</w:t>
      </w:r>
    </w:p>
    <w:p w14:paraId="3C8E7B47">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Uncertainty was estimated using publication-level bootstrap resampling.</w:t>
      </w:r>
    </w:p>
    <w:p w14:paraId="45FDA664">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The PMID, rather than the individual CU or field, was the resampling unit because one publication could contribute multiple correlated CUs and field judgments.</w:t>
      </w:r>
    </w:p>
    <w:p w14:paraId="0F0E8D45">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The procedure was:</w:t>
      </w:r>
    </w:p>
    <w:p w14:paraId="76072CC9">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1. sample held-out PMIDs with replacement;</w:t>
      </w:r>
    </w:p>
    <w:p w14:paraId="15661B08">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2. retain all gold and predicted CUs associated with each sampled PMID;</w:t>
      </w:r>
    </w:p>
    <w:p w14:paraId="13454F54">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3. rerun one-to-one CU matching within the sampled data;</w:t>
      </w:r>
    </w:p>
    <w:p w14:paraId="1215DAB4">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4. recompute the metric;</w:t>
      </w:r>
    </w:p>
    <w:p w14:paraId="767CA657">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5. repeat for 2,000 bootstrap iterations;</w:t>
      </w:r>
    </w:p>
    <w:p w14:paraId="7D2D53FC">
      <w:pPr>
        <w:spacing w:after="80" w:line="252" w:lineRule="auto"/>
        <w:ind w:left="720" w:hanging="360"/>
        <w:jc w:val="left"/>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6. use the 2.5th and 97.5th percentiles as the 95% confidence interval.</w:t>
      </w:r>
    </w:p>
    <w:p w14:paraId="3FF7A3CF">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For metrics undefined in a bootstrap replicate because the replicate contained no eligible denominator, that replicate was excluded only for the affected metric and the number of valid replicates was recorded.</w:t>
      </w:r>
    </w:p>
    <w:p w14:paraId="05DE4658">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When two methods were compared on the same held-out publications, paired bootstrap differences were calculated.</w:t>
      </w:r>
    </w:p>
    <w:p w14:paraId="4F76787E">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For bootstrap iteration b:</w:t>
      </w:r>
    </w:p>
    <w:p w14:paraId="5E359C96">
      <w:pPr>
        <w:keepLines/>
        <w:tabs>
          <w:tab w:val="center" w:pos="4680"/>
          <w:tab w:val="right" w:pos="9360"/>
        </w:tabs>
        <w:spacing w:before="60" w:after="80" w:line="259" w:lineRule="auto"/>
        <w:ind w:left="0" w:right="0" w:firstLine="0"/>
        <w:jc w:val="center"/>
        <w:rPr>
          <w:rFonts w:hint="default" w:ascii="Times New Roman Regular" w:hAnsi="Times New Roman Regular" w:eastAsia="宋体" w:cs="Times New Roman Regular"/>
        </w:rPr>
      </w:pPr>
      <w:r>
        <w:tab/>
      </w:r>
      <m:oMath>
        <m:sSub>
          <m:e>
            <m:r>
              <m:rPr>
                <m:sty m:val="p"/>
              </m:rPr>
              <m:t>Δ</m:t>
            </m:r>
          </m:e>
          <m:sub>
            <m:r>
              <m:t>b</m:t>
            </m:r>
          </m:sub>
        </m:sSub>
        <m:r>
          <m:rPr>
            <m:sty m:val="p"/>
          </m:rPr>
          <m:t>=</m:t>
        </m:r>
        <m:sSub>
          <m:e>
            <m:r>
              <m:rPr>
                <m:sty m:val="p"/>
              </m:rPr>
              <m:t>M</m:t>
            </m:r>
            <m:r>
              <m:rPr>
                <m:sty m:val="p"/>
              </m:rPr>
              <m:t>e</m:t>
            </m:r>
            <m:r>
              <m:rPr>
                <m:sty m:val="p"/>
              </m:rPr>
              <m:t>t</m:t>
            </m:r>
            <m:r>
              <m:rPr>
                <m:sty m:val="p"/>
              </m:rPr>
              <m:t>r</m:t>
            </m:r>
            <m:r>
              <m:rPr>
                <m:sty m:val="p"/>
              </m:rPr>
              <m:t>i</m:t>
            </m:r>
            <m:r>
              <m:rPr>
                <m:sty m:val="p"/>
              </m:rPr>
              <m:t>c</m:t>
            </m:r>
          </m:e>
          <m:sub>
            <m:r>
              <m:t>b</m:t>
            </m:r>
          </m:sub>
        </m:sSub>
        <m:r>
          <m:rPr>
            <m:sty m:val="p"/>
          </m:rPr>
          <m:t>(</m:t>
        </m:r>
        <m:r>
          <m:rPr>
            <m:sty m:val="p"/>
          </m:rPr>
          <m:t>M</m:t>
        </m:r>
        <m:r>
          <m:rPr>
            <m:sty m:val="p"/>
          </m:rPr>
          <m:t>e</m:t>
        </m:r>
        <m:r>
          <m:rPr>
            <m:sty m:val="p"/>
          </m:rPr>
          <m:t>t</m:t>
        </m:r>
        <m:r>
          <m:rPr>
            <m:sty m:val="p"/>
          </m:rPr>
          <m:t>h</m:t>
        </m:r>
        <m:r>
          <m:rPr>
            <m:sty m:val="p"/>
          </m:rPr>
          <m:t>o</m:t>
        </m:r>
        <m:r>
          <m:rPr>
            <m:sty m:val="p"/>
          </m:rPr>
          <m:t>d</m:t>
        </m:r>
        <m:r>
          <m:rPr>
            <m:sty m:val="p"/>
          </m:rPr>
          <m:t> </m:t>
        </m:r>
        <m:r>
          <m:rPr>
            <m:sty m:val="p"/>
          </m:rPr>
          <m:t>A</m:t>
        </m:r>
        <m:r>
          <m:rPr>
            <m:sty m:val="p"/>
          </m:rPr>
          <m:t>)</m:t>
        </m:r>
        <m:r>
          <m:rPr>
            <m:sty m:val="p"/>
          </m:rPr>
          <m:t>−</m:t>
        </m:r>
        <m:sSub>
          <m:e>
            <m:r>
              <m:rPr>
                <m:sty m:val="p"/>
              </m:rPr>
              <m:t>M</m:t>
            </m:r>
            <m:r>
              <m:rPr>
                <m:sty m:val="p"/>
              </m:rPr>
              <m:t>e</m:t>
            </m:r>
            <m:r>
              <m:rPr>
                <m:sty m:val="p"/>
              </m:rPr>
              <m:t>t</m:t>
            </m:r>
            <m:r>
              <m:rPr>
                <m:sty m:val="p"/>
              </m:rPr>
              <m:t>r</m:t>
            </m:r>
            <m:r>
              <m:rPr>
                <m:sty m:val="p"/>
              </m:rPr>
              <m:t>i</m:t>
            </m:r>
            <m:r>
              <m:rPr>
                <m:sty m:val="p"/>
              </m:rPr>
              <m:t>c</m:t>
            </m:r>
          </m:e>
          <m:sub>
            <m:r>
              <m:t>b</m:t>
            </m:r>
          </m:sub>
        </m:sSub>
        <m:r>
          <m:rPr>
            <m:sty m:val="p"/>
          </m:rPr>
          <m:t>(</m:t>
        </m:r>
        <m:r>
          <m:rPr>
            <m:sty m:val="p"/>
          </m:rPr>
          <m:t>M</m:t>
        </m:r>
        <m:r>
          <m:rPr>
            <m:sty m:val="p"/>
          </m:rPr>
          <m:t>e</m:t>
        </m:r>
        <m:r>
          <m:rPr>
            <m:sty m:val="p"/>
          </m:rPr>
          <m:t>t</m:t>
        </m:r>
        <m:r>
          <m:rPr>
            <m:sty m:val="p"/>
          </m:rPr>
          <m:t>h</m:t>
        </m:r>
        <m:r>
          <m:rPr>
            <m:sty m:val="p"/>
          </m:rPr>
          <m:t>o</m:t>
        </m:r>
        <m:r>
          <m:rPr>
            <m:sty m:val="p"/>
          </m:rPr>
          <m:t>d</m:t>
        </m:r>
        <m:r>
          <m:rPr>
            <m:sty m:val="p"/>
          </m:rPr>
          <m:t> </m:t>
        </m:r>
        <m:r>
          <m:rPr>
            <m:sty m:val="p"/>
          </m:rPr>
          <m:t>B</m:t>
        </m:r>
        <m:r>
          <m:rPr>
            <m:sty m:val="p"/>
          </m:rPr>
          <m:t>)</m:t>
        </m:r>
      </m:oMath>
      <w:r>
        <w:tab/>
      </w:r>
      <w:r>
        <w:rPr>
          <w:rFonts w:ascii="Times New Roman" w:hAnsi="Times New Roman" w:eastAsia="Times New Roman"/>
        </w:rPr>
        <w:t xml:space="preserve">(Equation 13)</w:t>
      </w:r>
    </w:p>
    <w:p w14:paraId="3E993CD2">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cs="Times New Roman Regular"/>
          <w:b w:val="0"/>
          <w:i w:val="0"/>
        </w:rPr>
        <w:t xml:space="preserve">The 95% confidence interval for the paired difference was obtained from the 2.5th and 97.5th percentiles of </w:t>
      </w:r>
      <m:oMath>
        <m:r>
          <m:rPr>
            <m:nor/>
            <m:sty m:val="p"/>
          </m:rPr>
          <w:rPr>
            <w:rFonts w:hint="default" w:ascii="DejaVu Math TeX Gyre" w:hAnsi="DejaVu Math TeX Gyre" w:cs="Times New Roman Regular"/>
            <w:b w:val="0"/>
            <w:i w:val="0"/>
          </w:rPr>
          <m:t>{</m:t>
        </m:r>
        <m:sSub>
          <m:sSubPr>
            <m:ctrlPr>
              <w:rPr>
                <w:rFonts w:hint="default" w:ascii="DejaVu Math TeX Gyre" w:hAnsi="DejaVu Math TeX Gyre" w:cs="Times New Roman Regular"/>
              </w:rPr>
            </m:ctrlPr>
          </m:sSubPr>
          <m:e>
            <m:r>
              <m:rPr>
                <m:nor/>
                <m:sty m:val="p"/>
              </m:rPr>
              <w:rPr>
                <w:rFonts w:hint="default" w:ascii="DejaVu Math TeX Gyre" w:hAnsi="DejaVu Math TeX Gyre" w:cs="Times New Roman Regular"/>
                <w:b w:val="0"/>
                <w:i w:val="0"/>
              </w:rPr>
              <m:t>Δ</m:t>
            </m:r>
            <m:ctrlPr>
              <w:rPr>
                <w:rFonts w:hint="default" w:ascii="DejaVu Math TeX Gyre" w:hAnsi="DejaVu Math TeX Gyre" w:cs="Times New Roman Regular"/>
              </w:rPr>
            </m:ctrlPr>
          </m:e>
          <m:sub>
            <m:r>
              <m:rPr>
                <m:nor/>
              </m:rPr>
              <w:rPr>
                <w:rFonts w:hint="default" w:ascii="DejaVu Math TeX Gyre" w:hAnsi="DejaVu Math TeX Gyre" w:cs="Times New Roman Regular"/>
                <w:i/>
              </w:rPr>
              <m:t>b</m:t>
            </m:r>
            <m:ctrlPr>
              <w:rPr>
                <w:rFonts w:hint="default" w:ascii="DejaVu Math TeX Gyre" w:hAnsi="DejaVu Math TeX Gyre" w:cs="Times New Roman Regular"/>
              </w:rPr>
            </m:ctrlPr>
          </m:sub>
        </m:sSub>
        <m:r>
          <m:rPr>
            <m:nor/>
            <m:sty m:val="p"/>
          </m:rPr>
          <w:rPr>
            <w:rFonts w:hint="default" w:ascii="DejaVu Math TeX Gyre" w:hAnsi="DejaVu Math TeX Gyre" w:cs="Times New Roman Regular"/>
            <w:b w:val="0"/>
            <w:i w:val="0"/>
          </w:rPr>
          <m:t>}</m:t>
        </m:r>
      </m:oMath>
      <w:r>
        <w:rPr>
          <w:rFonts w:hint="default" w:ascii="Times New Roman Regular" w:hAnsi="Times New Roman Regular" w:cs="Times New Roman Regular"/>
          <w:b w:val="0"/>
          <w:i w:val="0"/>
        </w:rPr>
        <w:t>.</w:t>
      </w:r>
    </w:p>
    <w:p w14:paraId="349EE491">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A two-sided bootstrap P value was calculated as:</w:t>
      </w:r>
    </w:p>
    <w:p w14:paraId="427BD9D8">
      <w:pPr>
        <w:keepLines/>
        <w:tabs>
          <w:tab w:val="center" w:pos="4680"/>
          <w:tab w:val="right" w:pos="9360"/>
        </w:tabs>
        <w:spacing w:before="60" w:after="80" w:line="259" w:lineRule="auto"/>
        <w:ind w:left="0" w:right="0" w:firstLine="0"/>
        <w:jc w:val="center"/>
        <w:rPr>
          <w:rFonts w:hint="default" w:ascii="Times New Roman Regular" w:hAnsi="Times New Roman Regular" w:eastAsia="宋体" w:cs="Times New Roman Regular"/>
        </w:rPr>
      </w:pPr>
      <w:r>
        <w:tab/>
      </w:r>
      <m:oMath>
        <m:sSub>
          <m:e>
            <m:r>
              <m:t>p</m:t>
            </m:r>
          </m:e>
          <m:sub>
            <m:r>
              <m:t>b</m:t>
            </m:r>
            <m:r>
              <m:t>o</m:t>
            </m:r>
            <m:r>
              <m:t>o</m:t>
            </m:r>
            <m:r>
              <m:t>t</m:t>
            </m:r>
          </m:sub>
        </m:sSub>
        <m:r>
          <m:rPr>
            <m:sty m:val="p"/>
          </m:rPr>
          <m:t>=</m:t>
        </m:r>
        <m:r>
          <m:t>2</m:t>
        </m:r>
        <m:r>
          <m:rPr>
            <m:sty m:val="p"/>
          </m:rPr>
          <m:t>min</m:t>
        </m:r>
        <m:r>
          <m:rPr>
            <m:sty m:val="p"/>
          </m:rPr>
          <m:t>{</m:t>
        </m:r>
        <m:r>
          <m:rPr>
            <m:sty m:val="p"/>
          </m:rPr>
          <m:t>Pr</m:t>
        </m:r>
        <m:r>
          <m:rPr>
            <m:sty m:val="p"/>
          </m:rPr>
          <m:t>(</m:t>
        </m:r>
        <m:sSub>
          <m:e>
            <m:r>
              <m:rPr>
                <m:sty m:val="p"/>
              </m:rPr>
              <m:t>Δ</m:t>
            </m:r>
          </m:e>
          <m:sub>
            <m:r>
              <m:t>b</m:t>
            </m:r>
          </m:sub>
        </m:sSub>
        <m:r>
          <m:rPr>
            <m:sty m:val="p"/>
          </m:rPr>
          <m:t>≤</m:t>
        </m:r>
        <m:r>
          <m:t>0</m:t>
        </m:r>
        <m:r>
          <m:rPr>
            <m:sty m:val="p"/>
          </m:rPr>
          <m:t>)</m:t>
        </m:r>
        <m:r>
          <m:rPr>
            <m:sty m:val="p"/>
          </m:rPr>
          <m:t>,</m:t>
        </m:r>
        <m:r>
          <m:rPr>
            <m:sty m:val="p"/>
          </m:rPr>
          <m:t>Pr</m:t>
        </m:r>
        <m:r>
          <m:rPr>
            <m:sty m:val="p"/>
          </m:rPr>
          <m:t>(</m:t>
        </m:r>
        <m:sSub>
          <m:e>
            <m:r>
              <m:rPr>
                <m:sty m:val="p"/>
              </m:rPr>
              <m:t>Δ</m:t>
            </m:r>
          </m:e>
          <m:sub>
            <m:r>
              <m:t>b</m:t>
            </m:r>
          </m:sub>
        </m:sSub>
        <m:r>
          <m:rPr>
            <m:sty m:val="p"/>
          </m:rPr>
          <m:t>≥</m:t>
        </m:r>
        <m:r>
          <m:t>0</m:t>
        </m:r>
        <m:r>
          <m:rPr>
            <m:sty m:val="p"/>
          </m:rPr>
          <m:t>)</m:t>
        </m:r>
        <m:r>
          <m:rPr>
            <m:sty m:val="p"/>
          </m:rPr>
          <m:t>}</m:t>
        </m:r>
      </m:oMath>
      <w:r>
        <w:tab/>
      </w:r>
      <w:r>
        <w:rPr>
          <w:rFonts w:ascii="Times New Roman" w:hAnsi="Times New Roman" w:eastAsia="Times New Roman"/>
        </w:rPr>
        <w:t xml:space="preserve">(Equation 14)</w:t>
      </w:r>
    </w:p>
    <w:p w14:paraId="4AD058CB">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The P value was truncated at 1.</w:t>
      </w:r>
    </w:p>
    <w:p w14:paraId="038DB17F">
      <w:pPr>
        <w:spacing w:after="80" w:line="259" w:lineRule="auto"/>
        <w:ind w:left="0" w:right="0" w:firstLine="0"/>
        <w:jc w:val="both"/>
        <w:rPr>
          <w:rFonts w:hint="default" w:ascii="Times New Roman Regular" w:hAnsi="Times New Roman Regular" w:eastAsia="宋体" w:cs="Times New Roman Regular"/>
        </w:rPr>
      </w:pPr>
      <w:r>
        <w:rPr>
          <w:rFonts w:hint="default" w:ascii="Times New Roman Regular" w:hAnsi="Times New Roman Regular" w:eastAsia="宋体" w:cs="Times New Roman Regular"/>
          <w:sz w:val="19"/>
        </w:rPr>
        <w:t>A method was described as statistically superior only when the paired comparison had been calculated from publication-level predictions under the frozen evaluation protocol. Aggregate point estimates alone were not sufficient to support a claim of statistical superiority.</w:t>
      </w:r>
    </w:p>
    <w:p w14:paraId="4F43BD4D">
      <w:pPr>
        <w:pStyle w:val="7"/>
        <w:keepNext/>
        <w:spacing w:after="80"/>
        <w:rPr>
          <w:rFonts w:hint="default" w:ascii="Times New Roman Regular" w:hAnsi="Times New Roman Regular" w:cs="Times New Roman Regular"/>
        </w:rPr>
      </w:pPr>
      <w:r>
        <w:rPr>
          <w:rFonts w:hint="default" w:ascii="Times New Roman Regular" w:hAnsi="Times New Roman Regular" w:cs="Times New Roman Regular"/>
        </w:rPr>
        <w:t xml:space="preserve">Table </w:t>
      </w:r>
      <w:r>
        <w:rPr>
          <w:rFonts w:hint="eastAsia" w:ascii="Times New Roman Regular" w:hAnsi="Times New Roman Regular" w:eastAsia="宋体" w:cs="Times New Roman Regular"/>
          <w:lang w:val="en-US" w:eastAsia="zh-CN"/>
        </w:rPr>
        <w:t>11</w:t>
      </w:r>
      <w:r>
        <w:rPr>
          <w:rFonts w:hint="default" w:ascii="Times New Roman Regular" w:hAnsi="Times New Roman Regular" w:cs="Times New Roman Regular"/>
        </w:rPr>
        <w:t>. Method performance with publication-level bootstrap 95% confidence intervals</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4"/>
        <w:gridCol w:w="1694"/>
        <w:gridCol w:w="1694"/>
        <w:gridCol w:w="1694"/>
        <w:gridCol w:w="1694"/>
        <w:gridCol w:w="1694"/>
      </w:tblGrid>
      <w:tr w14:paraId="2EC708C9">
        <w:trPr>
          <w:cantSplit/>
          <w:tblHeader/>
          <w:jc w:val="center"/>
        </w:trPr>
        <w:tc>
          <w:tcPr>
            <w:tcW w:w="1694" w:type="dxa"/>
            <w:shd w:val="clear" w:color="auto" w:fill="D9EAF7"/>
            <w:tcMar>
              <w:top w:w="60" w:type="dxa"/>
              <w:left w:w="80" w:type="dxa"/>
              <w:bottom w:w="60" w:type="dxa"/>
              <w:right w:w="80" w:type="dxa"/>
            </w:tcMar>
            <w:vAlign w:val="center"/>
          </w:tcPr>
          <w:p w14:paraId="7C6CD15F">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5"/>
              </w:rPr>
              <w:t>Method</w:t>
            </w:r>
          </w:p>
        </w:tc>
        <w:tc>
          <w:tcPr>
            <w:tcW w:w="1694" w:type="dxa"/>
            <w:shd w:val="clear" w:color="auto" w:fill="D9EAF7"/>
            <w:tcMar>
              <w:top w:w="60" w:type="dxa"/>
              <w:left w:w="80" w:type="dxa"/>
              <w:bottom w:w="60" w:type="dxa"/>
              <w:right w:w="80" w:type="dxa"/>
            </w:tcMar>
            <w:vAlign w:val="center"/>
          </w:tcPr>
          <w:p w14:paraId="3E01D719">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5"/>
              </w:rPr>
              <w:t>CU Detection F1 (95% CI)</w:t>
            </w:r>
          </w:p>
        </w:tc>
        <w:tc>
          <w:tcPr>
            <w:tcW w:w="1694" w:type="dxa"/>
            <w:shd w:val="clear" w:color="auto" w:fill="D9EAF7"/>
            <w:tcMar>
              <w:top w:w="60" w:type="dxa"/>
              <w:left w:w="80" w:type="dxa"/>
              <w:bottom w:w="60" w:type="dxa"/>
              <w:right w:w="80" w:type="dxa"/>
            </w:tcMar>
            <w:vAlign w:val="center"/>
          </w:tcPr>
          <w:p w14:paraId="560E8862">
            <w:pPr>
              <w:spacing w:before="0" w:after="0"/>
              <w:jc w:val="center"/>
              <w:rPr>
                <w:rFonts w:hint="default" w:ascii="Times New Roman Regular" w:hAnsi="Times New Roman Regular" w:cs="Times New Roman Regular"/>
              </w:rPr>
            </w:pPr>
            <w:r>
              <w:rPr>
                <w:rFonts w:hint="default" w:ascii="Times New Roman Regular" w:hAnsi="Times New Roman Regular" w:cs="Times New Roman Regular"/>
                <w:b/>
                <w:sz w:val="15"/>
              </w:rPr>
              <w:t>Conditional Unit-Accuracy among matched CUs (95% CI)</w:t>
            </w:r>
          </w:p>
        </w:tc>
        <w:tc>
          <w:tcPr>
            <w:tcW w:w="1694" w:type="dxa"/>
            <w:shd w:val="clear" w:color="auto" w:fill="D9EAF7"/>
            <w:tcMar>
              <w:top w:w="60" w:type="dxa"/>
              <w:left w:w="80" w:type="dxa"/>
              <w:bottom w:w="60" w:type="dxa"/>
              <w:right w:w="80" w:type="dxa"/>
            </w:tcMar>
            <w:vAlign w:val="center"/>
          </w:tcPr>
          <w:p w14:paraId="2B5202D8">
            <w:pPr>
              <w:spacing w:before="0" w:after="0"/>
              <w:jc w:val="center"/>
              <w:rPr>
                <w:rFonts w:hint="default" w:ascii="Times New Roman Regular" w:hAnsi="Times New Roman Regular" w:cs="Times New Roman Regular"/>
              </w:rPr>
            </w:pPr>
            <w:r>
              <w:rPr>
                <w:rFonts w:hint="default" w:ascii="Times New Roman Regular" w:hAnsi="Times New Roman Regular" w:cs="Times New Roman Regular"/>
              </w:rPr>
              <w:t xml:space="preserve">Numerical/State Tolerance-Accuracy (95% CI)</w:t>
            </w:r>
          </w:p>
        </w:tc>
        <w:tc>
          <w:tcPr>
            <w:tcW w:w="1694" w:type="dxa"/>
            <w:shd w:val="clear" w:color="auto" w:fill="D9EAF7"/>
            <w:tcMar>
              <w:top w:w="60" w:type="dxa"/>
              <w:left w:w="80" w:type="dxa"/>
              <w:bottom w:w="60" w:type="dxa"/>
              <w:right w:w="80" w:type="dxa"/>
            </w:tcMar>
            <w:vAlign w:val="center"/>
          </w:tcPr>
          <w:p w14:paraId="70A38271">
            <w:pPr>
              <w:spacing w:before="0" w:after="0"/>
              <w:rPr>
                <w:rFonts w:hint="default" w:ascii="Times New Roman Regular" w:hAnsi="Times New Roman Regular" w:cs="Times New Roman Regular"/>
              </w:rPr>
            </w:pPr>
            <w:r>
              <w:rPr>
                <w:rFonts w:hint="default" w:ascii="Times New Roman Regular" w:hAnsi="Times New Roman Regular" w:cs="Times New Roman Regular"/>
              </w:rPr>
              <w:t xml:space="preserve">Evidence-Supported Item Rate (95% CI)</w:t>
            </w:r>
          </w:p>
        </w:tc>
        <w:tc>
          <w:tcPr>
            <w:tcW w:w="1694" w:type="dxa"/>
            <w:shd w:val="clear" w:color="auto" w:fill="D9EAF7"/>
            <w:tcMar>
              <w:top w:w="60" w:type="dxa"/>
              <w:left w:w="80" w:type="dxa"/>
              <w:bottom w:w="60" w:type="dxa"/>
              <w:right w:w="80" w:type="dxa"/>
            </w:tcMar>
            <w:vAlign w:val="center"/>
          </w:tcPr>
          <w:p w14:paraId="47B6509B">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5"/>
              </w:rPr>
              <w:t>Valid bootstrap replicates</w:t>
            </w:r>
          </w:p>
        </w:tc>
      </w:tr>
      <w:tr w14:paraId="6E85BA2D">
        <w:trPr>
          <w:cantSplit/>
          <w:jc w:val="center"/>
        </w:trPr>
        <w:tc>
          <w:tcPr>
            <w:tcW w:w="1694" w:type="dxa"/>
            <w:tcMar>
              <w:top w:w="60" w:type="dxa"/>
              <w:left w:w="80" w:type="dxa"/>
              <w:bottom w:w="60" w:type="dxa"/>
              <w:right w:w="80" w:type="dxa"/>
            </w:tcMar>
            <w:vAlign w:val="center"/>
          </w:tcPr>
          <w:p w14:paraId="588EA1C8">
            <w:pPr>
              <w:spacing w:before="0" w:after="0"/>
              <w:rPr>
                <w:rFonts w:hint="default" w:ascii="Times New Roman Regular" w:hAnsi="Times New Roman Regular" w:cs="Times New Roman Regular"/>
              </w:rPr>
            </w:pPr>
            <w:r>
              <w:rPr>
                <w:rFonts w:hint="default" w:ascii="Times New Roman Regular" w:hAnsi="Times New Roman Regular" w:cs="Times New Roman Regular"/>
                <w:sz w:val="15"/>
              </w:rPr>
              <w:t>DeepSeek-V3.2 (Non-thinking)</w:t>
            </w:r>
          </w:p>
        </w:tc>
        <w:tc>
          <w:tcPr>
            <w:tcW w:w="1694" w:type="dxa"/>
            <w:tcMar>
              <w:top w:w="60" w:type="dxa"/>
              <w:left w:w="80" w:type="dxa"/>
              <w:bottom w:w="60" w:type="dxa"/>
              <w:right w:w="80" w:type="dxa"/>
            </w:tcMar>
            <w:vAlign w:val="center"/>
          </w:tcPr>
          <w:p w14:paraId="173FC7ED">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77.29% (74.73%-79.84%)</w:t>
            </w:r>
          </w:p>
        </w:tc>
        <w:tc>
          <w:tcPr>
            <w:tcW w:w="1694" w:type="dxa"/>
            <w:tcMar>
              <w:top w:w="60" w:type="dxa"/>
              <w:left w:w="80" w:type="dxa"/>
              <w:bottom w:w="60" w:type="dxa"/>
              <w:right w:w="80" w:type="dxa"/>
            </w:tcMar>
            <w:vAlign w:val="center"/>
          </w:tcPr>
          <w:p w14:paraId="23975537">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75.77% (71.57%-80.10%)</w:t>
            </w:r>
          </w:p>
        </w:tc>
        <w:tc>
          <w:tcPr>
            <w:tcW w:w="1694" w:type="dxa"/>
            <w:tcMar>
              <w:top w:w="60" w:type="dxa"/>
              <w:left w:w="80" w:type="dxa"/>
              <w:bottom w:w="60" w:type="dxa"/>
              <w:right w:w="80" w:type="dxa"/>
            </w:tcMar>
            <w:vAlign w:val="center"/>
          </w:tcPr>
          <w:p w14:paraId="6654F8B0">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89.44% (88.54%-90.36%)</w:t>
            </w:r>
          </w:p>
        </w:tc>
        <w:tc>
          <w:tcPr>
            <w:tcW w:w="1694" w:type="dxa"/>
            <w:tcMar>
              <w:top w:w="60" w:type="dxa"/>
              <w:left w:w="80" w:type="dxa"/>
              <w:bottom w:w="60" w:type="dxa"/>
              <w:right w:w="80" w:type="dxa"/>
            </w:tcMar>
            <w:vAlign w:val="center"/>
          </w:tcPr>
          <w:p w14:paraId="189D9F7C">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68.73% (66.18%-71.30%)</w:t>
            </w:r>
          </w:p>
        </w:tc>
        <w:tc>
          <w:tcPr>
            <w:tcW w:w="1694" w:type="dxa"/>
            <w:tcMar>
              <w:top w:w="60" w:type="dxa"/>
              <w:left w:w="80" w:type="dxa"/>
              <w:bottom w:w="60" w:type="dxa"/>
              <w:right w:w="80" w:type="dxa"/>
            </w:tcMar>
            <w:vAlign w:val="center"/>
          </w:tcPr>
          <w:p w14:paraId="166A963C">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5"/>
              </w:rPr>
              <w:t>2,000</w:t>
            </w:r>
          </w:p>
        </w:tc>
      </w:tr>
      <w:tr w14:paraId="5AFCA724">
        <w:trPr>
          <w:cantSplit/>
          <w:jc w:val="center"/>
        </w:trPr>
        <w:tc>
          <w:tcPr>
            <w:tcW w:w="1694" w:type="dxa"/>
            <w:tcMar>
              <w:top w:w="60" w:type="dxa"/>
              <w:left w:w="80" w:type="dxa"/>
              <w:bottom w:w="60" w:type="dxa"/>
              <w:right w:w="80" w:type="dxa"/>
            </w:tcMar>
            <w:vAlign w:val="center"/>
          </w:tcPr>
          <w:p w14:paraId="18BFDDB9">
            <w:pPr>
              <w:spacing w:before="0" w:after="0"/>
              <w:rPr>
                <w:rFonts w:hint="default" w:ascii="Times New Roman Regular" w:hAnsi="Times New Roman Regular" w:cs="Times New Roman Regular"/>
              </w:rPr>
            </w:pPr>
            <w:r>
              <w:rPr>
                <w:rFonts w:hint="default" w:ascii="Times New Roman Regular" w:hAnsi="Times New Roman Regular" w:cs="Times New Roman Regular"/>
                <w:sz w:val="15"/>
              </w:rPr>
              <w:t>DeepSeek-V3.2 (Thinking)</w:t>
            </w:r>
          </w:p>
        </w:tc>
        <w:tc>
          <w:tcPr>
            <w:tcW w:w="1694" w:type="dxa"/>
            <w:tcMar>
              <w:top w:w="60" w:type="dxa"/>
              <w:left w:w="80" w:type="dxa"/>
              <w:bottom w:w="60" w:type="dxa"/>
              <w:right w:w="80" w:type="dxa"/>
            </w:tcMar>
            <w:vAlign w:val="center"/>
          </w:tcPr>
          <w:p w14:paraId="09E5275D">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82.09% (79.63%-84.76%)</w:t>
            </w:r>
          </w:p>
        </w:tc>
        <w:tc>
          <w:tcPr>
            <w:tcW w:w="1694" w:type="dxa"/>
            <w:tcMar>
              <w:top w:w="60" w:type="dxa"/>
              <w:left w:w="80" w:type="dxa"/>
              <w:bottom w:w="60" w:type="dxa"/>
              <w:right w:w="80" w:type="dxa"/>
            </w:tcMar>
            <w:vAlign w:val="center"/>
          </w:tcPr>
          <w:p w14:paraId="70289EF8">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80.88% (76.92%-85.43%)</w:t>
            </w:r>
          </w:p>
        </w:tc>
        <w:tc>
          <w:tcPr>
            <w:tcW w:w="1694" w:type="dxa"/>
            <w:tcMar>
              <w:top w:w="60" w:type="dxa"/>
              <w:left w:w="80" w:type="dxa"/>
              <w:bottom w:w="60" w:type="dxa"/>
              <w:right w:w="80" w:type="dxa"/>
            </w:tcMar>
            <w:vAlign w:val="center"/>
          </w:tcPr>
          <w:p w14:paraId="76AE09D2">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91.68% (90.92%-92.43%)</w:t>
            </w:r>
          </w:p>
        </w:tc>
        <w:tc>
          <w:tcPr>
            <w:tcW w:w="1694" w:type="dxa"/>
            <w:tcMar>
              <w:top w:w="60" w:type="dxa"/>
              <w:left w:w="80" w:type="dxa"/>
              <w:bottom w:w="60" w:type="dxa"/>
              <w:right w:w="80" w:type="dxa"/>
            </w:tcMar>
            <w:vAlign w:val="center"/>
          </w:tcPr>
          <w:p w14:paraId="0A4D92B8">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77.78% (75.76%-80.00%)</w:t>
            </w:r>
          </w:p>
        </w:tc>
        <w:tc>
          <w:tcPr>
            <w:tcW w:w="1694" w:type="dxa"/>
            <w:tcMar>
              <w:top w:w="60" w:type="dxa"/>
              <w:left w:w="80" w:type="dxa"/>
              <w:bottom w:w="60" w:type="dxa"/>
              <w:right w:w="80" w:type="dxa"/>
            </w:tcMar>
            <w:vAlign w:val="center"/>
          </w:tcPr>
          <w:p w14:paraId="690B8EFD">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5"/>
              </w:rPr>
              <w:t>2,000</w:t>
            </w:r>
          </w:p>
        </w:tc>
      </w:tr>
      <w:tr w14:paraId="191F6D4C">
        <w:trPr>
          <w:cantSplit/>
          <w:jc w:val="center"/>
        </w:trPr>
        <w:tc>
          <w:tcPr>
            <w:tcW w:w="1694" w:type="dxa"/>
            <w:tcMar>
              <w:top w:w="60" w:type="dxa"/>
              <w:left w:w="80" w:type="dxa"/>
              <w:bottom w:w="60" w:type="dxa"/>
              <w:right w:w="80" w:type="dxa"/>
            </w:tcMar>
            <w:vAlign w:val="center"/>
          </w:tcPr>
          <w:p w14:paraId="723BCE1E">
            <w:pPr>
              <w:spacing w:before="0" w:after="0"/>
              <w:rPr>
                <w:rFonts w:hint="default" w:ascii="Times New Roman Regular" w:hAnsi="Times New Roman Regular" w:cs="Times New Roman Regular"/>
              </w:rPr>
            </w:pPr>
            <w:r>
              <w:rPr>
                <w:rFonts w:hint="default" w:ascii="Times New Roman Regular" w:hAnsi="Times New Roman Regular" w:cs="Times New Roman Regular"/>
                <w:sz w:val="15"/>
              </w:rPr>
              <w:t>Qwen-Max-2025-01-25</w:t>
            </w:r>
          </w:p>
        </w:tc>
        <w:tc>
          <w:tcPr>
            <w:tcW w:w="1694" w:type="dxa"/>
            <w:tcMar>
              <w:top w:w="60" w:type="dxa"/>
              <w:left w:w="80" w:type="dxa"/>
              <w:bottom w:w="60" w:type="dxa"/>
              <w:right w:w="80" w:type="dxa"/>
            </w:tcMar>
            <w:vAlign w:val="center"/>
          </w:tcPr>
          <w:p w14:paraId="745E6CC9">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90.39% (88.23%-92.72%)</w:t>
            </w:r>
          </w:p>
        </w:tc>
        <w:tc>
          <w:tcPr>
            <w:tcW w:w="1694" w:type="dxa"/>
            <w:tcMar>
              <w:top w:w="60" w:type="dxa"/>
              <w:left w:w="80" w:type="dxa"/>
              <w:bottom w:w="60" w:type="dxa"/>
              <w:right w:w="80" w:type="dxa"/>
            </w:tcMar>
            <w:vAlign w:val="center"/>
          </w:tcPr>
          <w:p w14:paraId="301F0F84">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89.59% (86.43%-92.86%)</w:t>
            </w:r>
          </w:p>
        </w:tc>
        <w:tc>
          <w:tcPr>
            <w:tcW w:w="1694" w:type="dxa"/>
            <w:tcMar>
              <w:top w:w="60" w:type="dxa"/>
              <w:left w:w="80" w:type="dxa"/>
              <w:bottom w:w="60" w:type="dxa"/>
              <w:right w:w="80" w:type="dxa"/>
            </w:tcMar>
            <w:vAlign w:val="center"/>
          </w:tcPr>
          <w:p w14:paraId="0D9384B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96.64% (95.98%-97.32%)</w:t>
            </w:r>
          </w:p>
        </w:tc>
        <w:tc>
          <w:tcPr>
            <w:tcW w:w="1694" w:type="dxa"/>
            <w:tcMar>
              <w:top w:w="60" w:type="dxa"/>
              <w:left w:w="80" w:type="dxa"/>
              <w:bottom w:w="60" w:type="dxa"/>
              <w:right w:w="80" w:type="dxa"/>
            </w:tcMar>
            <w:vAlign w:val="center"/>
          </w:tcPr>
          <w:p w14:paraId="1B5C29E0">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86.82% (84.82%-88.86%)</w:t>
            </w:r>
          </w:p>
        </w:tc>
        <w:tc>
          <w:tcPr>
            <w:tcW w:w="1694" w:type="dxa"/>
            <w:tcMar>
              <w:top w:w="60" w:type="dxa"/>
              <w:left w:w="80" w:type="dxa"/>
              <w:bottom w:w="60" w:type="dxa"/>
              <w:right w:w="80" w:type="dxa"/>
            </w:tcMar>
            <w:vAlign w:val="center"/>
          </w:tcPr>
          <w:p w14:paraId="2C6A9E63">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5"/>
              </w:rPr>
              <w:t>2,000</w:t>
            </w:r>
          </w:p>
        </w:tc>
      </w:tr>
      <w:tr w14:paraId="028F306E">
        <w:trPr>
          <w:cantSplit/>
          <w:jc w:val="center"/>
        </w:trPr>
        <w:tc>
          <w:tcPr>
            <w:tcW w:w="1694" w:type="dxa"/>
            <w:tcMar>
              <w:top w:w="60" w:type="dxa"/>
              <w:left w:w="80" w:type="dxa"/>
              <w:bottom w:w="60" w:type="dxa"/>
              <w:right w:w="80" w:type="dxa"/>
            </w:tcMar>
            <w:vAlign w:val="center"/>
          </w:tcPr>
          <w:p w14:paraId="4029DF47">
            <w:pPr>
              <w:spacing w:before="0" w:after="0"/>
              <w:rPr>
                <w:rFonts w:hint="default" w:ascii="Times New Roman Regular" w:hAnsi="Times New Roman Regular" w:cs="Times New Roman Regular"/>
              </w:rPr>
            </w:pPr>
            <w:r>
              <w:rPr>
                <w:rFonts w:hint="default" w:ascii="Times New Roman Regular" w:hAnsi="Times New Roman Regular" w:cs="Times New Roman Regular"/>
                <w:sz w:val="15"/>
              </w:rPr>
              <w:t>GPT-5.5 Thinking-High</w:t>
            </w:r>
          </w:p>
        </w:tc>
        <w:tc>
          <w:tcPr>
            <w:tcW w:w="1694" w:type="dxa"/>
            <w:tcMar>
              <w:top w:w="60" w:type="dxa"/>
              <w:left w:w="80" w:type="dxa"/>
              <w:bottom w:w="60" w:type="dxa"/>
              <w:right w:w="80" w:type="dxa"/>
            </w:tcMar>
            <w:vAlign w:val="center"/>
          </w:tcPr>
          <w:p w14:paraId="1E07C55B">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91.60% (89.53%-93.76%)</w:t>
            </w:r>
          </w:p>
        </w:tc>
        <w:tc>
          <w:tcPr>
            <w:tcW w:w="1694" w:type="dxa"/>
            <w:tcMar>
              <w:top w:w="60" w:type="dxa"/>
              <w:left w:w="80" w:type="dxa"/>
              <w:bottom w:w="60" w:type="dxa"/>
              <w:right w:w="80" w:type="dxa"/>
            </w:tcMar>
            <w:vAlign w:val="center"/>
          </w:tcPr>
          <w:p w14:paraId="78071F11">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90.83% (87.83%-93.75%)</w:t>
            </w:r>
          </w:p>
        </w:tc>
        <w:tc>
          <w:tcPr>
            <w:tcW w:w="1694" w:type="dxa"/>
            <w:tcMar>
              <w:top w:w="60" w:type="dxa"/>
              <w:left w:w="80" w:type="dxa"/>
              <w:bottom w:w="60" w:type="dxa"/>
              <w:right w:w="80" w:type="dxa"/>
            </w:tcMar>
            <w:vAlign w:val="center"/>
          </w:tcPr>
          <w:p w14:paraId="7F0A6FBE">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96.40% (95.80%-97.01%)</w:t>
            </w:r>
          </w:p>
        </w:tc>
        <w:tc>
          <w:tcPr>
            <w:tcW w:w="1694" w:type="dxa"/>
            <w:tcMar>
              <w:top w:w="60" w:type="dxa"/>
              <w:left w:w="80" w:type="dxa"/>
              <w:bottom w:w="60" w:type="dxa"/>
              <w:right w:w="80" w:type="dxa"/>
            </w:tcMar>
            <w:vAlign w:val="center"/>
          </w:tcPr>
          <w:p w14:paraId="1A9D8988">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89.92% (87.89%-92.02%)</w:t>
            </w:r>
          </w:p>
        </w:tc>
        <w:tc>
          <w:tcPr>
            <w:tcW w:w="1694" w:type="dxa"/>
            <w:tcMar>
              <w:top w:w="60" w:type="dxa"/>
              <w:left w:w="80" w:type="dxa"/>
              <w:bottom w:w="60" w:type="dxa"/>
              <w:right w:w="80" w:type="dxa"/>
            </w:tcMar>
            <w:vAlign w:val="center"/>
          </w:tcPr>
          <w:p w14:paraId="28F0FEED">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5"/>
              </w:rPr>
              <w:t>2,000</w:t>
            </w:r>
          </w:p>
        </w:tc>
      </w:tr>
      <w:tr w14:paraId="785E3D7B">
        <w:trPr>
          <w:cantSplit/>
          <w:jc w:val="center"/>
        </w:trPr>
        <w:tc>
          <w:tcPr>
            <w:tcW w:w="1694" w:type="dxa"/>
            <w:tcMar>
              <w:top w:w="60" w:type="dxa"/>
              <w:left w:w="80" w:type="dxa"/>
              <w:bottom w:w="60" w:type="dxa"/>
              <w:right w:w="80" w:type="dxa"/>
            </w:tcMar>
            <w:vAlign w:val="center"/>
          </w:tcPr>
          <w:p w14:paraId="2E23F6DF">
            <w:pPr>
              <w:spacing w:before="0" w:after="0"/>
              <w:rPr>
                <w:rFonts w:hint="default" w:ascii="Times New Roman Regular" w:hAnsi="Times New Roman Regular" w:cs="Times New Roman Regular"/>
              </w:rPr>
            </w:pPr>
            <w:r>
              <w:rPr>
                <w:rFonts w:hint="default" w:ascii="Times New Roman Regular" w:hAnsi="Times New Roman Regular" w:cs="Times New Roman Regular"/>
                <w:sz w:val="15"/>
              </w:rPr>
              <w:t>MedGemma 27B Text IT (Non-thinking)</w:t>
            </w:r>
          </w:p>
        </w:tc>
        <w:tc>
          <w:tcPr>
            <w:tcW w:w="1694" w:type="dxa"/>
            <w:tcMar>
              <w:top w:w="60" w:type="dxa"/>
              <w:left w:w="80" w:type="dxa"/>
              <w:bottom w:w="60" w:type="dxa"/>
              <w:right w:w="80" w:type="dxa"/>
            </w:tcMar>
            <w:vAlign w:val="center"/>
          </w:tcPr>
          <w:p w14:paraId="1A7322E2">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88.75% (86.53%-90.99%)</w:t>
            </w:r>
          </w:p>
        </w:tc>
        <w:tc>
          <w:tcPr>
            <w:tcW w:w="1694" w:type="dxa"/>
            <w:tcMar>
              <w:top w:w="60" w:type="dxa"/>
              <w:left w:w="80" w:type="dxa"/>
              <w:bottom w:w="60" w:type="dxa"/>
              <w:right w:w="80" w:type="dxa"/>
            </w:tcMar>
            <w:vAlign w:val="center"/>
          </w:tcPr>
          <w:p w14:paraId="4AF813D0">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87.56% (81.57%-92.38%)</w:t>
            </w:r>
          </w:p>
        </w:tc>
        <w:tc>
          <w:tcPr>
            <w:tcW w:w="1694" w:type="dxa"/>
            <w:tcMar>
              <w:top w:w="60" w:type="dxa"/>
              <w:left w:w="80" w:type="dxa"/>
              <w:bottom w:w="60" w:type="dxa"/>
              <w:right w:w="80" w:type="dxa"/>
            </w:tcMar>
            <w:vAlign w:val="center"/>
          </w:tcPr>
          <w:p w14:paraId="20A72470">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94.80% (94.13%-95.44%)</w:t>
            </w:r>
          </w:p>
        </w:tc>
        <w:tc>
          <w:tcPr>
            <w:tcW w:w="1694" w:type="dxa"/>
            <w:tcMar>
              <w:top w:w="60" w:type="dxa"/>
              <w:left w:w="80" w:type="dxa"/>
              <w:bottom w:w="60" w:type="dxa"/>
              <w:right w:w="80" w:type="dxa"/>
            </w:tcMar>
            <w:vAlign w:val="center"/>
          </w:tcPr>
          <w:p w14:paraId="00D019A2">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83.72% (81.20%-86.28%)</w:t>
            </w:r>
          </w:p>
        </w:tc>
        <w:tc>
          <w:tcPr>
            <w:tcW w:w="1694" w:type="dxa"/>
            <w:tcMar>
              <w:top w:w="60" w:type="dxa"/>
              <w:left w:w="80" w:type="dxa"/>
              <w:bottom w:w="60" w:type="dxa"/>
              <w:right w:w="80" w:type="dxa"/>
            </w:tcMar>
            <w:vAlign w:val="center"/>
          </w:tcPr>
          <w:p w14:paraId="51F2889B">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5"/>
              </w:rPr>
              <w:t>2,000</w:t>
            </w:r>
          </w:p>
        </w:tc>
      </w:tr>
      <w:tr w14:paraId="0DA426BF">
        <w:trPr>
          <w:cantSplit/>
          <w:jc w:val="center"/>
        </w:trPr>
        <w:tc>
          <w:tcPr>
            <w:tcW w:w="1694" w:type="dxa"/>
            <w:tcMar>
              <w:top w:w="60" w:type="dxa"/>
              <w:left w:w="80" w:type="dxa"/>
              <w:bottom w:w="60" w:type="dxa"/>
              <w:right w:w="80" w:type="dxa"/>
            </w:tcMar>
            <w:vAlign w:val="center"/>
          </w:tcPr>
          <w:p w14:paraId="63AC87BB">
            <w:pPr>
              <w:spacing w:before="0" w:after="0"/>
              <w:rPr>
                <w:rFonts w:hint="default" w:ascii="Times New Roman Regular" w:hAnsi="Times New Roman Regular" w:cs="Times New Roman Regular"/>
              </w:rPr>
            </w:pPr>
            <w:r>
              <w:rPr>
                <w:rFonts w:hint="default" w:ascii="Times New Roman Regular" w:hAnsi="Times New Roman Regular" w:cs="Times New Roman Regular"/>
                <w:sz w:val="15"/>
              </w:rPr>
              <w:t>TRACE-CU w/o Topology-Aware Routing</w:t>
            </w:r>
          </w:p>
        </w:tc>
        <w:tc>
          <w:tcPr>
            <w:tcW w:w="1694" w:type="dxa"/>
            <w:tcMar>
              <w:top w:w="60" w:type="dxa"/>
              <w:left w:w="80" w:type="dxa"/>
              <w:bottom w:w="60" w:type="dxa"/>
              <w:right w:w="80" w:type="dxa"/>
            </w:tcMar>
            <w:vAlign w:val="center"/>
          </w:tcPr>
          <w:p w14:paraId="4996287A">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90.69% (88.38%-93.02%)</w:t>
            </w:r>
          </w:p>
        </w:tc>
        <w:tc>
          <w:tcPr>
            <w:tcW w:w="1694" w:type="dxa"/>
            <w:tcMar>
              <w:top w:w="60" w:type="dxa"/>
              <w:left w:w="80" w:type="dxa"/>
              <w:bottom w:w="60" w:type="dxa"/>
              <w:right w:w="80" w:type="dxa"/>
            </w:tcMar>
            <w:vAlign w:val="center"/>
          </w:tcPr>
          <w:p w14:paraId="424F01E8">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89.73% (86.49%-92.89%)</w:t>
            </w:r>
          </w:p>
        </w:tc>
        <w:tc>
          <w:tcPr>
            <w:tcW w:w="1694" w:type="dxa"/>
            <w:tcMar>
              <w:top w:w="60" w:type="dxa"/>
              <w:left w:w="80" w:type="dxa"/>
              <w:bottom w:w="60" w:type="dxa"/>
              <w:right w:w="80" w:type="dxa"/>
            </w:tcMar>
            <w:vAlign w:val="center"/>
          </w:tcPr>
          <w:p w14:paraId="530CAE3F">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95.60% (94.96%-96.25%)</w:t>
            </w:r>
          </w:p>
        </w:tc>
        <w:tc>
          <w:tcPr>
            <w:tcW w:w="1694" w:type="dxa"/>
            <w:tcMar>
              <w:top w:w="60" w:type="dxa"/>
              <w:left w:w="80" w:type="dxa"/>
              <w:bottom w:w="60" w:type="dxa"/>
              <w:right w:w="80" w:type="dxa"/>
            </w:tcMar>
            <w:vAlign w:val="center"/>
          </w:tcPr>
          <w:p w14:paraId="720EED59">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91.73% (89.90%-93.69%)</w:t>
            </w:r>
          </w:p>
        </w:tc>
        <w:tc>
          <w:tcPr>
            <w:tcW w:w="1694" w:type="dxa"/>
            <w:tcMar>
              <w:top w:w="60" w:type="dxa"/>
              <w:left w:w="80" w:type="dxa"/>
              <w:bottom w:w="60" w:type="dxa"/>
              <w:right w:w="80" w:type="dxa"/>
            </w:tcMar>
            <w:vAlign w:val="center"/>
          </w:tcPr>
          <w:p w14:paraId="564B858A">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5"/>
              </w:rPr>
              <w:t>2,000</w:t>
            </w:r>
          </w:p>
        </w:tc>
      </w:tr>
      <w:tr w14:paraId="1BCE9785">
        <w:trPr>
          <w:cantSplit/>
          <w:jc w:val="center"/>
        </w:trPr>
        <w:tc>
          <w:tcPr>
            <w:tcW w:w="1694" w:type="dxa"/>
            <w:tcMar>
              <w:top w:w="60" w:type="dxa"/>
              <w:left w:w="80" w:type="dxa"/>
              <w:bottom w:w="60" w:type="dxa"/>
              <w:right w:w="80" w:type="dxa"/>
            </w:tcMar>
            <w:vAlign w:val="center"/>
          </w:tcPr>
          <w:p w14:paraId="6EFF4CC2">
            <w:pPr>
              <w:spacing w:before="0" w:after="0"/>
              <w:rPr>
                <w:rFonts w:hint="default" w:ascii="Times New Roman Regular" w:hAnsi="Times New Roman Regular" w:cs="Times New Roman Regular"/>
              </w:rPr>
            </w:pPr>
            <w:r>
              <w:rPr>
                <w:rFonts w:hint="default" w:ascii="Times New Roman Regular" w:hAnsi="Times New Roman Regular" w:cs="Times New Roman Regular"/>
                <w:sz w:val="15"/>
              </w:rPr>
              <w:t>TRACE-CU w/o Candidate-CU Assembly and Outcome Attribution</w:t>
            </w:r>
          </w:p>
        </w:tc>
        <w:tc>
          <w:tcPr>
            <w:tcW w:w="1694" w:type="dxa"/>
            <w:tcMar>
              <w:top w:w="60" w:type="dxa"/>
              <w:left w:w="80" w:type="dxa"/>
              <w:bottom w:w="60" w:type="dxa"/>
              <w:right w:w="80" w:type="dxa"/>
            </w:tcMar>
            <w:vAlign w:val="center"/>
          </w:tcPr>
          <w:p w14:paraId="417C171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89.47% (87.17%-91.76%)</w:t>
            </w:r>
          </w:p>
        </w:tc>
        <w:tc>
          <w:tcPr>
            <w:tcW w:w="1694" w:type="dxa"/>
            <w:tcMar>
              <w:top w:w="60" w:type="dxa"/>
              <w:left w:w="80" w:type="dxa"/>
              <w:bottom w:w="60" w:type="dxa"/>
              <w:right w:w="80" w:type="dxa"/>
            </w:tcMar>
            <w:vAlign w:val="center"/>
          </w:tcPr>
          <w:p w14:paraId="343FD4AB">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88.24% (82.56%-92.92%)</w:t>
            </w:r>
          </w:p>
        </w:tc>
        <w:tc>
          <w:tcPr>
            <w:tcW w:w="1694" w:type="dxa"/>
            <w:tcMar>
              <w:top w:w="60" w:type="dxa"/>
              <w:left w:w="80" w:type="dxa"/>
              <w:bottom w:w="60" w:type="dxa"/>
              <w:right w:w="80" w:type="dxa"/>
            </w:tcMar>
            <w:vAlign w:val="center"/>
          </w:tcPr>
          <w:p w14:paraId="13A9CE4B">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95.36% (94.64%-96.05%)</w:t>
            </w:r>
          </w:p>
        </w:tc>
        <w:tc>
          <w:tcPr>
            <w:tcW w:w="1694" w:type="dxa"/>
            <w:tcMar>
              <w:top w:w="60" w:type="dxa"/>
              <w:left w:w="80" w:type="dxa"/>
              <w:bottom w:w="60" w:type="dxa"/>
              <w:right w:w="80" w:type="dxa"/>
            </w:tcMar>
            <w:vAlign w:val="center"/>
          </w:tcPr>
          <w:p w14:paraId="2B480728">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91.21% (89.05%-93.37%)</w:t>
            </w:r>
          </w:p>
        </w:tc>
        <w:tc>
          <w:tcPr>
            <w:tcW w:w="1694" w:type="dxa"/>
            <w:tcMar>
              <w:top w:w="60" w:type="dxa"/>
              <w:left w:w="80" w:type="dxa"/>
              <w:bottom w:w="60" w:type="dxa"/>
              <w:right w:w="80" w:type="dxa"/>
            </w:tcMar>
            <w:vAlign w:val="center"/>
          </w:tcPr>
          <w:p w14:paraId="3383D09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5"/>
              </w:rPr>
              <w:t>2,000</w:t>
            </w:r>
          </w:p>
        </w:tc>
      </w:tr>
      <w:tr w14:paraId="062E2E36">
        <w:trPr>
          <w:cantSplit/>
          <w:jc w:val="center"/>
        </w:trPr>
        <w:tc>
          <w:tcPr>
            <w:tcW w:w="1694" w:type="dxa"/>
            <w:tcMar>
              <w:top w:w="60" w:type="dxa"/>
              <w:left w:w="80" w:type="dxa"/>
              <w:bottom w:w="60" w:type="dxa"/>
              <w:right w:w="80" w:type="dxa"/>
            </w:tcMar>
            <w:vAlign w:val="center"/>
          </w:tcPr>
          <w:p w14:paraId="37E80AF2">
            <w:pPr>
              <w:spacing w:before="0" w:after="0"/>
              <w:rPr>
                <w:rFonts w:hint="default" w:ascii="Times New Roman Regular" w:hAnsi="Times New Roman Regular" w:cs="Times New Roman Regular"/>
              </w:rPr>
            </w:pPr>
            <w:r>
              <w:rPr>
                <w:rFonts w:hint="default" w:ascii="Times New Roman Regular" w:hAnsi="Times New Roman Regular" w:cs="Times New Roman Regular"/>
                <w:sz w:val="15"/>
              </w:rPr>
              <w:t>TRACE-CU w/o Rule-Based Validation</w:t>
            </w:r>
          </w:p>
        </w:tc>
        <w:tc>
          <w:tcPr>
            <w:tcW w:w="1694" w:type="dxa"/>
            <w:tcMar>
              <w:top w:w="60" w:type="dxa"/>
              <w:left w:w="80" w:type="dxa"/>
              <w:bottom w:w="60" w:type="dxa"/>
              <w:right w:w="80" w:type="dxa"/>
            </w:tcMar>
            <w:vAlign w:val="center"/>
          </w:tcPr>
          <w:p w14:paraId="34137C6A">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90.76% (88.64%-92.81%)</w:t>
            </w:r>
          </w:p>
        </w:tc>
        <w:tc>
          <w:tcPr>
            <w:tcW w:w="1694" w:type="dxa"/>
            <w:tcMar>
              <w:top w:w="60" w:type="dxa"/>
              <w:left w:w="80" w:type="dxa"/>
              <w:bottom w:w="60" w:type="dxa"/>
              <w:right w:w="80" w:type="dxa"/>
            </w:tcMar>
            <w:vAlign w:val="center"/>
          </w:tcPr>
          <w:p w14:paraId="04C64CA0">
            <w:pPr>
              <w:spacing w:before="0" w:after="0" w:line="240" w:lineRule="auto"/>
              <w:jc w:val="center"/>
              <w:rPr>
                <w:rFonts w:hint="default" w:ascii="Times New Roman Regular" w:hAnsi="Times New Roman Regular" w:eastAsia="Times New Roman" w:cs="Times New Roman Regular"/>
                <w:b w:val="0"/>
                <w:sz w:val="15"/>
              </w:rPr>
            </w:pPr>
            <w:r>
              <w:rPr>
                <w:rFonts w:hint="default" w:ascii="Times New Roman Regular" w:hAnsi="Times New Roman Regular" w:eastAsia="Times New Roman" w:cs="Times New Roman Regular"/>
                <w:b w:val="0"/>
                <w:sz w:val="15"/>
              </w:rPr>
              <w:t xml:space="preserve">89.82% (86.64%-92.86%)</w:t>
            </w:r>
          </w:p>
        </w:tc>
        <w:tc>
          <w:tcPr>
            <w:tcW w:w="1694" w:type="dxa"/>
            <w:tcMar>
              <w:top w:w="60" w:type="dxa"/>
              <w:left w:w="80" w:type="dxa"/>
              <w:bottom w:w="60" w:type="dxa"/>
              <w:right w:w="80" w:type="dxa"/>
            </w:tcMar>
            <w:vAlign w:val="center"/>
          </w:tcPr>
          <w:p w14:paraId="01A69A55">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94.88% (94.26%-95.53%)</w:t>
            </w:r>
          </w:p>
        </w:tc>
        <w:tc>
          <w:tcPr>
            <w:tcW w:w="1694" w:type="dxa"/>
            <w:tcMar>
              <w:top w:w="60" w:type="dxa"/>
              <w:left w:w="80" w:type="dxa"/>
              <w:bottom w:w="60" w:type="dxa"/>
              <w:right w:w="80" w:type="dxa"/>
            </w:tcMar>
            <w:vAlign w:val="center"/>
          </w:tcPr>
          <w:p w14:paraId="67DA64C8">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85.79% (83.61%-88.17%)</w:t>
            </w:r>
          </w:p>
        </w:tc>
        <w:tc>
          <w:tcPr>
            <w:tcW w:w="1694" w:type="dxa"/>
            <w:tcMar>
              <w:top w:w="60" w:type="dxa"/>
              <w:left w:w="80" w:type="dxa"/>
              <w:bottom w:w="60" w:type="dxa"/>
              <w:right w:w="80" w:type="dxa"/>
            </w:tcMar>
            <w:vAlign w:val="center"/>
          </w:tcPr>
          <w:p w14:paraId="0FE8A363">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5"/>
              </w:rPr>
              <w:t>2,000</w:t>
            </w:r>
          </w:p>
        </w:tc>
      </w:tr>
      <w:tr w14:paraId="7480A2DB">
        <w:trPr>
          <w:cantSplit/>
          <w:jc w:val="center"/>
        </w:trPr>
        <w:tc>
          <w:tcPr>
            <w:tcW w:w="1694" w:type="dxa"/>
            <w:tcMar>
              <w:top w:w="60" w:type="dxa"/>
              <w:left w:w="80" w:type="dxa"/>
              <w:bottom w:w="60" w:type="dxa"/>
              <w:right w:w="80" w:type="dxa"/>
            </w:tcMar>
            <w:vAlign w:val="center"/>
          </w:tcPr>
          <w:p w14:paraId="65C42C74">
            <w:pPr>
              <w:spacing w:before="0" w:after="0"/>
              <w:rPr>
                <w:rFonts w:hint="default" w:ascii="Times New Roman Regular" w:hAnsi="Times New Roman Regular" w:cs="Times New Roman Regular"/>
              </w:rPr>
            </w:pPr>
            <w:r>
              <w:rPr>
                <w:rFonts w:hint="default" w:ascii="Times New Roman Regular" w:hAnsi="Times New Roman Regular" w:cs="Times New Roman Regular"/>
                <w:sz w:val="15"/>
              </w:rPr>
              <w:t>Full TRACE-CU</w:t>
            </w:r>
          </w:p>
        </w:tc>
        <w:tc>
          <w:tcPr>
            <w:tcW w:w="1694" w:type="dxa"/>
            <w:tcMar>
              <w:top w:w="60" w:type="dxa"/>
              <w:left w:w="80" w:type="dxa"/>
              <w:bottom w:w="60" w:type="dxa"/>
              <w:right w:w="80" w:type="dxa"/>
            </w:tcMar>
            <w:vAlign w:val="center"/>
          </w:tcPr>
          <w:p w14:paraId="58B594D4">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92.80% (89.61%-95.75%)</w:t>
            </w:r>
          </w:p>
        </w:tc>
        <w:tc>
          <w:tcPr>
            <w:tcW w:w="1694" w:type="dxa"/>
            <w:tcMar>
              <w:top w:w="60" w:type="dxa"/>
              <w:left w:w="80" w:type="dxa"/>
              <w:bottom w:w="60" w:type="dxa"/>
              <w:right w:w="80" w:type="dxa"/>
            </w:tcMar>
            <w:vAlign w:val="center"/>
          </w:tcPr>
          <w:p w14:paraId="1960D998">
            <w:pPr>
              <w:rPr>
                <w:rFonts w:hint="default" w:ascii="Times New Roman Regular" w:hAnsi="Times New Roman Regular" w:cs="Times New Roman Regular"/>
              </w:rPr>
            </w:pPr>
            <w:r>
              <w:rPr>
                <w:rFonts w:hint="default" w:ascii="Times New Roman Regular" w:hAnsi="Times New Roman Regular" w:cs="Times New Roman Regular"/>
              </w:rPr>
              <w:t xml:space="preserve">92.24% (86.67%-96.76%)</w:t>
            </w:r>
          </w:p>
        </w:tc>
        <w:tc>
          <w:tcPr>
            <w:tcW w:w="1694" w:type="dxa"/>
            <w:tcMar>
              <w:top w:w="60" w:type="dxa"/>
              <w:left w:w="80" w:type="dxa"/>
              <w:bottom w:w="60" w:type="dxa"/>
              <w:right w:w="80" w:type="dxa"/>
            </w:tcMar>
            <w:vAlign w:val="center"/>
          </w:tcPr>
          <w:p w14:paraId="5DD58B2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96.08% (95.41%-96.73%)</w:t>
            </w:r>
          </w:p>
        </w:tc>
        <w:tc>
          <w:tcPr>
            <w:tcW w:w="1694" w:type="dxa"/>
            <w:tcMar>
              <w:top w:w="60" w:type="dxa"/>
              <w:left w:w="80" w:type="dxa"/>
              <w:bottom w:w="60" w:type="dxa"/>
              <w:right w:w="80" w:type="dxa"/>
            </w:tcMar>
            <w:vAlign w:val="center"/>
          </w:tcPr>
          <w:p w14:paraId="15275F61">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93.54% (91.75%-95.37%)</w:t>
            </w:r>
          </w:p>
        </w:tc>
        <w:tc>
          <w:tcPr>
            <w:tcW w:w="1694" w:type="dxa"/>
            <w:tcMar>
              <w:top w:w="60" w:type="dxa"/>
              <w:left w:w="80" w:type="dxa"/>
              <w:bottom w:w="60" w:type="dxa"/>
              <w:right w:w="80" w:type="dxa"/>
            </w:tcMar>
            <w:vAlign w:val="center"/>
          </w:tcPr>
          <w:p w14:paraId="73496469">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5"/>
              </w:rPr>
              <w:t>2,000</w:t>
            </w:r>
          </w:p>
        </w:tc>
      </w:tr>
    </w:tbl>
    <w:p w14:paraId="5D99182F">
      <w:pPr>
        <w:spacing w:after="80"/>
        <w:rPr>
          <w:rFonts w:hint="default" w:ascii="Times New Roman Regular" w:hAnsi="Times New Roman Regular" w:cs="Times New Roman Regular"/>
        </w:rPr>
      </w:pPr>
      <w:r>
        <w:rPr>
          <w:rFonts w:hint="default" w:ascii="Times New Roman Regular" w:hAnsi="Times New Roman Regular" w:cs="Times New Roman Regular"/>
        </w:rPr>
        <w:t>Metric interpretation: Conditional Unit-Accuracy is conditional on one-to-one CU matching; Numerical/State Tolerance-Accuracy combines numerical values and explicit missing states; and Evidence-Supported Item Rate includes all evidence-eligible structured items, including those for which no evidence span was located.</w:t>
      </w:r>
    </w:p>
    <w:p w14:paraId="4BDC7F75">
      <w:pPr>
        <w:pStyle w:val="7"/>
        <w:keepNext/>
        <w:spacing w:after="80"/>
        <w:rPr>
          <w:rFonts w:hint="default" w:ascii="Times New Roman Regular" w:hAnsi="Times New Roman Regular" w:cs="Times New Roman Regular"/>
        </w:rPr>
      </w:pPr>
      <w:r>
        <w:rPr>
          <w:rFonts w:hint="default" w:ascii="Times New Roman Regular" w:hAnsi="Times New Roman Regular" w:cs="Times New Roman Regular"/>
        </w:rPr>
        <w:t xml:space="preserve">Table </w:t>
      </w:r>
      <w:r>
        <w:rPr>
          <w:rFonts w:hint="default" w:ascii="Times New Roman Regular" w:hAnsi="Times New Roman Regular" w:eastAsia="宋体" w:cs="Times New Roman Regular"/>
          <w:lang w:val="en-US" w:eastAsia="zh-CN"/>
        </w:rPr>
        <w:t>1</w:t>
      </w:r>
      <w:r>
        <w:rPr>
          <w:rFonts w:hint="eastAsia" w:ascii="Times New Roman Regular" w:hAnsi="Times New Roman Regular" w:eastAsia="宋体" w:cs="Times New Roman Regular"/>
          <w:lang w:val="en-US" w:eastAsia="zh-CN"/>
        </w:rPr>
        <w:t>2</w:t>
      </w:r>
      <w:r>
        <w:rPr>
          <w:rFonts w:hint="default" w:ascii="Times New Roman Regular" w:hAnsi="Times New Roman Regular" w:cs="Times New Roman Regular"/>
        </w:rPr>
        <w:t>. Paired method comparisons</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3"/>
        <w:gridCol w:w="2033"/>
        <w:gridCol w:w="2033"/>
        <w:gridCol w:w="2033"/>
        <w:gridCol w:w="2033"/>
        <w:gridCol w:w="936"/>
      </w:tblGrid>
      <w:tr w14:paraId="2CEB214F">
        <w:trPr>
          <w:cantSplit/>
          <w:tblHeader/>
          <w:jc w:val="center"/>
        </w:trPr>
        <w:tc>
          <w:tcPr>
            <w:tcW w:w="2033" w:type="dxa"/>
            <w:shd w:val="clear" w:color="auto" w:fill="D9EAF7"/>
            <w:tcMar>
              <w:top w:w="60" w:type="dxa"/>
              <w:left w:w="80" w:type="dxa"/>
              <w:bottom w:w="60" w:type="dxa"/>
              <w:right w:w="80" w:type="dxa"/>
            </w:tcMar>
            <w:vAlign w:val="center"/>
          </w:tcPr>
          <w:p w14:paraId="2BCC8B32">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Comparison</w:t>
            </w:r>
          </w:p>
        </w:tc>
        <w:tc>
          <w:tcPr>
            <w:tcW w:w="2033" w:type="dxa"/>
            <w:shd w:val="clear" w:color="auto" w:fill="D9EAF7"/>
            <w:tcMar>
              <w:top w:w="60" w:type="dxa"/>
              <w:left w:w="80" w:type="dxa"/>
              <w:bottom w:w="60" w:type="dxa"/>
              <w:right w:w="80" w:type="dxa"/>
            </w:tcMar>
            <w:vAlign w:val="center"/>
          </w:tcPr>
          <w:p w14:paraId="265732D3">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Metric</w:t>
            </w:r>
          </w:p>
        </w:tc>
        <w:tc>
          <w:tcPr>
            <w:tcW w:w="2033" w:type="dxa"/>
            <w:shd w:val="clear" w:color="auto" w:fill="D9EAF7"/>
            <w:tcMar>
              <w:top w:w="60" w:type="dxa"/>
              <w:left w:w="80" w:type="dxa"/>
              <w:bottom w:w="60" w:type="dxa"/>
              <w:right w:w="80" w:type="dxa"/>
            </w:tcMar>
            <w:vAlign w:val="center"/>
          </w:tcPr>
          <w:p w14:paraId="05FDCD21">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Paired difference</w:t>
            </w:r>
          </w:p>
        </w:tc>
        <w:tc>
          <w:tcPr>
            <w:tcW w:w="2033" w:type="dxa"/>
            <w:shd w:val="clear" w:color="auto" w:fill="D9EAF7"/>
            <w:tcMar>
              <w:top w:w="60" w:type="dxa"/>
              <w:left w:w="80" w:type="dxa"/>
              <w:bottom w:w="60" w:type="dxa"/>
              <w:right w:w="80" w:type="dxa"/>
            </w:tcMar>
            <w:vAlign w:val="center"/>
          </w:tcPr>
          <w:p w14:paraId="5C05ECC8">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95% CI</w:t>
            </w:r>
          </w:p>
        </w:tc>
        <w:tc>
          <w:tcPr>
            <w:tcW w:w="2033" w:type="dxa"/>
            <w:shd w:val="clear" w:color="auto" w:fill="D9EAF7"/>
            <w:tcMar>
              <w:top w:w="60" w:type="dxa"/>
              <w:left w:w="80" w:type="dxa"/>
              <w:bottom w:w="60" w:type="dxa"/>
              <w:right w:w="80" w:type="dxa"/>
            </w:tcMar>
            <w:vAlign w:val="center"/>
          </w:tcPr>
          <w:p w14:paraId="5A31EAD7">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sz w:val="16"/>
              </w:rPr>
              <w:t>Two-sided bootstrap P value</w:t>
            </w:r>
          </w:p>
        </w:tc>
        <w:tc>
          <w:tcPr>
            <w:tcW w:type="dxa" w:w="936"/>
          </w:tcPr>
          <w:p>
            <w:r>
              <w:t>Valid B</w:t>
            </w:r>
          </w:p>
        </w:tc>
      </w:tr>
      <w:tr w14:paraId="452B52A2">
        <w:trPr>
          <w:cantSplit/>
          <w:jc w:val="center"/>
        </w:trPr>
        <w:tc>
          <w:tcPr>
            <w:tcW w:w="2033" w:type="dxa"/>
            <w:tcMar>
              <w:top w:w="60" w:type="dxa"/>
              <w:left w:w="80" w:type="dxa"/>
              <w:bottom w:w="60" w:type="dxa"/>
              <w:right w:w="80" w:type="dxa"/>
            </w:tcMar>
            <w:vAlign w:val="center"/>
          </w:tcPr>
          <w:p w14:paraId="05167A1C">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DeepSeek-V3.2 (Non-thinking)</w:t>
            </w:r>
          </w:p>
        </w:tc>
        <w:tc>
          <w:tcPr>
            <w:tcW w:w="2033" w:type="dxa"/>
            <w:tcMar>
              <w:top w:w="60" w:type="dxa"/>
              <w:left w:w="80" w:type="dxa"/>
              <w:bottom w:w="60" w:type="dxa"/>
              <w:right w:w="80" w:type="dxa"/>
            </w:tcMar>
            <w:vAlign w:val="center"/>
          </w:tcPr>
          <w:p w14:paraId="710A64B5">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CU Detection F1</w:t>
            </w:r>
          </w:p>
        </w:tc>
        <w:tc>
          <w:tcPr>
            <w:tcW w:w="2033" w:type="dxa"/>
            <w:tcMar>
              <w:top w:w="60" w:type="dxa"/>
              <w:left w:w="80" w:type="dxa"/>
              <w:bottom w:w="60" w:type="dxa"/>
              <w:right w:w="80" w:type="dxa"/>
            </w:tcMar>
            <w:vAlign w:val="center"/>
          </w:tcPr>
          <w:p w14:paraId="03ED1E49">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+15.51 percentage points</w:t>
            </w:r>
          </w:p>
        </w:tc>
        <w:tc>
          <w:tcPr>
            <w:tcW w:w="2033" w:type="dxa"/>
            <w:tcMar>
              <w:top w:w="60" w:type="dxa"/>
              <w:left w:w="80" w:type="dxa"/>
              <w:bottom w:w="60" w:type="dxa"/>
              <w:right w:w="80" w:type="dxa"/>
            </w:tcMar>
            <w:vAlign w:val="center"/>
          </w:tcPr>
          <w:p w14:paraId="359C1B8F">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+12.44 to +18.67</w:t>
            </w:r>
          </w:p>
        </w:tc>
        <w:tc>
          <w:tcPr>
            <w:tcW w:w="2033" w:type="dxa"/>
            <w:tcMar>
              <w:top w:w="60" w:type="dxa"/>
              <w:left w:w="80" w:type="dxa"/>
              <w:bottom w:w="60" w:type="dxa"/>
              <w:right w:w="80" w:type="dxa"/>
            </w:tcMar>
            <w:vAlign w:val="center"/>
          </w:tcPr>
          <w:p w14:paraId="6AF7A74A">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4"/>
              </w:rPr>
              <w:t>&lt;.001</w:t>
            </w:r>
          </w:p>
        </w:tc>
        <w:tc>
          <w:tcPr>
            <w:tcW w:type="dxa" w:w="936"/>
          </w:tcPr>
          <w:p>
            <w:r>
              <w:t>2,000</w:t>
            </w:r>
          </w:p>
        </w:tc>
      </w:tr>
      <w:tr w14:paraId="59EC790B">
        <w:trPr>
          <w:cantSplit/>
          <w:jc w:val="center"/>
        </w:trPr>
        <w:tc>
          <w:tcPr>
            <w:tcW w:w="2033" w:type="dxa"/>
            <w:tcMar>
              <w:top w:w="60" w:type="dxa"/>
              <w:left w:w="80" w:type="dxa"/>
              <w:bottom w:w="60" w:type="dxa"/>
              <w:right w:w="80" w:type="dxa"/>
            </w:tcMar>
            <w:vAlign w:val="center"/>
          </w:tcPr>
          <w:p w14:paraId="2D858CA5">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DeepSeek-V3.2 (Non-thinking)</w:t>
            </w:r>
          </w:p>
        </w:tc>
        <w:tc>
          <w:tcPr>
            <w:tcW w:w="2033" w:type="dxa"/>
            <w:tcMar>
              <w:top w:w="60" w:type="dxa"/>
              <w:left w:w="80" w:type="dxa"/>
              <w:bottom w:w="60" w:type="dxa"/>
              <w:right w:w="80" w:type="dxa"/>
            </w:tcMar>
            <w:vAlign w:val="center"/>
          </w:tcPr>
          <w:p w14:paraId="1B2B951E">
            <w:pPr>
              <w:spacing w:after="0"/>
              <w:jc w:val="left"/>
              <w:rPr>
                <w:rFonts w:hint="default" w:ascii="Times New Roman Regular" w:hAnsi="Times New Roman Regular" w:cs="Times New Roman Regular"/>
              </w:rPr>
            </w:pPr>
            <w:r>
              <w:rPr>
                <w:rFonts w:hint="default" w:ascii="Times New Roman Regular" w:hAnsi="Times New Roman Regular" w:cs="Times New Roman Regular"/>
                <w:b w:val="0"/>
                <w:sz w:val="15"/>
              </w:rPr>
              <w:t>Conditional Unit-Accuracy</w:t>
            </w:r>
          </w:p>
        </w:tc>
        <w:tc>
          <w:tcPr>
            <w:tcW w:w="2033" w:type="dxa"/>
            <w:tcMar>
              <w:top w:w="60" w:type="dxa"/>
              <w:left w:w="80" w:type="dxa"/>
              <w:bottom w:w="60" w:type="dxa"/>
              <w:right w:w="80" w:type="dxa"/>
            </w:tcMar>
            <w:vAlign w:val="center"/>
          </w:tcPr>
          <w:p w14:paraId="776293AE">
            <w:pPr>
              <w:rPr>
                <w:rFonts w:hint="default" w:ascii="Times New Roman Regular" w:hAnsi="Times New Roman Regular" w:cs="Times New Roman Regular"/>
              </w:rPr>
            </w:pPr>
            <w:r>
              <w:rPr>
                <w:rFonts w:hint="default" w:ascii="Times New Roman Regular" w:hAnsi="Times New Roman Regular" w:cs="Times New Roman Regular"/>
              </w:rPr>
              <w:t xml:space="preserve">+16.47 percentage points</w:t>
            </w:r>
          </w:p>
        </w:tc>
        <w:tc>
          <w:tcPr>
            <w:tcW w:w="2033" w:type="dxa"/>
            <w:tcMar>
              <w:top w:w="60" w:type="dxa"/>
              <w:left w:w="80" w:type="dxa"/>
              <w:bottom w:w="60" w:type="dxa"/>
              <w:right w:w="80" w:type="dxa"/>
            </w:tcMar>
            <w:vAlign w:val="center"/>
          </w:tcPr>
          <w:p w14:paraId="1DF31E74">
            <w:pPr>
              <w:rPr>
                <w:rFonts w:hint="default" w:ascii="Times New Roman Regular" w:hAnsi="Times New Roman Regular" w:cs="Times New Roman Regular"/>
              </w:rPr>
            </w:pPr>
            <w:r>
              <w:rPr>
                <w:rFonts w:hint="default" w:ascii="Times New Roman Regular" w:hAnsi="Times New Roman Regular" w:cs="Times New Roman Regular"/>
              </w:rPr>
              <w:t xml:space="preserve">+9.85 to +21.94</w:t>
            </w:r>
          </w:p>
        </w:tc>
        <w:tc>
          <w:tcPr>
            <w:tcW w:w="2033" w:type="dxa"/>
            <w:tcMar>
              <w:top w:w="60" w:type="dxa"/>
              <w:left w:w="80" w:type="dxa"/>
              <w:bottom w:w="60" w:type="dxa"/>
              <w:right w:w="80" w:type="dxa"/>
            </w:tcMar>
            <w:vAlign w:val="center"/>
          </w:tcPr>
          <w:p w14:paraId="4DE500CC">
            <w:pPr>
              <w:rPr>
                <w:rFonts w:hint="default" w:ascii="Times New Roman Regular" w:hAnsi="Times New Roman Regular" w:cs="Times New Roman Regular"/>
              </w:rPr>
            </w:pPr>
            <w:r>
              <w:rPr>
                <w:rFonts w:hint="default" w:ascii="Times New Roman Regular" w:hAnsi="Times New Roman Regular" w:cs="Times New Roman Regular"/>
              </w:rPr>
              <w:t xml:space="preserve">&lt;.001</w:t>
            </w:r>
          </w:p>
        </w:tc>
        <w:tc>
          <w:tcPr>
            <w:tcW w:type="dxa" w:w="936"/>
          </w:tcPr>
          <w:p>
            <w:r>
              <w:t>2,000</w:t>
            </w:r>
          </w:p>
        </w:tc>
      </w:tr>
      <w:tr w14:paraId="63715726">
        <w:trPr>
          <w:cantSplit/>
          <w:jc w:val="center"/>
        </w:trPr>
        <w:tc>
          <w:tcPr>
            <w:tcW w:w="2033" w:type="dxa"/>
            <w:tcMar>
              <w:top w:w="60" w:type="dxa"/>
              <w:left w:w="80" w:type="dxa"/>
              <w:bottom w:w="60" w:type="dxa"/>
              <w:right w:w="80" w:type="dxa"/>
            </w:tcMar>
            <w:vAlign w:val="center"/>
          </w:tcPr>
          <w:p w14:paraId="5DBF0573">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DeepSeek-V3.2 (Non-thinking)</w:t>
            </w:r>
          </w:p>
        </w:tc>
        <w:tc>
          <w:tcPr>
            <w:tcW w:w="2033" w:type="dxa"/>
            <w:tcMar>
              <w:top w:w="60" w:type="dxa"/>
              <w:left w:w="80" w:type="dxa"/>
              <w:bottom w:w="60" w:type="dxa"/>
              <w:right w:w="80" w:type="dxa"/>
            </w:tcMar>
            <w:vAlign w:val="center"/>
          </w:tcPr>
          <w:p w14:paraId="00A5B48B">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Evidence-Supported Item Rate</w:t>
            </w:r>
          </w:p>
        </w:tc>
        <w:tc>
          <w:tcPr>
            <w:tcW w:w="2033" w:type="dxa"/>
            <w:tcMar>
              <w:top w:w="60" w:type="dxa"/>
              <w:left w:w="80" w:type="dxa"/>
              <w:bottom w:w="60" w:type="dxa"/>
              <w:right w:w="80" w:type="dxa"/>
            </w:tcMar>
            <w:vAlign w:val="center"/>
          </w:tcPr>
          <w:p w14:paraId="21F4BD97">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+24.81 percentage points</w:t>
            </w:r>
          </w:p>
        </w:tc>
        <w:tc>
          <w:tcPr>
            <w:tcW w:w="2033" w:type="dxa"/>
            <w:tcMar>
              <w:top w:w="60" w:type="dxa"/>
              <w:left w:w="80" w:type="dxa"/>
              <w:bottom w:w="60" w:type="dxa"/>
              <w:right w:w="80" w:type="dxa"/>
            </w:tcMar>
            <w:vAlign w:val="center"/>
          </w:tcPr>
          <w:p w14:paraId="734FB985">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+22.22 to +27.48</w:t>
            </w:r>
          </w:p>
        </w:tc>
        <w:tc>
          <w:tcPr>
            <w:tcW w:w="2033" w:type="dxa"/>
            <w:tcMar>
              <w:top w:w="60" w:type="dxa"/>
              <w:left w:w="80" w:type="dxa"/>
              <w:bottom w:w="60" w:type="dxa"/>
              <w:right w:w="80" w:type="dxa"/>
            </w:tcMar>
            <w:vAlign w:val="center"/>
          </w:tcPr>
          <w:p w14:paraId="49975270">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4"/>
              </w:rPr>
              <w:t>&lt;.001</w:t>
            </w:r>
          </w:p>
        </w:tc>
        <w:tc>
          <w:tcPr>
            <w:tcW w:type="dxa" w:w="936"/>
          </w:tcPr>
          <w:p>
            <w:r>
              <w:t>2,000</w:t>
            </w:r>
          </w:p>
        </w:tc>
      </w:tr>
      <w:tr w14:paraId="3311CCFE">
        <w:trPr>
          <w:cantSplit/>
          <w:jc w:val="center"/>
        </w:trPr>
        <w:tc>
          <w:tcPr>
            <w:tcW w:w="2033" w:type="dxa"/>
            <w:tcMar>
              <w:top w:w="60" w:type="dxa"/>
              <w:left w:w="80" w:type="dxa"/>
              <w:bottom w:w="60" w:type="dxa"/>
              <w:right w:w="80" w:type="dxa"/>
            </w:tcMar>
            <w:vAlign w:val="center"/>
          </w:tcPr>
          <w:p w14:paraId="036C660E">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DeepSeek-V3.2 (Non-thinking)</w:t>
            </w:r>
          </w:p>
        </w:tc>
        <w:tc>
          <w:tcPr>
            <w:tcW w:w="2033" w:type="dxa"/>
            <w:tcMar>
              <w:top w:w="60" w:type="dxa"/>
              <w:left w:w="80" w:type="dxa"/>
              <w:bottom w:w="60" w:type="dxa"/>
              <w:right w:w="80" w:type="dxa"/>
            </w:tcMar>
            <w:vAlign w:val="center"/>
          </w:tcPr>
          <w:p w14:paraId="4F138BCB">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Numerical/State Tolerance-Accuracy</w:t>
            </w:r>
          </w:p>
        </w:tc>
        <w:tc>
          <w:tcPr>
            <w:tcW w:w="2033" w:type="dxa"/>
            <w:tcMar>
              <w:top w:w="60" w:type="dxa"/>
              <w:left w:w="80" w:type="dxa"/>
              <w:bottom w:w="60" w:type="dxa"/>
              <w:right w:w="80" w:type="dxa"/>
            </w:tcMar>
            <w:vAlign w:val="center"/>
          </w:tcPr>
          <w:p w14:paraId="3EB9EFA1">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+6.64 percentage points</w:t>
            </w:r>
          </w:p>
        </w:tc>
        <w:tc>
          <w:tcPr>
            <w:tcW w:w="2033" w:type="dxa"/>
            <w:tcMar>
              <w:top w:w="60" w:type="dxa"/>
              <w:left w:w="80" w:type="dxa"/>
              <w:bottom w:w="60" w:type="dxa"/>
              <w:right w:w="80" w:type="dxa"/>
            </w:tcMar>
            <w:vAlign w:val="center"/>
          </w:tcPr>
          <w:p w14:paraId="15569F18">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+5.61 to +7.60</w:t>
            </w:r>
          </w:p>
        </w:tc>
        <w:tc>
          <w:tcPr>
            <w:tcW w:w="2033" w:type="dxa"/>
            <w:tcMar>
              <w:top w:w="60" w:type="dxa"/>
              <w:left w:w="80" w:type="dxa"/>
              <w:bottom w:w="60" w:type="dxa"/>
              <w:right w:w="80" w:type="dxa"/>
            </w:tcMar>
            <w:vAlign w:val="center"/>
          </w:tcPr>
          <w:p w14:paraId="13BCBE4F">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4"/>
              </w:rPr>
              <w:t>&lt;.001</w:t>
            </w:r>
          </w:p>
        </w:tc>
        <w:tc>
          <w:tcPr>
            <w:tcW w:type="dxa" w:w="936"/>
          </w:tcPr>
          <w:p>
            <w:r>
              <w:t>2,000</w:t>
            </w:r>
          </w:p>
        </w:tc>
      </w:tr>
      <w:tr w14:paraId="58911C27">
        <w:trPr>
          <w:cantSplit/>
          <w:jc w:val="center"/>
        </w:trPr>
        <w:tc>
          <w:tcPr>
            <w:tcW w:w="2033" w:type="dxa"/>
            <w:tcMar>
              <w:top w:w="60" w:type="dxa"/>
              <w:left w:w="80" w:type="dxa"/>
              <w:bottom w:w="60" w:type="dxa"/>
              <w:right w:w="80" w:type="dxa"/>
            </w:tcMar>
            <w:vAlign w:val="center"/>
          </w:tcPr>
          <w:p w14:paraId="398BB0D8">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DeepSeek-V3.2 (Thinking)</w:t>
            </w:r>
          </w:p>
        </w:tc>
        <w:tc>
          <w:tcPr>
            <w:tcW w:w="2033" w:type="dxa"/>
            <w:tcMar>
              <w:top w:w="60" w:type="dxa"/>
              <w:left w:w="80" w:type="dxa"/>
              <w:bottom w:w="60" w:type="dxa"/>
              <w:right w:w="80" w:type="dxa"/>
            </w:tcMar>
            <w:vAlign w:val="center"/>
          </w:tcPr>
          <w:p w14:paraId="2F84065F">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CU Detection F1</w:t>
            </w:r>
          </w:p>
        </w:tc>
        <w:tc>
          <w:tcPr>
            <w:tcW w:w="2033" w:type="dxa"/>
            <w:tcMar>
              <w:top w:w="60" w:type="dxa"/>
              <w:left w:w="80" w:type="dxa"/>
              <w:bottom w:w="60" w:type="dxa"/>
              <w:right w:w="80" w:type="dxa"/>
            </w:tcMar>
            <w:vAlign w:val="center"/>
          </w:tcPr>
          <w:p w14:paraId="6B1B63CC">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+10.71 percentage points</w:t>
            </w:r>
          </w:p>
        </w:tc>
        <w:tc>
          <w:tcPr>
            <w:tcW w:w="2033" w:type="dxa"/>
            <w:tcMar>
              <w:top w:w="60" w:type="dxa"/>
              <w:left w:w="80" w:type="dxa"/>
              <w:bottom w:w="60" w:type="dxa"/>
              <w:right w:w="80" w:type="dxa"/>
            </w:tcMar>
            <w:vAlign w:val="center"/>
          </w:tcPr>
          <w:p w14:paraId="697F43B9">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+6.71 to +14.59</w:t>
            </w:r>
          </w:p>
        </w:tc>
        <w:tc>
          <w:tcPr>
            <w:tcW w:w="2033" w:type="dxa"/>
            <w:tcMar>
              <w:top w:w="60" w:type="dxa"/>
              <w:left w:w="80" w:type="dxa"/>
              <w:bottom w:w="60" w:type="dxa"/>
              <w:right w:w="80" w:type="dxa"/>
            </w:tcMar>
            <w:vAlign w:val="center"/>
          </w:tcPr>
          <w:p w14:paraId="24E4242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4"/>
              </w:rPr>
              <w:t>&lt;.001</w:t>
            </w:r>
          </w:p>
        </w:tc>
        <w:tc>
          <w:tcPr>
            <w:tcW w:type="dxa" w:w="936"/>
          </w:tcPr>
          <w:p>
            <w:r>
              <w:t>2,000</w:t>
            </w:r>
          </w:p>
        </w:tc>
      </w:tr>
      <w:tr w14:paraId="6C9C3F8E">
        <w:trPr>
          <w:cantSplit/>
          <w:jc w:val="center"/>
        </w:trPr>
        <w:tc>
          <w:tcPr>
            <w:tcW w:w="2033" w:type="dxa"/>
            <w:tcMar>
              <w:top w:w="60" w:type="dxa"/>
              <w:left w:w="80" w:type="dxa"/>
              <w:bottom w:w="60" w:type="dxa"/>
              <w:right w:w="80" w:type="dxa"/>
            </w:tcMar>
            <w:vAlign w:val="center"/>
          </w:tcPr>
          <w:p w14:paraId="4A9B78B3">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DeepSeek-V3.2 (Thinking)</w:t>
            </w:r>
          </w:p>
        </w:tc>
        <w:tc>
          <w:tcPr>
            <w:tcW w:w="2033" w:type="dxa"/>
            <w:tcMar>
              <w:top w:w="60" w:type="dxa"/>
              <w:left w:w="80" w:type="dxa"/>
              <w:bottom w:w="60" w:type="dxa"/>
              <w:right w:w="80" w:type="dxa"/>
            </w:tcMar>
            <w:vAlign w:val="center"/>
          </w:tcPr>
          <w:p w14:paraId="68FC34B2">
            <w:pPr>
              <w:spacing w:after="0"/>
              <w:jc w:val="left"/>
              <w:rPr>
                <w:rFonts w:hint="default" w:ascii="Times New Roman Regular" w:hAnsi="Times New Roman Regular" w:cs="Times New Roman Regular"/>
              </w:rPr>
            </w:pPr>
            <w:r>
              <w:rPr>
                <w:rFonts w:hint="default" w:ascii="Times New Roman Regular" w:hAnsi="Times New Roman Regular" w:cs="Times New Roman Regular"/>
                <w:b w:val="0"/>
                <w:sz w:val="15"/>
              </w:rPr>
              <w:t>Conditional Unit-Accuracy</w:t>
            </w:r>
          </w:p>
        </w:tc>
        <w:tc>
          <w:tcPr>
            <w:tcW w:w="2033" w:type="dxa"/>
            <w:tcMar>
              <w:top w:w="60" w:type="dxa"/>
              <w:left w:w="80" w:type="dxa"/>
              <w:bottom w:w="60" w:type="dxa"/>
              <w:right w:w="80" w:type="dxa"/>
            </w:tcMar>
            <w:vAlign w:val="center"/>
          </w:tcPr>
          <w:p w14:paraId="355AFAEF">
            <w:pPr>
              <w:rPr>
                <w:rFonts w:hint="default" w:ascii="Times New Roman Regular" w:hAnsi="Times New Roman Regular" w:cs="Times New Roman Regular"/>
              </w:rPr>
            </w:pPr>
            <w:r>
              <w:rPr>
                <w:rFonts w:hint="default" w:ascii="Times New Roman Regular" w:hAnsi="Times New Roman Regular" w:cs="Times New Roman Regular"/>
              </w:rPr>
              <w:t xml:space="preserve">+11.36 percentage points</w:t>
            </w:r>
          </w:p>
        </w:tc>
        <w:tc>
          <w:tcPr>
            <w:tcW w:w="2033" w:type="dxa"/>
            <w:tcMar>
              <w:top w:w="60" w:type="dxa"/>
              <w:left w:w="80" w:type="dxa"/>
              <w:bottom w:w="60" w:type="dxa"/>
              <w:right w:w="80" w:type="dxa"/>
            </w:tcMar>
            <w:vAlign w:val="center"/>
          </w:tcPr>
          <w:p w14:paraId="3D8269CA">
            <w:pPr>
              <w:rPr>
                <w:rFonts w:hint="default" w:ascii="Times New Roman Regular" w:hAnsi="Times New Roman Regular" w:cs="Times New Roman Regular"/>
              </w:rPr>
            </w:pPr>
            <w:r>
              <w:rPr>
                <w:rFonts w:hint="default" w:ascii="Times New Roman Regular" w:hAnsi="Times New Roman Regular" w:cs="Times New Roman Regular"/>
              </w:rPr>
              <w:t xml:space="preserve">+4.13 to +17.82</w:t>
            </w:r>
          </w:p>
        </w:tc>
        <w:tc>
          <w:tcPr>
            <w:tcW w:w="2033" w:type="dxa"/>
            <w:tcMar>
              <w:top w:w="60" w:type="dxa"/>
              <w:left w:w="80" w:type="dxa"/>
              <w:bottom w:w="60" w:type="dxa"/>
              <w:right w:w="80" w:type="dxa"/>
            </w:tcMar>
            <w:vAlign w:val="center"/>
          </w:tcPr>
          <w:p w14:paraId="34E90125">
            <w:pPr>
              <w:rPr>
                <w:rFonts w:hint="default" w:ascii="Times New Roman Regular" w:hAnsi="Times New Roman Regular" w:cs="Times New Roman Regular"/>
              </w:rPr>
            </w:pPr>
            <w:r>
              <w:rPr>
                <w:rFonts w:hint="default" w:ascii="Times New Roman Regular" w:hAnsi="Times New Roman Regular" w:cs="Times New Roman Regular"/>
              </w:rPr>
              <w:t xml:space="preserve">.001</w:t>
            </w:r>
          </w:p>
        </w:tc>
        <w:tc>
          <w:tcPr>
            <w:tcW w:type="dxa" w:w="936"/>
          </w:tcPr>
          <w:p>
            <w:r>
              <w:t>2,000</w:t>
            </w:r>
          </w:p>
        </w:tc>
      </w:tr>
      <w:tr w14:paraId="0D0589C9">
        <w:trPr>
          <w:cantSplit/>
          <w:jc w:val="center"/>
        </w:trPr>
        <w:tc>
          <w:tcPr>
            <w:tcW w:w="2033" w:type="dxa"/>
            <w:tcMar>
              <w:top w:w="60" w:type="dxa"/>
              <w:left w:w="80" w:type="dxa"/>
              <w:bottom w:w="60" w:type="dxa"/>
              <w:right w:w="80" w:type="dxa"/>
            </w:tcMar>
            <w:vAlign w:val="center"/>
          </w:tcPr>
          <w:p w14:paraId="070EE7E6">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DeepSeek-V3.2 (Thinking)</w:t>
            </w:r>
          </w:p>
        </w:tc>
        <w:tc>
          <w:tcPr>
            <w:tcW w:w="2033" w:type="dxa"/>
            <w:tcMar>
              <w:top w:w="60" w:type="dxa"/>
              <w:left w:w="80" w:type="dxa"/>
              <w:bottom w:w="60" w:type="dxa"/>
              <w:right w:w="80" w:type="dxa"/>
            </w:tcMar>
            <w:vAlign w:val="center"/>
          </w:tcPr>
          <w:p w14:paraId="0C1308EC">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Evidence-Supported Item Rate</w:t>
            </w:r>
          </w:p>
        </w:tc>
        <w:tc>
          <w:tcPr>
            <w:tcW w:w="2033" w:type="dxa"/>
            <w:tcMar>
              <w:top w:w="60" w:type="dxa"/>
              <w:left w:w="80" w:type="dxa"/>
              <w:bottom w:w="60" w:type="dxa"/>
              <w:right w:w="80" w:type="dxa"/>
            </w:tcMar>
            <w:vAlign w:val="center"/>
          </w:tcPr>
          <w:p w14:paraId="3ABA9978">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+15.76 percentage points</w:t>
            </w:r>
          </w:p>
        </w:tc>
        <w:tc>
          <w:tcPr>
            <w:tcW w:w="2033" w:type="dxa"/>
            <w:tcMar>
              <w:top w:w="60" w:type="dxa"/>
              <w:left w:w="80" w:type="dxa"/>
              <w:bottom w:w="60" w:type="dxa"/>
              <w:right w:w="80" w:type="dxa"/>
            </w:tcMar>
            <w:vAlign w:val="center"/>
          </w:tcPr>
          <w:p w14:paraId="5A9AED68">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+12.98 to +18.45</w:t>
            </w:r>
          </w:p>
        </w:tc>
        <w:tc>
          <w:tcPr>
            <w:tcW w:w="2033" w:type="dxa"/>
            <w:tcMar>
              <w:top w:w="60" w:type="dxa"/>
              <w:left w:w="80" w:type="dxa"/>
              <w:bottom w:w="60" w:type="dxa"/>
              <w:right w:w="80" w:type="dxa"/>
            </w:tcMar>
            <w:vAlign w:val="center"/>
          </w:tcPr>
          <w:p w14:paraId="6E69B0C3">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4"/>
              </w:rPr>
              <w:t>&lt;.001</w:t>
            </w:r>
          </w:p>
        </w:tc>
        <w:tc>
          <w:tcPr>
            <w:tcW w:type="dxa" w:w="936"/>
          </w:tcPr>
          <w:p>
            <w:r>
              <w:t>2,000</w:t>
            </w:r>
          </w:p>
        </w:tc>
      </w:tr>
      <w:tr w14:paraId="0C4BB8E9">
        <w:trPr>
          <w:cantSplit/>
          <w:jc w:val="center"/>
        </w:trPr>
        <w:tc>
          <w:tcPr>
            <w:tcW w:w="2033" w:type="dxa"/>
            <w:tcMar>
              <w:top w:w="60" w:type="dxa"/>
              <w:left w:w="80" w:type="dxa"/>
              <w:bottom w:w="60" w:type="dxa"/>
              <w:right w:w="80" w:type="dxa"/>
            </w:tcMar>
            <w:vAlign w:val="center"/>
          </w:tcPr>
          <w:p w14:paraId="6B742170">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DeepSeek-V3.2 (Thinking)</w:t>
            </w:r>
          </w:p>
        </w:tc>
        <w:tc>
          <w:tcPr>
            <w:tcW w:w="2033" w:type="dxa"/>
            <w:tcMar>
              <w:top w:w="60" w:type="dxa"/>
              <w:left w:w="80" w:type="dxa"/>
              <w:bottom w:w="60" w:type="dxa"/>
              <w:right w:w="80" w:type="dxa"/>
            </w:tcMar>
            <w:vAlign w:val="center"/>
          </w:tcPr>
          <w:p w14:paraId="53C3518E">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Numerical/State Tolerance-Accuracy</w:t>
            </w:r>
          </w:p>
        </w:tc>
        <w:tc>
          <w:tcPr>
            <w:tcW w:w="2033" w:type="dxa"/>
            <w:tcMar>
              <w:top w:w="60" w:type="dxa"/>
              <w:left w:w="80" w:type="dxa"/>
              <w:bottom w:w="60" w:type="dxa"/>
              <w:right w:w="80" w:type="dxa"/>
            </w:tcMar>
            <w:vAlign w:val="center"/>
          </w:tcPr>
          <w:p w14:paraId="1FBB914D">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+4.40 percentage points</w:t>
            </w:r>
          </w:p>
        </w:tc>
        <w:tc>
          <w:tcPr>
            <w:tcW w:w="2033" w:type="dxa"/>
            <w:tcMar>
              <w:top w:w="60" w:type="dxa"/>
              <w:left w:w="80" w:type="dxa"/>
              <w:bottom w:w="60" w:type="dxa"/>
              <w:right w:w="80" w:type="dxa"/>
            </w:tcMar>
            <w:vAlign w:val="center"/>
          </w:tcPr>
          <w:p w14:paraId="5105239E">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+3.52 to +5.25</w:t>
            </w:r>
          </w:p>
        </w:tc>
        <w:tc>
          <w:tcPr>
            <w:tcW w:w="2033" w:type="dxa"/>
            <w:tcMar>
              <w:top w:w="60" w:type="dxa"/>
              <w:left w:w="80" w:type="dxa"/>
              <w:bottom w:w="60" w:type="dxa"/>
              <w:right w:w="80" w:type="dxa"/>
            </w:tcMar>
            <w:vAlign w:val="center"/>
          </w:tcPr>
          <w:p w14:paraId="0F1317E1">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4"/>
              </w:rPr>
              <w:t>&lt;.001</w:t>
            </w:r>
          </w:p>
        </w:tc>
        <w:tc>
          <w:tcPr>
            <w:tcW w:type="dxa" w:w="936"/>
          </w:tcPr>
          <w:p>
            <w:r>
              <w:t>2,000</w:t>
            </w:r>
          </w:p>
        </w:tc>
      </w:tr>
      <w:tr w14:paraId="5ED79E6B">
        <w:trPr>
          <w:cantSplit/>
          <w:jc w:val="center"/>
        </w:trPr>
        <w:tc>
          <w:tcPr>
            <w:tcW w:w="2033" w:type="dxa"/>
            <w:tcMar>
              <w:top w:w="60" w:type="dxa"/>
              <w:left w:w="80" w:type="dxa"/>
              <w:bottom w:w="60" w:type="dxa"/>
              <w:right w:w="80" w:type="dxa"/>
            </w:tcMar>
            <w:vAlign w:val="center"/>
          </w:tcPr>
          <w:p w14:paraId="5E045A32">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Qwen-Max-2025-01-25</w:t>
            </w:r>
          </w:p>
        </w:tc>
        <w:tc>
          <w:tcPr>
            <w:tcW w:w="2033" w:type="dxa"/>
            <w:tcMar>
              <w:top w:w="60" w:type="dxa"/>
              <w:left w:w="80" w:type="dxa"/>
              <w:bottom w:w="60" w:type="dxa"/>
              <w:right w:w="80" w:type="dxa"/>
            </w:tcMar>
            <w:vAlign w:val="center"/>
          </w:tcPr>
          <w:p w14:paraId="3917ABCC">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CU Detection F1</w:t>
            </w:r>
          </w:p>
        </w:tc>
        <w:tc>
          <w:tcPr>
            <w:tcW w:w="2033" w:type="dxa"/>
            <w:tcMar>
              <w:top w:w="60" w:type="dxa"/>
              <w:left w:w="80" w:type="dxa"/>
              <w:bottom w:w="60" w:type="dxa"/>
              <w:right w:w="80" w:type="dxa"/>
            </w:tcMar>
            <w:vAlign w:val="center"/>
          </w:tcPr>
          <w:p w14:paraId="32560FCA">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+2.41 percentage points</w:t>
            </w:r>
          </w:p>
        </w:tc>
        <w:tc>
          <w:tcPr>
            <w:tcW w:w="2033" w:type="dxa"/>
            <w:tcMar>
              <w:top w:w="60" w:type="dxa"/>
              <w:left w:w="80" w:type="dxa"/>
              <w:bottom w:w="60" w:type="dxa"/>
              <w:right w:w="80" w:type="dxa"/>
            </w:tcMar>
            <w:vAlign w:val="center"/>
          </w:tcPr>
          <w:p w14:paraId="4D819B5E">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−0.89 to +5.67</w:t>
            </w:r>
          </w:p>
        </w:tc>
        <w:tc>
          <w:tcPr>
            <w:tcW w:w="2033" w:type="dxa"/>
            <w:tcMar>
              <w:top w:w="60" w:type="dxa"/>
              <w:left w:w="80" w:type="dxa"/>
              <w:bottom w:w="60" w:type="dxa"/>
              <w:right w:w="80" w:type="dxa"/>
            </w:tcMar>
            <w:vAlign w:val="center"/>
          </w:tcPr>
          <w:p w14:paraId="5FE18991">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.171</w:t>
            </w:r>
          </w:p>
        </w:tc>
        <w:tc>
          <w:tcPr>
            <w:tcW w:type="dxa" w:w="936"/>
          </w:tcPr>
          <w:p>
            <w:r>
              <w:t>2,000</w:t>
            </w:r>
          </w:p>
        </w:tc>
      </w:tr>
      <w:tr w14:paraId="13265937">
        <w:trPr>
          <w:cantSplit/>
          <w:jc w:val="center"/>
        </w:trPr>
        <w:tc>
          <w:tcPr>
            <w:tcW w:w="2033" w:type="dxa"/>
            <w:tcMar>
              <w:top w:w="60" w:type="dxa"/>
              <w:left w:w="80" w:type="dxa"/>
              <w:bottom w:w="60" w:type="dxa"/>
              <w:right w:w="80" w:type="dxa"/>
            </w:tcMar>
            <w:vAlign w:val="center"/>
          </w:tcPr>
          <w:p w14:paraId="4DA01A00">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Qwen-Max-2025-01-25</w:t>
            </w:r>
          </w:p>
        </w:tc>
        <w:tc>
          <w:tcPr>
            <w:tcW w:w="2033" w:type="dxa"/>
            <w:tcMar>
              <w:top w:w="60" w:type="dxa"/>
              <w:left w:w="80" w:type="dxa"/>
              <w:bottom w:w="60" w:type="dxa"/>
              <w:right w:w="80" w:type="dxa"/>
            </w:tcMar>
            <w:vAlign w:val="center"/>
          </w:tcPr>
          <w:p w14:paraId="047C7C4F">
            <w:pPr>
              <w:spacing w:after="0"/>
              <w:jc w:val="left"/>
              <w:rPr>
                <w:rFonts w:hint="default" w:ascii="Times New Roman Regular" w:hAnsi="Times New Roman Regular" w:cs="Times New Roman Regular"/>
              </w:rPr>
            </w:pPr>
            <w:r>
              <w:rPr>
                <w:rFonts w:hint="default" w:ascii="Times New Roman Regular" w:hAnsi="Times New Roman Regular" w:cs="Times New Roman Regular"/>
                <w:b w:val="0"/>
                <w:sz w:val="15"/>
              </w:rPr>
              <w:t>Conditional Unit-Accuracy</w:t>
            </w:r>
          </w:p>
        </w:tc>
        <w:tc>
          <w:tcPr>
            <w:tcW w:w="2033" w:type="dxa"/>
            <w:tcMar>
              <w:top w:w="60" w:type="dxa"/>
              <w:left w:w="80" w:type="dxa"/>
              <w:bottom w:w="60" w:type="dxa"/>
              <w:right w:w="80" w:type="dxa"/>
            </w:tcMar>
            <w:vAlign w:val="center"/>
          </w:tcPr>
          <w:p w14:paraId="3CB8B917">
            <w:pPr>
              <w:rPr>
                <w:rFonts w:hint="default" w:ascii="Times New Roman Regular" w:hAnsi="Times New Roman Regular" w:cs="Times New Roman Regular"/>
              </w:rPr>
            </w:pPr>
            <w:r>
              <w:rPr>
                <w:rFonts w:hint="default" w:ascii="Times New Roman Regular" w:hAnsi="Times New Roman Regular" w:cs="Times New Roman Regular"/>
              </w:rPr>
              <w:t xml:space="preserve">+2.65 percentage points</w:t>
            </w:r>
          </w:p>
        </w:tc>
        <w:tc>
          <w:tcPr>
            <w:tcW w:w="2033" w:type="dxa"/>
            <w:tcMar>
              <w:top w:w="60" w:type="dxa"/>
              <w:left w:w="80" w:type="dxa"/>
              <w:bottom w:w="60" w:type="dxa"/>
              <w:right w:w="80" w:type="dxa"/>
            </w:tcMar>
            <w:vAlign w:val="center"/>
          </w:tcPr>
          <w:p w14:paraId="52812D68">
            <w:pPr>
              <w:rPr>
                <w:rFonts w:hint="default" w:ascii="Times New Roman Regular" w:hAnsi="Times New Roman Regular" w:cs="Times New Roman Regular"/>
              </w:rPr>
            </w:pPr>
            <w:r>
              <w:rPr>
                <w:rFonts w:hint="default" w:ascii="Times New Roman Regular" w:hAnsi="Times New Roman Regular" w:cs="Times New Roman Regular"/>
              </w:rPr>
              <w:t xml:space="preserve">−3.92 to +8.15</w:t>
            </w:r>
          </w:p>
        </w:tc>
        <w:tc>
          <w:tcPr>
            <w:tcW w:w="2033" w:type="dxa"/>
            <w:tcMar>
              <w:top w:w="60" w:type="dxa"/>
              <w:left w:w="80" w:type="dxa"/>
              <w:bottom w:w="60" w:type="dxa"/>
              <w:right w:w="80" w:type="dxa"/>
            </w:tcMar>
            <w:vAlign w:val="center"/>
          </w:tcPr>
          <w:p w14:paraId="45F87846">
            <w:pPr>
              <w:rPr>
                <w:rFonts w:hint="default" w:ascii="Times New Roman Regular" w:hAnsi="Times New Roman Regular" w:cs="Times New Roman Regular"/>
              </w:rPr>
            </w:pPr>
            <w:r>
              <w:rPr>
                <w:rFonts w:hint="default" w:ascii="Times New Roman Regular" w:hAnsi="Times New Roman Regular" w:cs="Times New Roman Regular"/>
              </w:rPr>
              <w:t xml:space="preserve">.424</w:t>
            </w:r>
          </w:p>
        </w:tc>
        <w:tc>
          <w:tcPr>
            <w:tcW w:type="dxa" w:w="936"/>
          </w:tcPr>
          <w:p>
            <w:r>
              <w:t>2,000</w:t>
            </w:r>
          </w:p>
        </w:tc>
      </w:tr>
      <w:tr w14:paraId="3AD677EF">
        <w:trPr>
          <w:cantSplit/>
          <w:jc w:val="center"/>
        </w:trPr>
        <w:tc>
          <w:tcPr>
            <w:tcW w:w="2033" w:type="dxa"/>
            <w:tcMar>
              <w:top w:w="60" w:type="dxa"/>
              <w:left w:w="80" w:type="dxa"/>
              <w:bottom w:w="60" w:type="dxa"/>
              <w:right w:w="80" w:type="dxa"/>
            </w:tcMar>
            <w:vAlign w:val="center"/>
          </w:tcPr>
          <w:p w14:paraId="29A8093F">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Qwen-Max-2025-01-25</w:t>
            </w:r>
          </w:p>
        </w:tc>
        <w:tc>
          <w:tcPr>
            <w:tcW w:w="2033" w:type="dxa"/>
            <w:tcMar>
              <w:top w:w="60" w:type="dxa"/>
              <w:left w:w="80" w:type="dxa"/>
              <w:bottom w:w="60" w:type="dxa"/>
              <w:right w:w="80" w:type="dxa"/>
            </w:tcMar>
            <w:vAlign w:val="center"/>
          </w:tcPr>
          <w:p w14:paraId="35339D5E">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Evidence-Supported Item Rate</w:t>
            </w:r>
          </w:p>
        </w:tc>
        <w:tc>
          <w:tcPr>
            <w:tcW w:w="2033" w:type="dxa"/>
            <w:tcMar>
              <w:top w:w="60" w:type="dxa"/>
              <w:left w:w="80" w:type="dxa"/>
              <w:bottom w:w="60" w:type="dxa"/>
              <w:right w:w="80" w:type="dxa"/>
            </w:tcMar>
            <w:vAlign w:val="center"/>
          </w:tcPr>
          <w:p w14:paraId="49AFF232">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+6.72 percentage points</w:t>
            </w:r>
          </w:p>
        </w:tc>
        <w:tc>
          <w:tcPr>
            <w:tcW w:w="2033" w:type="dxa"/>
            <w:tcMar>
              <w:top w:w="60" w:type="dxa"/>
              <w:left w:w="80" w:type="dxa"/>
              <w:bottom w:w="60" w:type="dxa"/>
              <w:right w:w="80" w:type="dxa"/>
            </w:tcMar>
            <w:vAlign w:val="center"/>
          </w:tcPr>
          <w:p w14:paraId="12CBE0F4">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+4.51 to +9.09</w:t>
            </w:r>
          </w:p>
        </w:tc>
        <w:tc>
          <w:tcPr>
            <w:tcW w:w="2033" w:type="dxa"/>
            <w:tcMar>
              <w:top w:w="60" w:type="dxa"/>
              <w:left w:w="80" w:type="dxa"/>
              <w:bottom w:w="60" w:type="dxa"/>
              <w:right w:w="80" w:type="dxa"/>
            </w:tcMar>
            <w:vAlign w:val="center"/>
          </w:tcPr>
          <w:p w14:paraId="0E56B778">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&lt;.001</w:t>
            </w:r>
          </w:p>
        </w:tc>
        <w:tc>
          <w:tcPr>
            <w:tcW w:type="dxa" w:w="936"/>
          </w:tcPr>
          <w:p>
            <w:r>
              <w:t>2,000</w:t>
            </w:r>
          </w:p>
        </w:tc>
      </w:tr>
      <w:tr w14:paraId="01FBD52D">
        <w:trPr>
          <w:cantSplit/>
          <w:jc w:val="center"/>
        </w:trPr>
        <w:tc>
          <w:tcPr>
            <w:tcW w:w="2033" w:type="dxa"/>
            <w:tcMar>
              <w:top w:w="60" w:type="dxa"/>
              <w:left w:w="80" w:type="dxa"/>
              <w:bottom w:w="60" w:type="dxa"/>
              <w:right w:w="80" w:type="dxa"/>
            </w:tcMar>
            <w:vAlign w:val="center"/>
          </w:tcPr>
          <w:p w14:paraId="0AB18515">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Qwen-Max-2025-01-25</w:t>
            </w:r>
          </w:p>
        </w:tc>
        <w:tc>
          <w:tcPr>
            <w:tcW w:w="2033" w:type="dxa"/>
            <w:tcMar>
              <w:top w:w="60" w:type="dxa"/>
              <w:left w:w="80" w:type="dxa"/>
              <w:bottom w:w="60" w:type="dxa"/>
              <w:right w:w="80" w:type="dxa"/>
            </w:tcMar>
            <w:vAlign w:val="center"/>
          </w:tcPr>
          <w:p w14:paraId="2CD18EF4">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Numerical/State Tolerance-Accuracy</w:t>
            </w:r>
          </w:p>
        </w:tc>
        <w:tc>
          <w:tcPr>
            <w:tcW w:w="2033" w:type="dxa"/>
            <w:tcMar>
              <w:top w:w="60" w:type="dxa"/>
              <w:left w:w="80" w:type="dxa"/>
              <w:bottom w:w="60" w:type="dxa"/>
              <w:right w:w="80" w:type="dxa"/>
            </w:tcMar>
            <w:vAlign w:val="center"/>
          </w:tcPr>
          <w:p w14:paraId="638E6534">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−0.56 percentage points</w:t>
            </w:r>
          </w:p>
        </w:tc>
        <w:tc>
          <w:tcPr>
            <w:tcW w:w="2033" w:type="dxa"/>
            <w:tcMar>
              <w:top w:w="60" w:type="dxa"/>
              <w:left w:w="80" w:type="dxa"/>
              <w:bottom w:w="60" w:type="dxa"/>
              <w:right w:w="80" w:type="dxa"/>
            </w:tcMar>
            <w:vAlign w:val="center"/>
          </w:tcPr>
          <w:p w14:paraId="407D27A0">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−1.20 to +0.00</w:t>
            </w:r>
          </w:p>
        </w:tc>
        <w:tc>
          <w:tcPr>
            <w:tcW w:w="2033" w:type="dxa"/>
            <w:tcMar>
              <w:top w:w="60" w:type="dxa"/>
              <w:left w:w="80" w:type="dxa"/>
              <w:bottom w:w="60" w:type="dxa"/>
              <w:right w:w="80" w:type="dxa"/>
            </w:tcMar>
            <w:vAlign w:val="center"/>
          </w:tcPr>
          <w:p w14:paraId="1500A5E3">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.098</w:t>
            </w:r>
          </w:p>
        </w:tc>
        <w:tc>
          <w:tcPr>
            <w:tcW w:type="dxa" w:w="936"/>
          </w:tcPr>
          <w:p>
            <w:r>
              <w:t>2,000</w:t>
            </w:r>
          </w:p>
        </w:tc>
      </w:tr>
      <w:tr w14:paraId="456C9F0D">
        <w:trPr>
          <w:cantSplit/>
          <w:jc w:val="center"/>
        </w:trPr>
        <w:tc>
          <w:tcPr>
            <w:tcW w:w="2033" w:type="dxa"/>
            <w:tcMar>
              <w:top w:w="60" w:type="dxa"/>
              <w:left w:w="80" w:type="dxa"/>
              <w:bottom w:w="60" w:type="dxa"/>
              <w:right w:w="80" w:type="dxa"/>
            </w:tcMar>
            <w:vAlign w:val="center"/>
          </w:tcPr>
          <w:p w14:paraId="457336CA">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GPT-5.5 Thinking-High</w:t>
            </w:r>
          </w:p>
        </w:tc>
        <w:tc>
          <w:tcPr>
            <w:tcW w:w="2033" w:type="dxa"/>
            <w:tcMar>
              <w:top w:w="60" w:type="dxa"/>
              <w:left w:w="80" w:type="dxa"/>
              <w:bottom w:w="60" w:type="dxa"/>
              <w:right w:w="80" w:type="dxa"/>
            </w:tcMar>
            <w:vAlign w:val="center"/>
          </w:tcPr>
          <w:p w14:paraId="35391BE6">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CU Detection F1</w:t>
            </w:r>
          </w:p>
        </w:tc>
        <w:tc>
          <w:tcPr>
            <w:tcW w:w="2033" w:type="dxa"/>
            <w:tcMar>
              <w:top w:w="60" w:type="dxa"/>
              <w:left w:w="80" w:type="dxa"/>
              <w:bottom w:w="60" w:type="dxa"/>
              <w:right w:w="80" w:type="dxa"/>
            </w:tcMar>
            <w:vAlign w:val="center"/>
          </w:tcPr>
          <w:p w14:paraId="61FBC122">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+1.20 percentage points</w:t>
            </w:r>
          </w:p>
        </w:tc>
        <w:tc>
          <w:tcPr>
            <w:tcW w:w="2033" w:type="dxa"/>
            <w:tcMar>
              <w:top w:w="60" w:type="dxa"/>
              <w:left w:w="80" w:type="dxa"/>
              <w:bottom w:w="60" w:type="dxa"/>
              <w:right w:w="80" w:type="dxa"/>
            </w:tcMar>
            <w:vAlign w:val="center"/>
          </w:tcPr>
          <w:p w14:paraId="2B4125A6">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−2.35 to +4.44</w:t>
            </w:r>
          </w:p>
        </w:tc>
        <w:tc>
          <w:tcPr>
            <w:tcW w:w="2033" w:type="dxa"/>
            <w:tcMar>
              <w:top w:w="60" w:type="dxa"/>
              <w:left w:w="80" w:type="dxa"/>
              <w:bottom w:w="60" w:type="dxa"/>
              <w:right w:w="80" w:type="dxa"/>
            </w:tcMar>
            <w:vAlign w:val="center"/>
          </w:tcPr>
          <w:p w14:paraId="71FEFA4E">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.484</w:t>
            </w:r>
          </w:p>
        </w:tc>
        <w:tc>
          <w:tcPr>
            <w:tcW w:type="dxa" w:w="936"/>
          </w:tcPr>
          <w:p>
            <w:r>
              <w:t>2,000</w:t>
            </w:r>
          </w:p>
        </w:tc>
      </w:tr>
      <w:tr w14:paraId="4F1DBA03">
        <w:trPr>
          <w:cantSplit/>
          <w:jc w:val="center"/>
        </w:trPr>
        <w:tc>
          <w:tcPr>
            <w:tcW w:w="2033" w:type="dxa"/>
            <w:tcMar>
              <w:top w:w="60" w:type="dxa"/>
              <w:left w:w="80" w:type="dxa"/>
              <w:bottom w:w="60" w:type="dxa"/>
              <w:right w:w="80" w:type="dxa"/>
            </w:tcMar>
            <w:vAlign w:val="center"/>
          </w:tcPr>
          <w:p w14:paraId="3D8274A5">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GPT-5.5 Thinking-High</w:t>
            </w:r>
          </w:p>
        </w:tc>
        <w:tc>
          <w:tcPr>
            <w:tcW w:w="2033" w:type="dxa"/>
            <w:tcMar>
              <w:top w:w="60" w:type="dxa"/>
              <w:left w:w="80" w:type="dxa"/>
              <w:bottom w:w="60" w:type="dxa"/>
              <w:right w:w="80" w:type="dxa"/>
            </w:tcMar>
            <w:vAlign w:val="center"/>
          </w:tcPr>
          <w:p w14:paraId="6A92727F">
            <w:pPr>
              <w:spacing w:after="0"/>
              <w:jc w:val="left"/>
              <w:rPr>
                <w:rFonts w:hint="default" w:ascii="Times New Roman Regular" w:hAnsi="Times New Roman Regular" w:cs="Times New Roman Regular"/>
              </w:rPr>
            </w:pPr>
            <w:r>
              <w:rPr>
                <w:rFonts w:hint="default" w:ascii="Times New Roman Regular" w:hAnsi="Times New Roman Regular" w:cs="Times New Roman Regular"/>
                <w:b w:val="0"/>
                <w:sz w:val="15"/>
              </w:rPr>
              <w:t>Conditional Unit-Accuracy</w:t>
            </w:r>
          </w:p>
        </w:tc>
        <w:tc>
          <w:tcPr>
            <w:tcW w:w="2033" w:type="dxa"/>
            <w:tcMar>
              <w:top w:w="60" w:type="dxa"/>
              <w:left w:w="80" w:type="dxa"/>
              <w:bottom w:w="60" w:type="dxa"/>
              <w:right w:w="80" w:type="dxa"/>
            </w:tcMar>
            <w:vAlign w:val="center"/>
          </w:tcPr>
          <w:p w14:paraId="1B0C7C8C">
            <w:pPr>
              <w:rPr>
                <w:rFonts w:hint="default" w:ascii="Times New Roman Regular" w:hAnsi="Times New Roman Regular" w:cs="Times New Roman Regular"/>
              </w:rPr>
            </w:pPr>
            <w:r>
              <w:rPr>
                <w:rFonts w:hint="default" w:ascii="Times New Roman Regular" w:hAnsi="Times New Roman Regular" w:cs="Times New Roman Regular"/>
              </w:rPr>
              <w:t xml:space="preserve">+1.41 percentage points</w:t>
            </w:r>
          </w:p>
        </w:tc>
        <w:tc>
          <w:tcPr>
            <w:tcW w:w="2033" w:type="dxa"/>
            <w:tcMar>
              <w:top w:w="60" w:type="dxa"/>
              <w:left w:w="80" w:type="dxa"/>
              <w:bottom w:w="60" w:type="dxa"/>
              <w:right w:w="80" w:type="dxa"/>
            </w:tcMar>
            <w:vAlign w:val="center"/>
          </w:tcPr>
          <w:p w14:paraId="4AC3CAFE">
            <w:pPr>
              <w:rPr>
                <w:rFonts w:hint="default" w:ascii="Times New Roman Regular" w:hAnsi="Times New Roman Regular" w:cs="Times New Roman Regular"/>
              </w:rPr>
            </w:pPr>
            <w:r>
              <w:rPr>
                <w:rFonts w:hint="default" w:ascii="Times New Roman Regular" w:hAnsi="Times New Roman Regular" w:cs="Times New Roman Regular"/>
              </w:rPr>
              <w:t xml:space="preserve">−4.93 to +6.52</w:t>
            </w:r>
          </w:p>
        </w:tc>
        <w:tc>
          <w:tcPr>
            <w:tcW w:w="2033" w:type="dxa"/>
            <w:tcMar>
              <w:top w:w="60" w:type="dxa"/>
              <w:left w:w="80" w:type="dxa"/>
              <w:bottom w:w="60" w:type="dxa"/>
              <w:right w:w="80" w:type="dxa"/>
            </w:tcMar>
            <w:vAlign w:val="center"/>
          </w:tcPr>
          <w:p w14:paraId="7637D509">
            <w:pPr>
              <w:rPr>
                <w:rFonts w:hint="default" w:ascii="Times New Roman Regular" w:hAnsi="Times New Roman Regular" w:cs="Times New Roman Regular"/>
              </w:rPr>
            </w:pPr>
            <w:r>
              <w:rPr>
                <w:rFonts w:hint="default" w:ascii="Times New Roman Regular" w:hAnsi="Times New Roman Regular" w:cs="Times New Roman Regular"/>
              </w:rPr>
              <w:t xml:space="preserve">.632</w:t>
            </w:r>
          </w:p>
        </w:tc>
        <w:tc>
          <w:tcPr>
            <w:tcW w:type="dxa" w:w="936"/>
          </w:tcPr>
          <w:p>
            <w:r>
              <w:t>2,000</w:t>
            </w:r>
          </w:p>
        </w:tc>
      </w:tr>
      <w:tr w14:paraId="73F9076D">
        <w:trPr>
          <w:cantSplit/>
          <w:jc w:val="center"/>
        </w:trPr>
        <w:tc>
          <w:tcPr>
            <w:tcW w:w="2033" w:type="dxa"/>
            <w:tcMar>
              <w:top w:w="60" w:type="dxa"/>
              <w:left w:w="80" w:type="dxa"/>
              <w:bottom w:w="60" w:type="dxa"/>
              <w:right w:w="80" w:type="dxa"/>
            </w:tcMar>
            <w:vAlign w:val="center"/>
          </w:tcPr>
          <w:p w14:paraId="467572FA">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GPT-5.5 Thinking-High</w:t>
            </w:r>
          </w:p>
        </w:tc>
        <w:tc>
          <w:tcPr>
            <w:tcW w:w="2033" w:type="dxa"/>
            <w:tcMar>
              <w:top w:w="60" w:type="dxa"/>
              <w:left w:w="80" w:type="dxa"/>
              <w:bottom w:w="60" w:type="dxa"/>
              <w:right w:w="80" w:type="dxa"/>
            </w:tcMar>
            <w:vAlign w:val="center"/>
          </w:tcPr>
          <w:p w14:paraId="10852FB8">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Evidence-Supported Item Rate</w:t>
            </w:r>
          </w:p>
        </w:tc>
        <w:tc>
          <w:tcPr>
            <w:tcW w:w="2033" w:type="dxa"/>
            <w:tcMar>
              <w:top w:w="60" w:type="dxa"/>
              <w:left w:w="80" w:type="dxa"/>
              <w:bottom w:w="60" w:type="dxa"/>
              <w:right w:w="80" w:type="dxa"/>
            </w:tcMar>
            <w:vAlign w:val="center"/>
          </w:tcPr>
          <w:p w14:paraId="1CD8C35F">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+3.62 percentage points</w:t>
            </w:r>
          </w:p>
        </w:tc>
        <w:tc>
          <w:tcPr>
            <w:tcW w:w="2033" w:type="dxa"/>
            <w:tcMar>
              <w:top w:w="60" w:type="dxa"/>
              <w:left w:w="80" w:type="dxa"/>
              <w:bottom w:w="60" w:type="dxa"/>
              <w:right w:w="80" w:type="dxa"/>
            </w:tcMar>
            <w:vAlign w:val="center"/>
          </w:tcPr>
          <w:p w14:paraId="0A7987C3">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+1.79 to +5.72</w:t>
            </w:r>
          </w:p>
        </w:tc>
        <w:tc>
          <w:tcPr>
            <w:tcW w:w="2033" w:type="dxa"/>
            <w:tcMar>
              <w:top w:w="60" w:type="dxa"/>
              <w:left w:w="80" w:type="dxa"/>
              <w:bottom w:w="60" w:type="dxa"/>
              <w:right w:w="80" w:type="dxa"/>
            </w:tcMar>
            <w:vAlign w:val="center"/>
          </w:tcPr>
          <w:p w14:paraId="253FBB3F">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.001</w:t>
            </w:r>
          </w:p>
        </w:tc>
        <w:tc>
          <w:tcPr>
            <w:tcW w:type="dxa" w:w="936"/>
          </w:tcPr>
          <w:p>
            <w:r>
              <w:t>2,000</w:t>
            </w:r>
          </w:p>
        </w:tc>
      </w:tr>
      <w:tr w14:paraId="2D0FDF59">
        <w:trPr>
          <w:cantSplit/>
          <w:jc w:val="center"/>
        </w:trPr>
        <w:tc>
          <w:tcPr>
            <w:tcW w:w="2033" w:type="dxa"/>
            <w:tcMar>
              <w:top w:w="60" w:type="dxa"/>
              <w:left w:w="80" w:type="dxa"/>
              <w:bottom w:w="60" w:type="dxa"/>
              <w:right w:w="80" w:type="dxa"/>
            </w:tcMar>
            <w:vAlign w:val="center"/>
          </w:tcPr>
          <w:p w14:paraId="12B36179">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GPT-5.5 Thinking-High</w:t>
            </w:r>
          </w:p>
        </w:tc>
        <w:tc>
          <w:tcPr>
            <w:tcW w:w="2033" w:type="dxa"/>
            <w:tcMar>
              <w:top w:w="60" w:type="dxa"/>
              <w:left w:w="80" w:type="dxa"/>
              <w:bottom w:w="60" w:type="dxa"/>
              <w:right w:w="80" w:type="dxa"/>
            </w:tcMar>
            <w:vAlign w:val="center"/>
          </w:tcPr>
          <w:p w14:paraId="5AD31DC7">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Numerical/State Tolerance-Accuracy</w:t>
            </w:r>
          </w:p>
        </w:tc>
        <w:tc>
          <w:tcPr>
            <w:tcW w:w="2033" w:type="dxa"/>
            <w:tcMar>
              <w:top w:w="60" w:type="dxa"/>
              <w:left w:w="80" w:type="dxa"/>
              <w:bottom w:w="60" w:type="dxa"/>
              <w:right w:w="80" w:type="dxa"/>
            </w:tcMar>
            <w:vAlign w:val="center"/>
          </w:tcPr>
          <w:p w14:paraId="18659658">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−0.32 percentage points</w:t>
            </w:r>
          </w:p>
        </w:tc>
        <w:tc>
          <w:tcPr>
            <w:tcW w:w="2033" w:type="dxa"/>
            <w:tcMar>
              <w:top w:w="60" w:type="dxa"/>
              <w:left w:w="80" w:type="dxa"/>
              <w:bottom w:w="60" w:type="dxa"/>
              <w:right w:w="80" w:type="dxa"/>
            </w:tcMar>
            <w:vAlign w:val="center"/>
          </w:tcPr>
          <w:p w14:paraId="7C146F47">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−1.05 to +0.31</w:t>
            </w:r>
          </w:p>
        </w:tc>
        <w:tc>
          <w:tcPr>
            <w:tcW w:w="2033" w:type="dxa"/>
            <w:tcMar>
              <w:top w:w="60" w:type="dxa"/>
              <w:left w:w="80" w:type="dxa"/>
              <w:bottom w:w="60" w:type="dxa"/>
              <w:right w:w="80" w:type="dxa"/>
            </w:tcMar>
            <w:vAlign w:val="center"/>
          </w:tcPr>
          <w:p w14:paraId="37FAC740">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.395</w:t>
            </w:r>
          </w:p>
        </w:tc>
        <w:tc>
          <w:tcPr>
            <w:tcW w:type="dxa" w:w="936"/>
          </w:tcPr>
          <w:p>
            <w:r>
              <w:t>2,000</w:t>
            </w:r>
          </w:p>
        </w:tc>
      </w:tr>
      <w:tr w14:paraId="2C506886">
        <w:trPr>
          <w:cantSplit/>
          <w:jc w:val="center"/>
        </w:trPr>
        <w:tc>
          <w:tcPr>
            <w:tcW w:w="2033" w:type="dxa"/>
            <w:tcMar>
              <w:top w:w="60" w:type="dxa"/>
              <w:left w:w="80" w:type="dxa"/>
              <w:bottom w:w="60" w:type="dxa"/>
              <w:right w:w="80" w:type="dxa"/>
            </w:tcMar>
            <w:vAlign w:val="center"/>
          </w:tcPr>
          <w:p w14:paraId="6768696F">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MedGemma 27B Text IT (Non-thinking)</w:t>
            </w:r>
          </w:p>
        </w:tc>
        <w:tc>
          <w:tcPr>
            <w:tcW w:w="2033" w:type="dxa"/>
            <w:tcMar>
              <w:top w:w="60" w:type="dxa"/>
              <w:left w:w="80" w:type="dxa"/>
              <w:bottom w:w="60" w:type="dxa"/>
              <w:right w:w="80" w:type="dxa"/>
            </w:tcMar>
            <w:vAlign w:val="center"/>
          </w:tcPr>
          <w:p w14:paraId="643C5946">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CU Detection F1</w:t>
            </w:r>
          </w:p>
        </w:tc>
        <w:tc>
          <w:tcPr>
            <w:tcW w:w="2033" w:type="dxa"/>
            <w:tcMar>
              <w:top w:w="60" w:type="dxa"/>
              <w:left w:w="80" w:type="dxa"/>
              <w:bottom w:w="60" w:type="dxa"/>
              <w:right w:w="80" w:type="dxa"/>
            </w:tcMar>
            <w:vAlign w:val="center"/>
          </w:tcPr>
          <w:p w14:paraId="49193154">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+4.05 percentage points</w:t>
            </w:r>
          </w:p>
        </w:tc>
        <w:tc>
          <w:tcPr>
            <w:tcW w:w="2033" w:type="dxa"/>
            <w:tcMar>
              <w:top w:w="60" w:type="dxa"/>
              <w:left w:w="80" w:type="dxa"/>
              <w:bottom w:w="60" w:type="dxa"/>
              <w:right w:w="80" w:type="dxa"/>
            </w:tcMar>
            <w:vAlign w:val="center"/>
          </w:tcPr>
          <w:p w14:paraId="07ECB446">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+0.48 to +7.48</w:t>
            </w:r>
          </w:p>
        </w:tc>
        <w:tc>
          <w:tcPr>
            <w:tcW w:w="2033" w:type="dxa"/>
            <w:tcMar>
              <w:top w:w="60" w:type="dxa"/>
              <w:left w:w="80" w:type="dxa"/>
              <w:bottom w:w="60" w:type="dxa"/>
              <w:right w:w="80" w:type="dxa"/>
            </w:tcMar>
            <w:vAlign w:val="center"/>
          </w:tcPr>
          <w:p w14:paraId="22BC24CC">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.023</w:t>
            </w:r>
          </w:p>
        </w:tc>
        <w:tc>
          <w:tcPr>
            <w:tcW w:type="dxa" w:w="936"/>
          </w:tcPr>
          <w:p>
            <w:r>
              <w:t>2,000</w:t>
            </w:r>
          </w:p>
        </w:tc>
      </w:tr>
      <w:tr w14:paraId="3689E7F7">
        <w:trPr>
          <w:cantSplit/>
          <w:jc w:val="center"/>
        </w:trPr>
        <w:tc>
          <w:tcPr>
            <w:tcW w:w="2033" w:type="dxa"/>
            <w:tcMar>
              <w:top w:w="60" w:type="dxa"/>
              <w:left w:w="80" w:type="dxa"/>
              <w:bottom w:w="60" w:type="dxa"/>
              <w:right w:w="80" w:type="dxa"/>
            </w:tcMar>
            <w:vAlign w:val="center"/>
          </w:tcPr>
          <w:p w14:paraId="7ADD96CC">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MedGemma 27B Text IT (Non-thinking)</w:t>
            </w:r>
          </w:p>
        </w:tc>
        <w:tc>
          <w:tcPr>
            <w:tcW w:w="2033" w:type="dxa"/>
            <w:tcMar>
              <w:top w:w="60" w:type="dxa"/>
              <w:left w:w="80" w:type="dxa"/>
              <w:bottom w:w="60" w:type="dxa"/>
              <w:right w:w="80" w:type="dxa"/>
            </w:tcMar>
            <w:vAlign w:val="center"/>
          </w:tcPr>
          <w:p w14:paraId="55978692">
            <w:pPr>
              <w:spacing w:after="0"/>
              <w:jc w:val="left"/>
              <w:rPr>
                <w:rFonts w:hint="default" w:ascii="Times New Roman Regular" w:hAnsi="Times New Roman Regular" w:cs="Times New Roman Regular"/>
              </w:rPr>
            </w:pPr>
            <w:r>
              <w:rPr>
                <w:rFonts w:hint="default" w:ascii="Times New Roman Regular" w:hAnsi="Times New Roman Regular" w:cs="Times New Roman Regular"/>
                <w:b w:val="0"/>
                <w:sz w:val="15"/>
              </w:rPr>
              <w:t>Conditional Unit-Accuracy</w:t>
            </w:r>
          </w:p>
        </w:tc>
        <w:tc>
          <w:tcPr>
            <w:tcW w:w="2033" w:type="dxa"/>
            <w:tcMar>
              <w:top w:w="60" w:type="dxa"/>
              <w:left w:w="80" w:type="dxa"/>
              <w:bottom w:w="60" w:type="dxa"/>
              <w:right w:w="80" w:type="dxa"/>
            </w:tcMar>
            <w:vAlign w:val="center"/>
          </w:tcPr>
          <w:p w14:paraId="6FBACBA1">
            <w:pPr>
              <w:rPr>
                <w:rFonts w:hint="default" w:ascii="Times New Roman Regular" w:hAnsi="Times New Roman Regular" w:cs="Times New Roman Regular"/>
              </w:rPr>
            </w:pPr>
            <w:r>
              <w:rPr>
                <w:rFonts w:hint="default" w:ascii="Times New Roman Regular" w:hAnsi="Times New Roman Regular" w:cs="Times New Roman Regular"/>
              </w:rPr>
              <w:t xml:space="preserve">+4.68 percentage points</w:t>
            </w:r>
          </w:p>
        </w:tc>
        <w:tc>
          <w:tcPr>
            <w:tcW w:w="2033" w:type="dxa"/>
            <w:tcMar>
              <w:top w:w="60" w:type="dxa"/>
              <w:left w:w="80" w:type="dxa"/>
              <w:bottom w:w="60" w:type="dxa"/>
              <w:right w:w="80" w:type="dxa"/>
            </w:tcMar>
            <w:vAlign w:val="center"/>
          </w:tcPr>
          <w:p w14:paraId="34FE0F5D">
            <w:pPr>
              <w:rPr>
                <w:rFonts w:hint="default" w:ascii="Times New Roman Regular" w:hAnsi="Times New Roman Regular" w:cs="Times New Roman Regular"/>
              </w:rPr>
            </w:pPr>
            <w:r>
              <w:rPr>
                <w:rFonts w:hint="default" w:ascii="Times New Roman Regular" w:hAnsi="Times New Roman Regular" w:cs="Times New Roman Regular"/>
              </w:rPr>
              <w:t xml:space="preserve">+2.24 to +7.52</w:t>
            </w:r>
          </w:p>
        </w:tc>
        <w:tc>
          <w:tcPr>
            <w:tcW w:w="2033" w:type="dxa"/>
            <w:tcMar>
              <w:top w:w="60" w:type="dxa"/>
              <w:left w:w="80" w:type="dxa"/>
              <w:bottom w:w="60" w:type="dxa"/>
              <w:right w:w="80" w:type="dxa"/>
            </w:tcMar>
            <w:vAlign w:val="center"/>
          </w:tcPr>
          <w:p w14:paraId="3967AE8E">
            <w:pPr>
              <w:rPr>
                <w:rFonts w:hint="default" w:ascii="Times New Roman Regular" w:hAnsi="Times New Roman Regular" w:cs="Times New Roman Regular"/>
              </w:rPr>
            </w:pPr>
            <w:r>
              <w:rPr>
                <w:rFonts w:hint="default" w:ascii="Times New Roman Regular" w:hAnsi="Times New Roman Regular" w:cs="Times New Roman Regular"/>
              </w:rPr>
              <w:t xml:space="preserve">&lt;.001</w:t>
            </w:r>
          </w:p>
        </w:tc>
        <w:tc>
          <w:tcPr>
            <w:tcW w:type="dxa" w:w="936"/>
          </w:tcPr>
          <w:p>
            <w:r>
              <w:t>2,000</w:t>
            </w:r>
          </w:p>
        </w:tc>
      </w:tr>
      <w:tr w14:paraId="53B0D801">
        <w:trPr>
          <w:cantSplit/>
          <w:jc w:val="center"/>
        </w:trPr>
        <w:tc>
          <w:tcPr>
            <w:tcW w:w="2033" w:type="dxa"/>
            <w:tcMar>
              <w:top w:w="60" w:type="dxa"/>
              <w:left w:w="80" w:type="dxa"/>
              <w:bottom w:w="60" w:type="dxa"/>
              <w:right w:w="80" w:type="dxa"/>
            </w:tcMar>
            <w:vAlign w:val="center"/>
          </w:tcPr>
          <w:p w14:paraId="5FAD4C67">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MedGemma 27B Text IT (Non-thinking)</w:t>
            </w:r>
          </w:p>
        </w:tc>
        <w:tc>
          <w:tcPr>
            <w:tcW w:w="2033" w:type="dxa"/>
            <w:tcMar>
              <w:top w:w="60" w:type="dxa"/>
              <w:left w:w="80" w:type="dxa"/>
              <w:bottom w:w="60" w:type="dxa"/>
              <w:right w:w="80" w:type="dxa"/>
            </w:tcMar>
            <w:vAlign w:val="center"/>
          </w:tcPr>
          <w:p w14:paraId="022BEBE6">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Evidence-Supported Item Rate</w:t>
            </w:r>
          </w:p>
        </w:tc>
        <w:tc>
          <w:tcPr>
            <w:tcW w:w="2033" w:type="dxa"/>
            <w:tcMar>
              <w:top w:w="60" w:type="dxa"/>
              <w:left w:w="80" w:type="dxa"/>
              <w:bottom w:w="60" w:type="dxa"/>
              <w:right w:w="80" w:type="dxa"/>
            </w:tcMar>
            <w:vAlign w:val="center"/>
          </w:tcPr>
          <w:p w14:paraId="7B34711B">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+9.82 percentage points</w:t>
            </w:r>
          </w:p>
        </w:tc>
        <w:tc>
          <w:tcPr>
            <w:tcW w:w="2033" w:type="dxa"/>
            <w:tcMar>
              <w:top w:w="60" w:type="dxa"/>
              <w:left w:w="80" w:type="dxa"/>
              <w:bottom w:w="60" w:type="dxa"/>
              <w:right w:w="80" w:type="dxa"/>
            </w:tcMar>
            <w:vAlign w:val="center"/>
          </w:tcPr>
          <w:p w14:paraId="23DFC889">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+7.02 to +12.84</w:t>
            </w:r>
          </w:p>
        </w:tc>
        <w:tc>
          <w:tcPr>
            <w:tcW w:w="2033" w:type="dxa"/>
            <w:tcMar>
              <w:top w:w="60" w:type="dxa"/>
              <w:left w:w="80" w:type="dxa"/>
              <w:bottom w:w="60" w:type="dxa"/>
              <w:right w:w="80" w:type="dxa"/>
            </w:tcMar>
            <w:vAlign w:val="center"/>
          </w:tcPr>
          <w:p w14:paraId="6ED45B2B">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&lt;.001</w:t>
            </w:r>
          </w:p>
        </w:tc>
        <w:tc>
          <w:tcPr>
            <w:tcW w:type="dxa" w:w="936"/>
          </w:tcPr>
          <w:p>
            <w:r>
              <w:t>2,000</w:t>
            </w:r>
          </w:p>
        </w:tc>
      </w:tr>
      <w:tr w14:paraId="408E093F">
        <w:trPr>
          <w:cantSplit/>
          <w:jc w:val="center"/>
        </w:trPr>
        <w:tc>
          <w:tcPr>
            <w:tcW w:w="2033" w:type="dxa"/>
            <w:tcMar>
              <w:top w:w="60" w:type="dxa"/>
              <w:left w:w="80" w:type="dxa"/>
              <w:bottom w:w="60" w:type="dxa"/>
              <w:right w:w="80" w:type="dxa"/>
            </w:tcMar>
            <w:vAlign w:val="center"/>
          </w:tcPr>
          <w:p w14:paraId="7AD3DB3F">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MedGemma 27B Text IT (Non-thinking)</w:t>
            </w:r>
          </w:p>
        </w:tc>
        <w:tc>
          <w:tcPr>
            <w:tcW w:w="2033" w:type="dxa"/>
            <w:tcMar>
              <w:top w:w="60" w:type="dxa"/>
              <w:left w:w="80" w:type="dxa"/>
              <w:bottom w:w="60" w:type="dxa"/>
              <w:right w:w="80" w:type="dxa"/>
            </w:tcMar>
            <w:vAlign w:val="center"/>
          </w:tcPr>
          <w:p w14:paraId="06C596FA">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Numerical/State Tolerance-Accuracy</w:t>
            </w:r>
          </w:p>
        </w:tc>
        <w:tc>
          <w:tcPr>
            <w:tcW w:w="2033" w:type="dxa"/>
            <w:tcMar>
              <w:top w:w="60" w:type="dxa"/>
              <w:left w:w="80" w:type="dxa"/>
              <w:bottom w:w="60" w:type="dxa"/>
              <w:right w:w="80" w:type="dxa"/>
            </w:tcMar>
            <w:vAlign w:val="center"/>
          </w:tcPr>
          <w:p w14:paraId="22B51D53">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+1.28 percentage points</w:t>
            </w:r>
          </w:p>
        </w:tc>
        <w:tc>
          <w:tcPr>
            <w:tcW w:w="2033" w:type="dxa"/>
            <w:tcMar>
              <w:top w:w="60" w:type="dxa"/>
              <w:left w:w="80" w:type="dxa"/>
              <w:bottom w:w="60" w:type="dxa"/>
              <w:right w:w="80" w:type="dxa"/>
            </w:tcMar>
            <w:vAlign w:val="center"/>
          </w:tcPr>
          <w:p w14:paraId="7523F7AE">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+0.73 to +1.88</w:t>
            </w:r>
          </w:p>
        </w:tc>
        <w:tc>
          <w:tcPr>
            <w:tcW w:w="2033" w:type="dxa"/>
            <w:tcMar>
              <w:top w:w="60" w:type="dxa"/>
              <w:left w:w="80" w:type="dxa"/>
              <w:bottom w:w="60" w:type="dxa"/>
              <w:right w:w="80" w:type="dxa"/>
            </w:tcMar>
            <w:vAlign w:val="center"/>
          </w:tcPr>
          <w:p w14:paraId="3B54FD03">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eastAsia="Times New Roman" w:cs="Times New Roman Regular"/>
                <w:b w:val="0"/>
                <w:sz w:val="14"/>
              </w:rPr>
              <w:t>&lt;.001</w:t>
            </w:r>
          </w:p>
        </w:tc>
        <w:tc>
          <w:tcPr>
            <w:tcW w:type="dxa" w:w="936"/>
          </w:tcPr>
          <w:p>
            <w:r>
              <w:t>2,000</w:t>
            </w:r>
          </w:p>
        </w:tc>
      </w:tr>
      <w:tr w14:paraId="68361D6C">
        <w:trPr>
          <w:cantSplit/>
          <w:jc w:val="center"/>
        </w:trPr>
        <w:tc>
          <w:tcPr>
            <w:tcW w:w="2033" w:type="dxa"/>
            <w:tcMar>
              <w:top w:w="60" w:type="dxa"/>
              <w:left w:w="80" w:type="dxa"/>
              <w:bottom w:w="60" w:type="dxa"/>
              <w:right w:w="80" w:type="dxa"/>
            </w:tcMar>
            <w:vAlign w:val="center"/>
          </w:tcPr>
          <w:p w14:paraId="1AF22344">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TRACE-CU w/o Topology-Aware Routing</w:t>
            </w:r>
          </w:p>
        </w:tc>
        <w:tc>
          <w:tcPr>
            <w:tcW w:w="2033" w:type="dxa"/>
            <w:tcMar>
              <w:top w:w="60" w:type="dxa"/>
              <w:left w:w="80" w:type="dxa"/>
              <w:bottom w:w="60" w:type="dxa"/>
              <w:right w:w="80" w:type="dxa"/>
            </w:tcMar>
            <w:vAlign w:val="center"/>
          </w:tcPr>
          <w:p w14:paraId="15CBB37E">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CU Detection F1</w:t>
            </w:r>
          </w:p>
        </w:tc>
        <w:tc>
          <w:tcPr>
            <w:tcW w:w="2033" w:type="dxa"/>
            <w:tcMar>
              <w:top w:w="60" w:type="dxa"/>
              <w:left w:w="80" w:type="dxa"/>
              <w:bottom w:w="60" w:type="dxa"/>
              <w:right w:w="80" w:type="dxa"/>
            </w:tcMar>
            <w:vAlign w:val="center"/>
          </w:tcPr>
          <w:p w14:paraId="756EB7C8">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+2.11 percentage points</w:t>
            </w:r>
          </w:p>
        </w:tc>
        <w:tc>
          <w:tcPr>
            <w:tcW w:w="2033" w:type="dxa"/>
            <w:tcMar>
              <w:top w:w="60" w:type="dxa"/>
              <w:left w:w="80" w:type="dxa"/>
              <w:bottom w:w="60" w:type="dxa"/>
              <w:right w:w="80" w:type="dxa"/>
            </w:tcMar>
            <w:vAlign w:val="center"/>
          </w:tcPr>
          <w:p w14:paraId="7BD968EC">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−1.33 to +5.44</w:t>
            </w:r>
          </w:p>
        </w:tc>
        <w:tc>
          <w:tcPr>
            <w:tcW w:w="2033" w:type="dxa"/>
            <w:tcMar>
              <w:top w:w="60" w:type="dxa"/>
              <w:left w:w="80" w:type="dxa"/>
              <w:bottom w:w="60" w:type="dxa"/>
              <w:right w:w="80" w:type="dxa"/>
            </w:tcMar>
            <w:vAlign w:val="center"/>
          </w:tcPr>
          <w:p w14:paraId="3420197C">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.227</w:t>
            </w:r>
          </w:p>
        </w:tc>
        <w:tc>
          <w:tcPr>
            <w:tcW w:type="dxa" w:w="936"/>
          </w:tcPr>
          <w:p>
            <w:r>
              <w:t>2,000</w:t>
            </w:r>
          </w:p>
        </w:tc>
      </w:tr>
      <w:tr w14:paraId="181E390C">
        <w:trPr>
          <w:cantSplit/>
          <w:jc w:val="center"/>
        </w:trPr>
        <w:tc>
          <w:tcPr>
            <w:tcW w:w="2033" w:type="dxa"/>
            <w:tcMar>
              <w:top w:w="60" w:type="dxa"/>
              <w:left w:w="80" w:type="dxa"/>
              <w:bottom w:w="60" w:type="dxa"/>
              <w:right w:w="80" w:type="dxa"/>
            </w:tcMar>
            <w:vAlign w:val="center"/>
          </w:tcPr>
          <w:p w14:paraId="1C5BB4F1">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TRACE-CU w/o Topology-Aware Routing</w:t>
            </w:r>
          </w:p>
        </w:tc>
        <w:tc>
          <w:tcPr>
            <w:tcW w:w="2033" w:type="dxa"/>
            <w:tcMar>
              <w:top w:w="60" w:type="dxa"/>
              <w:left w:w="80" w:type="dxa"/>
              <w:bottom w:w="60" w:type="dxa"/>
              <w:right w:w="80" w:type="dxa"/>
            </w:tcMar>
            <w:vAlign w:val="center"/>
          </w:tcPr>
          <w:p w14:paraId="6B83B88D">
            <w:pPr>
              <w:spacing w:after="0"/>
              <w:jc w:val="left"/>
              <w:rPr>
                <w:rFonts w:hint="default" w:ascii="Times New Roman Regular" w:hAnsi="Times New Roman Regular" w:cs="Times New Roman Regular"/>
              </w:rPr>
            </w:pPr>
            <w:r>
              <w:rPr>
                <w:rFonts w:hint="default" w:ascii="Times New Roman Regular" w:hAnsi="Times New Roman Regular" w:cs="Times New Roman Regular"/>
                <w:b w:val="0"/>
                <w:sz w:val="15"/>
              </w:rPr>
              <w:t>Conditional Unit-Accuracy</w:t>
            </w:r>
          </w:p>
        </w:tc>
        <w:tc>
          <w:tcPr>
            <w:tcW w:w="2033" w:type="dxa"/>
            <w:tcMar>
              <w:top w:w="60" w:type="dxa"/>
              <w:left w:w="80" w:type="dxa"/>
              <w:bottom w:w="60" w:type="dxa"/>
              <w:right w:w="80" w:type="dxa"/>
            </w:tcMar>
            <w:vAlign w:val="center"/>
          </w:tcPr>
          <w:p w14:paraId="34E933FC">
            <w:pPr>
              <w:rPr>
                <w:rFonts w:hint="default" w:ascii="Times New Roman Regular" w:hAnsi="Times New Roman Regular" w:cs="Times New Roman Regular"/>
              </w:rPr>
            </w:pPr>
            <w:r>
              <w:rPr>
                <w:rFonts w:hint="default" w:ascii="Times New Roman Regular" w:hAnsi="Times New Roman Regular" w:cs="Times New Roman Regular"/>
              </w:rPr>
              <w:t xml:space="preserve">+2.51 percentage points</w:t>
            </w:r>
          </w:p>
        </w:tc>
        <w:tc>
          <w:tcPr>
            <w:tcW w:w="2033" w:type="dxa"/>
            <w:tcMar>
              <w:top w:w="60" w:type="dxa"/>
              <w:left w:w="80" w:type="dxa"/>
              <w:bottom w:w="60" w:type="dxa"/>
              <w:right w:w="80" w:type="dxa"/>
            </w:tcMar>
            <w:vAlign w:val="center"/>
          </w:tcPr>
          <w:p w14:paraId="0FF464F3">
            <w:pPr>
              <w:rPr>
                <w:rFonts w:hint="default" w:ascii="Times New Roman Regular" w:hAnsi="Times New Roman Regular" w:cs="Times New Roman Regular"/>
              </w:rPr>
            </w:pPr>
            <w:r>
              <w:rPr>
                <w:rFonts w:hint="default" w:ascii="Times New Roman Regular" w:hAnsi="Times New Roman Regular" w:cs="Times New Roman Regular"/>
              </w:rPr>
              <w:t xml:space="preserve">−3.66 to +7.88</w:t>
            </w:r>
          </w:p>
        </w:tc>
        <w:tc>
          <w:tcPr>
            <w:tcW w:w="2033" w:type="dxa"/>
            <w:tcMar>
              <w:top w:w="60" w:type="dxa"/>
              <w:left w:w="80" w:type="dxa"/>
              <w:bottom w:w="60" w:type="dxa"/>
              <w:right w:w="80" w:type="dxa"/>
            </w:tcMar>
            <w:vAlign w:val="center"/>
          </w:tcPr>
          <w:p w14:paraId="02405BA0">
            <w:pPr>
              <w:rPr>
                <w:rFonts w:hint="default" w:ascii="Times New Roman Regular" w:hAnsi="Times New Roman Regular" w:cs="Times New Roman Regular"/>
              </w:rPr>
            </w:pPr>
            <w:r>
              <w:rPr>
                <w:rFonts w:hint="default" w:ascii="Times New Roman Regular" w:hAnsi="Times New Roman Regular" w:cs="Times New Roman Regular"/>
              </w:rPr>
              <w:t xml:space="preserve">.412</w:t>
            </w:r>
          </w:p>
        </w:tc>
        <w:tc>
          <w:tcPr>
            <w:tcW w:type="dxa" w:w="936"/>
          </w:tcPr>
          <w:p>
            <w:r>
              <w:t>2,000</w:t>
            </w:r>
          </w:p>
        </w:tc>
      </w:tr>
      <w:tr w14:paraId="2731E8D7">
        <w:trPr>
          <w:cantSplit/>
          <w:jc w:val="center"/>
        </w:trPr>
        <w:tc>
          <w:tcPr>
            <w:tcW w:w="2033" w:type="dxa"/>
            <w:tcMar>
              <w:top w:w="60" w:type="dxa"/>
              <w:left w:w="80" w:type="dxa"/>
              <w:bottom w:w="60" w:type="dxa"/>
              <w:right w:w="80" w:type="dxa"/>
            </w:tcMar>
            <w:vAlign w:val="center"/>
          </w:tcPr>
          <w:p w14:paraId="03434EA3">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TRACE-CU w/o Topology-Aware Routing</w:t>
            </w:r>
          </w:p>
        </w:tc>
        <w:tc>
          <w:tcPr>
            <w:tcW w:w="2033" w:type="dxa"/>
            <w:tcMar>
              <w:top w:w="60" w:type="dxa"/>
              <w:left w:w="80" w:type="dxa"/>
              <w:bottom w:w="60" w:type="dxa"/>
              <w:right w:w="80" w:type="dxa"/>
            </w:tcMar>
            <w:vAlign w:val="center"/>
          </w:tcPr>
          <w:p w14:paraId="294421BF">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Evidence-Supported Item Rate</w:t>
            </w:r>
          </w:p>
        </w:tc>
        <w:tc>
          <w:tcPr>
            <w:tcW w:w="2033" w:type="dxa"/>
            <w:tcMar>
              <w:top w:w="60" w:type="dxa"/>
              <w:left w:w="80" w:type="dxa"/>
              <w:bottom w:w="60" w:type="dxa"/>
              <w:right w:w="80" w:type="dxa"/>
            </w:tcMar>
            <w:vAlign w:val="center"/>
          </w:tcPr>
          <w:p w14:paraId="50C58F9D">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+1.81 percentage points</w:t>
            </w:r>
          </w:p>
        </w:tc>
        <w:tc>
          <w:tcPr>
            <w:tcW w:w="2033" w:type="dxa"/>
            <w:tcMar>
              <w:top w:w="60" w:type="dxa"/>
              <w:left w:w="80" w:type="dxa"/>
              <w:bottom w:w="60" w:type="dxa"/>
              <w:right w:w="80" w:type="dxa"/>
            </w:tcMar>
            <w:vAlign w:val="center"/>
          </w:tcPr>
          <w:p w14:paraId="2216FA27">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+0.00 to +3.89</w:t>
            </w:r>
          </w:p>
        </w:tc>
        <w:tc>
          <w:tcPr>
            <w:tcW w:w="2033" w:type="dxa"/>
            <w:tcMar>
              <w:top w:w="60" w:type="dxa"/>
              <w:left w:w="80" w:type="dxa"/>
              <w:bottom w:w="60" w:type="dxa"/>
              <w:right w:w="80" w:type="dxa"/>
            </w:tcMar>
            <w:vAlign w:val="center"/>
          </w:tcPr>
          <w:p w14:paraId="1CF3C21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.092</w:t>
            </w:r>
          </w:p>
        </w:tc>
        <w:tc>
          <w:tcPr>
            <w:tcW w:type="dxa" w:w="936"/>
          </w:tcPr>
          <w:p>
            <w:r>
              <w:t>2,000</w:t>
            </w:r>
          </w:p>
        </w:tc>
      </w:tr>
      <w:tr w14:paraId="538922C9">
        <w:trPr>
          <w:cantSplit/>
          <w:jc w:val="center"/>
        </w:trPr>
        <w:tc>
          <w:tcPr>
            <w:tcW w:w="2033" w:type="dxa"/>
            <w:tcMar>
              <w:top w:w="60" w:type="dxa"/>
              <w:left w:w="80" w:type="dxa"/>
              <w:bottom w:w="60" w:type="dxa"/>
              <w:right w:w="80" w:type="dxa"/>
            </w:tcMar>
            <w:vAlign w:val="center"/>
          </w:tcPr>
          <w:p w14:paraId="09121049">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TRACE-CU w/o Topology-Aware Routing</w:t>
            </w:r>
          </w:p>
        </w:tc>
        <w:tc>
          <w:tcPr>
            <w:tcW w:w="2033" w:type="dxa"/>
            <w:tcMar>
              <w:top w:w="60" w:type="dxa"/>
              <w:left w:w="80" w:type="dxa"/>
              <w:bottom w:w="60" w:type="dxa"/>
              <w:right w:w="80" w:type="dxa"/>
            </w:tcMar>
            <w:vAlign w:val="center"/>
          </w:tcPr>
          <w:p w14:paraId="16CD7779">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Numerical/State Tolerance-Accuracy</w:t>
            </w:r>
          </w:p>
        </w:tc>
        <w:tc>
          <w:tcPr>
            <w:tcW w:w="2033" w:type="dxa"/>
            <w:tcMar>
              <w:top w:w="60" w:type="dxa"/>
              <w:left w:w="80" w:type="dxa"/>
              <w:bottom w:w="60" w:type="dxa"/>
              <w:right w:w="80" w:type="dxa"/>
            </w:tcMar>
            <w:vAlign w:val="center"/>
          </w:tcPr>
          <w:p w14:paraId="049B0B65">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+0.48 percentage points</w:t>
            </w:r>
          </w:p>
        </w:tc>
        <w:tc>
          <w:tcPr>
            <w:tcW w:w="2033" w:type="dxa"/>
            <w:tcMar>
              <w:top w:w="60" w:type="dxa"/>
              <w:left w:w="80" w:type="dxa"/>
              <w:bottom w:w="60" w:type="dxa"/>
              <w:right w:w="80" w:type="dxa"/>
            </w:tcMar>
            <w:vAlign w:val="center"/>
          </w:tcPr>
          <w:p w14:paraId="64B5EB4D">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−0.09 to +1.05</w:t>
            </w:r>
          </w:p>
        </w:tc>
        <w:tc>
          <w:tcPr>
            <w:tcW w:w="2033" w:type="dxa"/>
            <w:tcMar>
              <w:top w:w="60" w:type="dxa"/>
              <w:left w:w="80" w:type="dxa"/>
              <w:bottom w:w="60" w:type="dxa"/>
              <w:right w:w="80" w:type="dxa"/>
            </w:tcMar>
            <w:vAlign w:val="center"/>
          </w:tcPr>
          <w:p w14:paraId="46CF97DE">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.140</w:t>
            </w:r>
          </w:p>
        </w:tc>
        <w:tc>
          <w:tcPr>
            <w:tcW w:type="dxa" w:w="936"/>
          </w:tcPr>
          <w:p>
            <w:r>
              <w:t>2,000</w:t>
            </w:r>
          </w:p>
        </w:tc>
      </w:tr>
      <w:tr w14:paraId="2E7E1688">
        <w:trPr>
          <w:cantSplit/>
          <w:jc w:val="center"/>
        </w:trPr>
        <w:tc>
          <w:tcPr>
            <w:tcW w:w="2033" w:type="dxa"/>
            <w:tcMar>
              <w:top w:w="60" w:type="dxa"/>
              <w:left w:w="80" w:type="dxa"/>
              <w:bottom w:w="60" w:type="dxa"/>
              <w:right w:w="80" w:type="dxa"/>
            </w:tcMar>
            <w:vAlign w:val="center"/>
          </w:tcPr>
          <w:p w14:paraId="3411DF4E">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TRACE-CU w/o Candidate-CU Assembly and Outcome Attribution</w:t>
            </w:r>
          </w:p>
        </w:tc>
        <w:tc>
          <w:tcPr>
            <w:tcW w:w="2033" w:type="dxa"/>
            <w:tcMar>
              <w:top w:w="60" w:type="dxa"/>
              <w:left w:w="80" w:type="dxa"/>
              <w:bottom w:w="60" w:type="dxa"/>
              <w:right w:w="80" w:type="dxa"/>
            </w:tcMar>
            <w:vAlign w:val="center"/>
          </w:tcPr>
          <w:p w14:paraId="076C54A1">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CU Detection F1</w:t>
            </w:r>
          </w:p>
        </w:tc>
        <w:tc>
          <w:tcPr>
            <w:tcW w:w="2033" w:type="dxa"/>
            <w:tcMar>
              <w:top w:w="60" w:type="dxa"/>
              <w:left w:w="80" w:type="dxa"/>
              <w:bottom w:w="60" w:type="dxa"/>
              <w:right w:w="80" w:type="dxa"/>
            </w:tcMar>
            <w:vAlign w:val="center"/>
          </w:tcPr>
          <w:p w14:paraId="305B2108">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+3.33 percentage points</w:t>
            </w:r>
          </w:p>
        </w:tc>
        <w:tc>
          <w:tcPr>
            <w:tcW w:w="2033" w:type="dxa"/>
            <w:tcMar>
              <w:top w:w="60" w:type="dxa"/>
              <w:left w:w="80" w:type="dxa"/>
              <w:bottom w:w="60" w:type="dxa"/>
              <w:right w:w="80" w:type="dxa"/>
            </w:tcMar>
            <w:vAlign w:val="center"/>
          </w:tcPr>
          <w:p w14:paraId="748EDF66">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−0.37 to +6.67</w:t>
            </w:r>
          </w:p>
        </w:tc>
        <w:tc>
          <w:tcPr>
            <w:tcW w:w="2033" w:type="dxa"/>
            <w:tcMar>
              <w:top w:w="60" w:type="dxa"/>
              <w:left w:w="80" w:type="dxa"/>
              <w:bottom w:w="60" w:type="dxa"/>
              <w:right w:w="80" w:type="dxa"/>
            </w:tcMar>
            <w:vAlign w:val="center"/>
          </w:tcPr>
          <w:p w14:paraId="1DD2FADF">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.073</w:t>
            </w:r>
          </w:p>
        </w:tc>
        <w:tc>
          <w:tcPr>
            <w:tcW w:type="dxa" w:w="936"/>
          </w:tcPr>
          <w:p>
            <w:r>
              <w:t>2,000</w:t>
            </w:r>
          </w:p>
        </w:tc>
      </w:tr>
      <w:tr w14:paraId="529EBAD7">
        <w:trPr>
          <w:cantSplit/>
          <w:jc w:val="center"/>
        </w:trPr>
        <w:tc>
          <w:tcPr>
            <w:tcW w:w="2033" w:type="dxa"/>
            <w:tcMar>
              <w:top w:w="60" w:type="dxa"/>
              <w:left w:w="80" w:type="dxa"/>
              <w:bottom w:w="60" w:type="dxa"/>
              <w:right w:w="80" w:type="dxa"/>
            </w:tcMar>
            <w:vAlign w:val="center"/>
          </w:tcPr>
          <w:p w14:paraId="3A6B917C">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TRACE-CU w/o Candidate-CU Assembly and Outcome Attribution</w:t>
            </w:r>
          </w:p>
        </w:tc>
        <w:tc>
          <w:tcPr>
            <w:tcW w:w="2033" w:type="dxa"/>
            <w:tcMar>
              <w:top w:w="60" w:type="dxa"/>
              <w:left w:w="80" w:type="dxa"/>
              <w:bottom w:w="60" w:type="dxa"/>
              <w:right w:w="80" w:type="dxa"/>
            </w:tcMar>
            <w:vAlign w:val="center"/>
          </w:tcPr>
          <w:p w14:paraId="174D6040">
            <w:pPr>
              <w:spacing w:after="0"/>
              <w:jc w:val="left"/>
              <w:rPr>
                <w:rFonts w:hint="default" w:ascii="Times New Roman Regular" w:hAnsi="Times New Roman Regular" w:cs="Times New Roman Regular"/>
              </w:rPr>
            </w:pPr>
            <w:r>
              <w:rPr>
                <w:rFonts w:hint="default" w:ascii="Times New Roman Regular" w:hAnsi="Times New Roman Regular" w:cs="Times New Roman Regular"/>
                <w:b w:val="0"/>
                <w:sz w:val="15"/>
              </w:rPr>
              <w:t>Conditional Unit-Accuracy</w:t>
            </w:r>
          </w:p>
        </w:tc>
        <w:tc>
          <w:tcPr>
            <w:tcW w:w="2033" w:type="dxa"/>
            <w:tcMar>
              <w:top w:w="60" w:type="dxa"/>
              <w:left w:w="80" w:type="dxa"/>
              <w:bottom w:w="60" w:type="dxa"/>
              <w:right w:w="80" w:type="dxa"/>
            </w:tcMar>
            <w:vAlign w:val="center"/>
          </w:tcPr>
          <w:p w14:paraId="071CE86D">
            <w:pPr>
              <w:rPr>
                <w:rFonts w:hint="default" w:ascii="Times New Roman Regular" w:hAnsi="Times New Roman Regular" w:cs="Times New Roman Regular"/>
              </w:rPr>
            </w:pPr>
            <w:r>
              <w:rPr>
                <w:rFonts w:hint="default" w:ascii="Times New Roman Regular" w:hAnsi="Times New Roman Regular" w:cs="Times New Roman Regular"/>
              </w:rPr>
              <w:t xml:space="preserve">+4.01 percentage points</w:t>
            </w:r>
          </w:p>
        </w:tc>
        <w:tc>
          <w:tcPr>
            <w:tcW w:w="2033" w:type="dxa"/>
            <w:tcMar>
              <w:top w:w="60" w:type="dxa"/>
              <w:left w:w="80" w:type="dxa"/>
              <w:bottom w:w="60" w:type="dxa"/>
              <w:right w:w="80" w:type="dxa"/>
            </w:tcMar>
            <w:vAlign w:val="center"/>
          </w:tcPr>
          <w:p w14:paraId="1E8AD93C">
            <w:pPr>
              <w:rPr>
                <w:rFonts w:hint="default" w:ascii="Times New Roman Regular" w:hAnsi="Times New Roman Regular" w:cs="Times New Roman Regular"/>
              </w:rPr>
            </w:pPr>
            <w:r>
              <w:rPr>
                <w:rFonts w:hint="default" w:ascii="Times New Roman Regular" w:hAnsi="Times New Roman Regular" w:cs="Times New Roman Regular"/>
              </w:rPr>
              <w:t xml:space="preserve">+1.72 to +6.63</w:t>
            </w:r>
          </w:p>
        </w:tc>
        <w:tc>
          <w:tcPr>
            <w:tcW w:w="2033" w:type="dxa"/>
            <w:tcMar>
              <w:top w:w="60" w:type="dxa"/>
              <w:left w:w="80" w:type="dxa"/>
              <w:bottom w:w="60" w:type="dxa"/>
              <w:right w:w="80" w:type="dxa"/>
            </w:tcMar>
            <w:vAlign w:val="center"/>
          </w:tcPr>
          <w:p w14:paraId="13D44D9C">
            <w:pPr>
              <w:rPr>
                <w:rFonts w:hint="default" w:ascii="Times New Roman Regular" w:hAnsi="Times New Roman Regular" w:cs="Times New Roman Regular"/>
              </w:rPr>
            </w:pPr>
            <w:r>
              <w:rPr>
                <w:rFonts w:hint="default" w:ascii="Times New Roman Regular" w:hAnsi="Times New Roman Regular" w:cs="Times New Roman Regular"/>
              </w:rPr>
              <w:t xml:space="preserve">&lt;.001</w:t>
            </w:r>
          </w:p>
        </w:tc>
        <w:tc>
          <w:tcPr>
            <w:tcW w:type="dxa" w:w="936"/>
          </w:tcPr>
          <w:p>
            <w:r>
              <w:t>2,000</w:t>
            </w:r>
          </w:p>
        </w:tc>
      </w:tr>
      <w:tr w14:paraId="013DD625">
        <w:trPr>
          <w:cantSplit/>
          <w:jc w:val="center"/>
        </w:trPr>
        <w:tc>
          <w:tcPr>
            <w:tcW w:w="2033" w:type="dxa"/>
            <w:tcMar>
              <w:top w:w="60" w:type="dxa"/>
              <w:left w:w="80" w:type="dxa"/>
              <w:bottom w:w="60" w:type="dxa"/>
              <w:right w:w="80" w:type="dxa"/>
            </w:tcMar>
            <w:vAlign w:val="center"/>
          </w:tcPr>
          <w:p w14:paraId="5167DAA2">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TRACE-CU w/o Candidate-CU Assembly and Outcome Attribution</w:t>
            </w:r>
          </w:p>
        </w:tc>
        <w:tc>
          <w:tcPr>
            <w:tcW w:w="2033" w:type="dxa"/>
            <w:tcMar>
              <w:top w:w="60" w:type="dxa"/>
              <w:left w:w="80" w:type="dxa"/>
              <w:bottom w:w="60" w:type="dxa"/>
              <w:right w:w="80" w:type="dxa"/>
            </w:tcMar>
            <w:vAlign w:val="center"/>
          </w:tcPr>
          <w:p w14:paraId="517DB79C">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Evidence-Supported Item Rate</w:t>
            </w:r>
          </w:p>
        </w:tc>
        <w:tc>
          <w:tcPr>
            <w:tcW w:w="2033" w:type="dxa"/>
            <w:tcMar>
              <w:top w:w="60" w:type="dxa"/>
              <w:left w:w="80" w:type="dxa"/>
              <w:bottom w:w="60" w:type="dxa"/>
              <w:right w:w="80" w:type="dxa"/>
            </w:tcMar>
            <w:vAlign w:val="center"/>
          </w:tcPr>
          <w:p w14:paraId="163F2749">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+2.33 percentage points</w:t>
            </w:r>
          </w:p>
        </w:tc>
        <w:tc>
          <w:tcPr>
            <w:tcW w:w="2033" w:type="dxa"/>
            <w:tcMar>
              <w:top w:w="60" w:type="dxa"/>
              <w:left w:w="80" w:type="dxa"/>
              <w:bottom w:w="60" w:type="dxa"/>
              <w:right w:w="80" w:type="dxa"/>
            </w:tcMar>
            <w:vAlign w:val="center"/>
          </w:tcPr>
          <w:p w14:paraId="7793A2B0">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+0.00 to +4.70</w:t>
            </w:r>
          </w:p>
        </w:tc>
        <w:tc>
          <w:tcPr>
            <w:tcW w:w="2033" w:type="dxa"/>
            <w:tcMar>
              <w:top w:w="60" w:type="dxa"/>
              <w:left w:w="80" w:type="dxa"/>
              <w:bottom w:w="60" w:type="dxa"/>
              <w:right w:w="80" w:type="dxa"/>
            </w:tcMar>
            <w:vAlign w:val="center"/>
          </w:tcPr>
          <w:p w14:paraId="41BD236D">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.067</w:t>
            </w:r>
          </w:p>
        </w:tc>
        <w:tc>
          <w:tcPr>
            <w:tcW w:type="dxa" w:w="936"/>
          </w:tcPr>
          <w:p>
            <w:r>
              <w:t>2,000</w:t>
            </w:r>
          </w:p>
        </w:tc>
      </w:tr>
      <w:tr w14:paraId="6A7109AC">
        <w:trPr>
          <w:cantSplit/>
          <w:jc w:val="center"/>
        </w:trPr>
        <w:tc>
          <w:tcPr>
            <w:tcW w:w="2033" w:type="dxa"/>
            <w:tcMar>
              <w:top w:w="60" w:type="dxa"/>
              <w:left w:w="80" w:type="dxa"/>
              <w:bottom w:w="60" w:type="dxa"/>
              <w:right w:w="80" w:type="dxa"/>
            </w:tcMar>
            <w:vAlign w:val="center"/>
          </w:tcPr>
          <w:p w14:paraId="357798A8">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TRACE-CU w/o Candidate-CU Assembly and Outcome Attribution</w:t>
            </w:r>
          </w:p>
        </w:tc>
        <w:tc>
          <w:tcPr>
            <w:tcW w:w="2033" w:type="dxa"/>
            <w:tcMar>
              <w:top w:w="60" w:type="dxa"/>
              <w:left w:w="80" w:type="dxa"/>
              <w:bottom w:w="60" w:type="dxa"/>
              <w:right w:w="80" w:type="dxa"/>
            </w:tcMar>
            <w:vAlign w:val="center"/>
          </w:tcPr>
          <w:p w14:paraId="7D29EB75">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Numerical/State Tolerance-Accuracy</w:t>
            </w:r>
          </w:p>
        </w:tc>
        <w:tc>
          <w:tcPr>
            <w:tcW w:w="2033" w:type="dxa"/>
            <w:tcMar>
              <w:top w:w="60" w:type="dxa"/>
              <w:left w:w="80" w:type="dxa"/>
              <w:bottom w:w="60" w:type="dxa"/>
              <w:right w:w="80" w:type="dxa"/>
            </w:tcMar>
            <w:vAlign w:val="center"/>
          </w:tcPr>
          <w:p w14:paraId="2043E5E4">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+0.72 percentage points</w:t>
            </w:r>
          </w:p>
        </w:tc>
        <w:tc>
          <w:tcPr>
            <w:tcW w:w="2033" w:type="dxa"/>
            <w:tcMar>
              <w:top w:w="60" w:type="dxa"/>
              <w:left w:w="80" w:type="dxa"/>
              <w:bottom w:w="60" w:type="dxa"/>
              <w:right w:w="80" w:type="dxa"/>
            </w:tcMar>
            <w:vAlign w:val="center"/>
          </w:tcPr>
          <w:p w14:paraId="7E3530C9">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+0.00 to +1.40</w:t>
            </w:r>
          </w:p>
        </w:tc>
        <w:tc>
          <w:tcPr>
            <w:tcW w:w="2033" w:type="dxa"/>
            <w:tcMar>
              <w:top w:w="60" w:type="dxa"/>
              <w:left w:w="80" w:type="dxa"/>
              <w:bottom w:w="60" w:type="dxa"/>
              <w:right w:w="80" w:type="dxa"/>
            </w:tcMar>
            <w:vAlign w:val="center"/>
          </w:tcPr>
          <w:p w14:paraId="491E9A66">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.051</w:t>
            </w:r>
          </w:p>
        </w:tc>
        <w:tc>
          <w:tcPr>
            <w:tcW w:type="dxa" w:w="936"/>
          </w:tcPr>
          <w:p>
            <w:r>
              <w:t>2,000</w:t>
            </w:r>
          </w:p>
        </w:tc>
      </w:tr>
      <w:tr w14:paraId="28440F14">
        <w:trPr>
          <w:cantSplit/>
          <w:jc w:val="center"/>
        </w:trPr>
        <w:tc>
          <w:tcPr>
            <w:tcW w:w="2033" w:type="dxa"/>
            <w:tcMar>
              <w:top w:w="60" w:type="dxa"/>
              <w:left w:w="80" w:type="dxa"/>
              <w:bottom w:w="60" w:type="dxa"/>
              <w:right w:w="80" w:type="dxa"/>
            </w:tcMar>
            <w:vAlign w:val="center"/>
          </w:tcPr>
          <w:p w14:paraId="15F4EEFD">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TRACE-CU w/o Rule-Based Validation</w:t>
            </w:r>
          </w:p>
        </w:tc>
        <w:tc>
          <w:tcPr>
            <w:tcW w:w="2033" w:type="dxa"/>
            <w:tcMar>
              <w:top w:w="60" w:type="dxa"/>
              <w:left w:w="80" w:type="dxa"/>
              <w:bottom w:w="60" w:type="dxa"/>
              <w:right w:w="80" w:type="dxa"/>
            </w:tcMar>
            <w:vAlign w:val="center"/>
          </w:tcPr>
          <w:p w14:paraId="4ED6F3DE">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CU Detection F1</w:t>
            </w:r>
          </w:p>
        </w:tc>
        <w:tc>
          <w:tcPr>
            <w:tcW w:w="2033" w:type="dxa"/>
            <w:tcMar>
              <w:top w:w="60" w:type="dxa"/>
              <w:left w:w="80" w:type="dxa"/>
              <w:bottom w:w="60" w:type="dxa"/>
              <w:right w:w="80" w:type="dxa"/>
            </w:tcMar>
            <w:vAlign w:val="center"/>
          </w:tcPr>
          <w:p w14:paraId="1583A8C3">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+2.04 percentage points</w:t>
            </w:r>
          </w:p>
        </w:tc>
        <w:tc>
          <w:tcPr>
            <w:tcW w:w="2033" w:type="dxa"/>
            <w:tcMar>
              <w:top w:w="60" w:type="dxa"/>
              <w:left w:w="80" w:type="dxa"/>
              <w:bottom w:w="60" w:type="dxa"/>
              <w:right w:w="80" w:type="dxa"/>
            </w:tcMar>
            <w:vAlign w:val="center"/>
          </w:tcPr>
          <w:p w14:paraId="4BF0AC63">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−1.71 to +5.71</w:t>
            </w:r>
          </w:p>
        </w:tc>
        <w:tc>
          <w:tcPr>
            <w:tcW w:w="2033" w:type="dxa"/>
            <w:tcMar>
              <w:top w:w="60" w:type="dxa"/>
              <w:left w:w="80" w:type="dxa"/>
              <w:bottom w:w="60" w:type="dxa"/>
              <w:right w:w="80" w:type="dxa"/>
            </w:tcMar>
            <w:vAlign w:val="center"/>
          </w:tcPr>
          <w:p w14:paraId="5A995178">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.290</w:t>
            </w:r>
          </w:p>
        </w:tc>
        <w:tc>
          <w:tcPr>
            <w:tcW w:type="dxa" w:w="936"/>
          </w:tcPr>
          <w:p>
            <w:r>
              <w:t>2,000</w:t>
            </w:r>
          </w:p>
        </w:tc>
      </w:tr>
      <w:tr w14:paraId="75C2832D">
        <w:trPr>
          <w:cantSplit/>
          <w:jc w:val="center"/>
        </w:trPr>
        <w:tc>
          <w:tcPr>
            <w:tcW w:w="2033" w:type="dxa"/>
            <w:tcMar>
              <w:top w:w="60" w:type="dxa"/>
              <w:left w:w="80" w:type="dxa"/>
              <w:bottom w:w="60" w:type="dxa"/>
              <w:right w:w="80" w:type="dxa"/>
            </w:tcMar>
            <w:vAlign w:val="center"/>
          </w:tcPr>
          <w:p w14:paraId="2A8F5E65">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TRACE-CU w/o Rule-Based Validation</w:t>
            </w:r>
          </w:p>
        </w:tc>
        <w:tc>
          <w:tcPr>
            <w:tcW w:w="2033" w:type="dxa"/>
            <w:tcMar>
              <w:top w:w="60" w:type="dxa"/>
              <w:left w:w="80" w:type="dxa"/>
              <w:bottom w:w="60" w:type="dxa"/>
              <w:right w:w="80" w:type="dxa"/>
            </w:tcMar>
            <w:vAlign w:val="center"/>
          </w:tcPr>
          <w:p w14:paraId="0DB81C9A">
            <w:pPr>
              <w:spacing w:after="0"/>
              <w:jc w:val="left"/>
              <w:rPr>
                <w:rFonts w:hint="default" w:ascii="Times New Roman Regular" w:hAnsi="Times New Roman Regular" w:cs="Times New Roman Regular"/>
              </w:rPr>
            </w:pPr>
            <w:r>
              <w:rPr>
                <w:rFonts w:hint="default" w:ascii="Times New Roman Regular" w:hAnsi="Times New Roman Regular" w:cs="Times New Roman Regular"/>
                <w:b w:val="0"/>
                <w:sz w:val="15"/>
              </w:rPr>
              <w:t>Conditional Unit-Accuracy</w:t>
            </w:r>
          </w:p>
        </w:tc>
        <w:tc>
          <w:tcPr>
            <w:tcW w:w="2033" w:type="dxa"/>
            <w:tcMar>
              <w:top w:w="60" w:type="dxa"/>
              <w:left w:w="80" w:type="dxa"/>
              <w:bottom w:w="60" w:type="dxa"/>
              <w:right w:w="80" w:type="dxa"/>
            </w:tcMar>
            <w:vAlign w:val="center"/>
          </w:tcPr>
          <w:p w14:paraId="6A865732">
            <w:pPr>
              <w:rPr>
                <w:rFonts w:hint="default" w:ascii="Times New Roman Regular" w:hAnsi="Times New Roman Regular" w:cs="Times New Roman Regular"/>
              </w:rPr>
            </w:pPr>
            <w:r>
              <w:rPr>
                <w:rFonts w:hint="default" w:ascii="Times New Roman Regular" w:hAnsi="Times New Roman Regular" w:cs="Times New Roman Regular"/>
              </w:rPr>
              <w:t xml:space="preserve">+2.42 percentage points</w:t>
            </w:r>
          </w:p>
        </w:tc>
        <w:tc>
          <w:tcPr>
            <w:tcW w:w="2033" w:type="dxa"/>
            <w:tcMar>
              <w:top w:w="60" w:type="dxa"/>
              <w:left w:w="80" w:type="dxa"/>
              <w:bottom w:w="60" w:type="dxa"/>
              <w:right w:w="80" w:type="dxa"/>
            </w:tcMar>
            <w:vAlign w:val="center"/>
          </w:tcPr>
          <w:p w14:paraId="52BB6DCD">
            <w:pPr>
              <w:rPr>
                <w:rFonts w:hint="default" w:ascii="Times New Roman Regular" w:hAnsi="Times New Roman Regular" w:cs="Times New Roman Regular"/>
              </w:rPr>
            </w:pPr>
            <w:r>
              <w:rPr>
                <w:rFonts w:hint="default" w:ascii="Times New Roman Regular" w:hAnsi="Times New Roman Regular" w:cs="Times New Roman Regular"/>
              </w:rPr>
              <w:t xml:space="preserve">−4.19 to +8.00</w:t>
            </w:r>
          </w:p>
        </w:tc>
        <w:tc>
          <w:tcPr>
            <w:tcW w:w="2033" w:type="dxa"/>
            <w:tcMar>
              <w:top w:w="60" w:type="dxa"/>
              <w:left w:w="80" w:type="dxa"/>
              <w:bottom w:w="60" w:type="dxa"/>
              <w:right w:w="80" w:type="dxa"/>
            </w:tcMar>
            <w:vAlign w:val="center"/>
          </w:tcPr>
          <w:p w14:paraId="2152588D">
            <w:pPr>
              <w:rPr>
                <w:rFonts w:hint="default" w:ascii="Times New Roman Regular" w:hAnsi="Times New Roman Regular" w:cs="Times New Roman Regular"/>
              </w:rPr>
            </w:pPr>
            <w:r>
              <w:rPr>
                <w:rFonts w:hint="default" w:ascii="Times New Roman Regular" w:hAnsi="Times New Roman Regular" w:cs="Times New Roman Regular"/>
              </w:rPr>
              <w:t xml:space="preserve">.472</w:t>
            </w:r>
          </w:p>
        </w:tc>
        <w:tc>
          <w:tcPr>
            <w:tcW w:type="dxa" w:w="936"/>
          </w:tcPr>
          <w:p>
            <w:r>
              <w:t>2,000</w:t>
            </w:r>
          </w:p>
        </w:tc>
      </w:tr>
      <w:tr w14:paraId="27D9AA96">
        <w:trPr>
          <w:cantSplit/>
          <w:jc w:val="center"/>
        </w:trPr>
        <w:tc>
          <w:tcPr>
            <w:tcW w:w="2033" w:type="dxa"/>
            <w:tcMar>
              <w:top w:w="60" w:type="dxa"/>
              <w:left w:w="80" w:type="dxa"/>
              <w:bottom w:w="60" w:type="dxa"/>
              <w:right w:w="80" w:type="dxa"/>
            </w:tcMar>
            <w:vAlign w:val="center"/>
          </w:tcPr>
          <w:p w14:paraId="66E6706A">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TRACE-CU w/o Rule-Based Validation</w:t>
            </w:r>
          </w:p>
        </w:tc>
        <w:tc>
          <w:tcPr>
            <w:tcW w:w="2033" w:type="dxa"/>
            <w:tcMar>
              <w:top w:w="60" w:type="dxa"/>
              <w:left w:w="80" w:type="dxa"/>
              <w:bottom w:w="60" w:type="dxa"/>
              <w:right w:w="80" w:type="dxa"/>
            </w:tcMar>
            <w:vAlign w:val="center"/>
          </w:tcPr>
          <w:p w14:paraId="3A4C2BDB">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Evidence-Supported Item Rate</w:t>
            </w:r>
          </w:p>
        </w:tc>
        <w:tc>
          <w:tcPr>
            <w:tcW w:w="2033" w:type="dxa"/>
            <w:tcMar>
              <w:top w:w="60" w:type="dxa"/>
              <w:left w:w="80" w:type="dxa"/>
              <w:bottom w:w="60" w:type="dxa"/>
              <w:right w:w="80" w:type="dxa"/>
            </w:tcMar>
            <w:vAlign w:val="center"/>
          </w:tcPr>
          <w:p w14:paraId="722F3F4D">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+7.75 percentage points</w:t>
            </w:r>
          </w:p>
        </w:tc>
        <w:tc>
          <w:tcPr>
            <w:tcW w:w="2033" w:type="dxa"/>
            <w:tcMar>
              <w:top w:w="60" w:type="dxa"/>
              <w:left w:w="80" w:type="dxa"/>
              <w:bottom w:w="60" w:type="dxa"/>
              <w:right w:w="80" w:type="dxa"/>
            </w:tcMar>
            <w:vAlign w:val="center"/>
          </w:tcPr>
          <w:p w14:paraId="020B0049">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+5.17 to +10.34</w:t>
            </w:r>
          </w:p>
        </w:tc>
        <w:tc>
          <w:tcPr>
            <w:tcW w:w="2033" w:type="dxa"/>
            <w:tcMar>
              <w:top w:w="60" w:type="dxa"/>
              <w:left w:w="80" w:type="dxa"/>
              <w:bottom w:w="60" w:type="dxa"/>
              <w:right w:w="80" w:type="dxa"/>
            </w:tcMar>
            <w:vAlign w:val="center"/>
          </w:tcPr>
          <w:p w14:paraId="1DEF0DF4">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&lt;.001</w:t>
            </w:r>
          </w:p>
        </w:tc>
        <w:tc>
          <w:tcPr>
            <w:tcW w:type="dxa" w:w="936"/>
          </w:tcPr>
          <w:p>
            <w:r>
              <w:t>2,000</w:t>
            </w:r>
          </w:p>
        </w:tc>
      </w:tr>
      <w:tr w14:paraId="38BE4249">
        <w:trPr>
          <w:cantSplit/>
          <w:jc w:val="center"/>
        </w:trPr>
        <w:tc>
          <w:tcPr>
            <w:tcW w:w="2033" w:type="dxa"/>
            <w:tcMar>
              <w:top w:w="60" w:type="dxa"/>
              <w:left w:w="80" w:type="dxa"/>
              <w:bottom w:w="60" w:type="dxa"/>
              <w:right w:w="80" w:type="dxa"/>
            </w:tcMar>
            <w:vAlign w:val="center"/>
          </w:tcPr>
          <w:p w14:paraId="320847C4">
            <w:pPr>
              <w:spacing w:after="0"/>
              <w:rPr>
                <w:rFonts w:hint="default" w:ascii="Times New Roman Regular" w:hAnsi="Times New Roman Regular" w:cs="Times New Roman Regular"/>
              </w:rPr>
            </w:pPr>
            <w:r>
              <w:rPr>
                <w:rFonts w:hint="default" w:ascii="Times New Roman Regular" w:hAnsi="Times New Roman Regular" w:cs="Times New Roman Regular"/>
                <w:sz w:val="16"/>
              </w:rPr>
              <w:t>Full TRACE-CU vs TRACE-CU w/o Rule-Based Validation</w:t>
            </w:r>
          </w:p>
        </w:tc>
        <w:tc>
          <w:tcPr>
            <w:tcW w:w="2033" w:type="dxa"/>
            <w:tcMar>
              <w:top w:w="60" w:type="dxa"/>
              <w:left w:w="80" w:type="dxa"/>
              <w:bottom w:w="60" w:type="dxa"/>
              <w:right w:w="80" w:type="dxa"/>
            </w:tcMar>
            <w:vAlign w:val="center"/>
          </w:tcPr>
          <w:p w14:paraId="2AFD77B6">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Numerical/State Tolerance-Accuracy</w:t>
            </w:r>
          </w:p>
        </w:tc>
        <w:tc>
          <w:tcPr>
            <w:tcW w:w="2033" w:type="dxa"/>
            <w:tcMar>
              <w:top w:w="60" w:type="dxa"/>
              <w:left w:w="80" w:type="dxa"/>
              <w:bottom w:w="60" w:type="dxa"/>
              <w:right w:w="80" w:type="dxa"/>
            </w:tcMar>
            <w:vAlign w:val="center"/>
          </w:tcPr>
          <w:p w14:paraId="77943C70">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+1.20 percentage points</w:t>
            </w:r>
          </w:p>
        </w:tc>
        <w:tc>
          <w:tcPr>
            <w:tcW w:w="2033" w:type="dxa"/>
            <w:tcMar>
              <w:top w:w="60" w:type="dxa"/>
              <w:left w:w="80" w:type="dxa"/>
              <w:bottom w:w="60" w:type="dxa"/>
              <w:right w:w="80" w:type="dxa"/>
            </w:tcMar>
            <w:vAlign w:val="center"/>
          </w:tcPr>
          <w:p w14:paraId="37F0F260">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+0.48 to +1.85</w:t>
            </w:r>
          </w:p>
        </w:tc>
        <w:tc>
          <w:tcPr>
            <w:tcW w:w="2033" w:type="dxa"/>
            <w:tcMar>
              <w:top w:w="60" w:type="dxa"/>
              <w:left w:w="80" w:type="dxa"/>
              <w:bottom w:w="60" w:type="dxa"/>
              <w:right w:w="80" w:type="dxa"/>
            </w:tcMar>
            <w:vAlign w:val="center"/>
          </w:tcPr>
          <w:p w14:paraId="64166D24">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.002</w:t>
            </w:r>
          </w:p>
        </w:tc>
        <w:tc>
          <w:tcPr>
            <w:tcW w:type="dxa" w:w="936"/>
          </w:tcPr>
          <w:p>
            <w:r>
              <w:t>2,000</w:t>
            </w:r>
          </w:p>
        </w:tc>
      </w:tr>
      <w:tr w14:paraId="69B1F0E6">
        <w:trPr>
          <w:cantSplit/>
          <w:jc w:val="center"/>
        </w:trPr>
        <w:tc>
          <w:tcPr>
            <w:tcW w:w="2033" w:type="dxa"/>
            <w:tcMar>
              <w:top w:w="60" w:type="dxa"/>
              <w:left w:w="80" w:type="dxa"/>
              <w:bottom w:w="60" w:type="dxa"/>
              <w:right w:w="80" w:type="dxa"/>
            </w:tcMar>
            <w:vAlign w:val="center"/>
          </w:tcPr>
          <w:p w14:paraId="7222097F">
            <w:pPr>
              <w:spacing w:after="0"/>
              <w:rPr>
                <w:rFonts w:hint="default" w:ascii="Times New Roman Regular" w:hAnsi="Times New Roman Regular" w:cs="Times New Roman Regular"/>
              </w:rPr>
            </w:pPr>
            <w:r>
              <w:rPr>
                <w:rFonts w:hint="default" w:ascii="Times New Roman Regular" w:hAnsi="Times New Roman Regular" w:cs="Times New Roman Regular"/>
              </w:rPr>
              <w:t xml:space="preserve">Literature + Interventions + primary outcomes vs Literature only</w:t>
            </w:r>
          </w:p>
        </w:tc>
        <w:tc>
          <w:tcPr>
            <w:tcW w:w="2033" w:type="dxa"/>
            <w:tcMar>
              <w:top w:w="60" w:type="dxa"/>
              <w:left w:w="80" w:type="dxa"/>
              <w:bottom w:w="60" w:type="dxa"/>
              <w:right w:w="80" w:type="dxa"/>
            </w:tcMar>
            <w:vAlign w:val="center"/>
          </w:tcPr>
          <w:p w14:paraId="03D92CC5">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CU Detection F1</w:t>
            </w:r>
          </w:p>
        </w:tc>
        <w:tc>
          <w:tcPr>
            <w:tcW w:w="2033" w:type="dxa"/>
            <w:tcMar>
              <w:top w:w="60" w:type="dxa"/>
              <w:left w:w="80" w:type="dxa"/>
              <w:bottom w:w="60" w:type="dxa"/>
              <w:right w:w="80" w:type="dxa"/>
            </w:tcMar>
            <w:vAlign w:val="center"/>
          </w:tcPr>
          <w:p w14:paraId="774A4900">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+3.61 percentage points</w:t>
            </w:r>
          </w:p>
        </w:tc>
        <w:tc>
          <w:tcPr>
            <w:tcW w:w="2033" w:type="dxa"/>
            <w:tcMar>
              <w:top w:w="60" w:type="dxa"/>
              <w:left w:w="80" w:type="dxa"/>
              <w:bottom w:w="60" w:type="dxa"/>
              <w:right w:w="80" w:type="dxa"/>
            </w:tcMar>
            <w:vAlign w:val="center"/>
          </w:tcPr>
          <w:p w14:paraId="596E9543">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+0.39 to +6.66</w:t>
            </w:r>
          </w:p>
        </w:tc>
        <w:tc>
          <w:tcPr>
            <w:tcW w:w="2033" w:type="dxa"/>
            <w:tcMar>
              <w:top w:w="60" w:type="dxa"/>
              <w:left w:w="80" w:type="dxa"/>
              <w:bottom w:w="60" w:type="dxa"/>
              <w:right w:w="80" w:type="dxa"/>
            </w:tcMar>
            <w:vAlign w:val="center"/>
          </w:tcPr>
          <w:p w14:paraId="4DE6B175">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.030</w:t>
            </w:r>
          </w:p>
        </w:tc>
        <w:tc>
          <w:tcPr>
            <w:tcW w:type="dxa" w:w="936"/>
          </w:tcPr>
          <w:p>
            <w:r>
              <w:t>2,000</w:t>
            </w:r>
          </w:p>
        </w:tc>
      </w:tr>
      <w:tr w14:paraId="54CC7488">
        <w:trPr>
          <w:cantSplit/>
          <w:jc w:val="center"/>
        </w:trPr>
        <w:tc>
          <w:tcPr>
            <w:tcW w:w="2033" w:type="dxa"/>
            <w:tcMar>
              <w:top w:w="60" w:type="dxa"/>
              <w:left w:w="80" w:type="dxa"/>
              <w:bottom w:w="60" w:type="dxa"/>
              <w:right w:w="80" w:type="dxa"/>
            </w:tcMar>
            <w:vAlign w:val="center"/>
          </w:tcPr>
          <w:p w14:paraId="6957920D">
            <w:pPr>
              <w:spacing w:after="0"/>
              <w:rPr>
                <w:rFonts w:hint="default" w:ascii="Times New Roman Regular" w:hAnsi="Times New Roman Regular" w:cs="Times New Roman Regular"/>
              </w:rPr>
            </w:pPr>
            <w:r>
              <w:rPr>
                <w:rFonts w:hint="default" w:ascii="Times New Roman Regular" w:hAnsi="Times New Roman Regular" w:cs="Times New Roman Regular"/>
              </w:rPr>
              <w:t xml:space="preserve">Literature + Interventions + primary outcomes vs Literature only</w:t>
            </w:r>
          </w:p>
        </w:tc>
        <w:tc>
          <w:tcPr>
            <w:tcW w:w="2033" w:type="dxa"/>
            <w:tcMar>
              <w:top w:w="60" w:type="dxa"/>
              <w:left w:w="80" w:type="dxa"/>
              <w:bottom w:w="60" w:type="dxa"/>
              <w:right w:w="80" w:type="dxa"/>
            </w:tcMar>
            <w:vAlign w:val="center"/>
          </w:tcPr>
          <w:p w14:paraId="33459D58">
            <w:pPr>
              <w:spacing w:after="0"/>
              <w:jc w:val="left"/>
              <w:rPr>
                <w:rFonts w:hint="default" w:ascii="Times New Roman Regular" w:hAnsi="Times New Roman Regular" w:cs="Times New Roman Regular"/>
              </w:rPr>
            </w:pPr>
            <w:r>
              <w:rPr>
                <w:rFonts w:hint="default" w:ascii="Times New Roman Regular" w:hAnsi="Times New Roman Regular" w:cs="Times New Roman Regular"/>
                <w:b w:val="0"/>
                <w:sz w:val="15"/>
              </w:rPr>
              <w:t>Conditional Unit-Accuracy</w:t>
            </w:r>
          </w:p>
        </w:tc>
        <w:tc>
          <w:tcPr>
            <w:tcW w:w="2033" w:type="dxa"/>
            <w:tcMar>
              <w:top w:w="60" w:type="dxa"/>
              <w:left w:w="80" w:type="dxa"/>
              <w:bottom w:w="60" w:type="dxa"/>
              <w:right w:w="80" w:type="dxa"/>
            </w:tcMar>
            <w:vAlign w:val="center"/>
          </w:tcPr>
          <w:p w14:paraId="6DA0DF3E">
            <w:pPr>
              <w:rPr>
                <w:rFonts w:hint="default" w:ascii="Times New Roman Regular" w:hAnsi="Times New Roman Regular" w:cs="Times New Roman Regular"/>
              </w:rPr>
            </w:pPr>
            <w:r>
              <w:rPr>
                <w:rFonts w:hint="default" w:ascii="Times New Roman Regular" w:hAnsi="Times New Roman Regular" w:cs="Times New Roman Regular"/>
              </w:rPr>
              <w:t xml:space="preserve">+4.36 percentage points</w:t>
            </w:r>
          </w:p>
        </w:tc>
        <w:tc>
          <w:tcPr>
            <w:tcW w:w="2033" w:type="dxa"/>
            <w:tcMar>
              <w:top w:w="60" w:type="dxa"/>
              <w:left w:w="80" w:type="dxa"/>
              <w:bottom w:w="60" w:type="dxa"/>
              <w:right w:w="80" w:type="dxa"/>
            </w:tcMar>
            <w:vAlign w:val="center"/>
          </w:tcPr>
          <w:p w14:paraId="4F52DF7E">
            <w:pPr>
              <w:rPr>
                <w:rFonts w:hint="default" w:ascii="Times New Roman Regular" w:hAnsi="Times New Roman Regular" w:cs="Times New Roman Regular"/>
              </w:rPr>
            </w:pPr>
            <w:r>
              <w:rPr>
                <w:rFonts w:hint="default" w:ascii="Times New Roman Regular" w:hAnsi="Times New Roman Regular" w:cs="Times New Roman Regular"/>
              </w:rPr>
              <w:t xml:space="preserve">+2.18 to +7.01</w:t>
            </w:r>
          </w:p>
        </w:tc>
        <w:tc>
          <w:tcPr>
            <w:tcW w:w="2033" w:type="dxa"/>
            <w:tcMar>
              <w:top w:w="60" w:type="dxa"/>
              <w:left w:w="80" w:type="dxa"/>
              <w:bottom w:w="60" w:type="dxa"/>
              <w:right w:w="80" w:type="dxa"/>
            </w:tcMar>
            <w:vAlign w:val="center"/>
          </w:tcPr>
          <w:p w14:paraId="6988BBE3">
            <w:pPr>
              <w:rPr>
                <w:rFonts w:hint="default" w:ascii="Times New Roman Regular" w:hAnsi="Times New Roman Regular" w:cs="Times New Roman Regular"/>
              </w:rPr>
            </w:pPr>
            <w:r>
              <w:rPr>
                <w:rFonts w:hint="default" w:ascii="Times New Roman Regular" w:hAnsi="Times New Roman Regular" w:cs="Times New Roman Regular"/>
              </w:rPr>
              <w:t xml:space="preserve">&lt;.001</w:t>
            </w:r>
          </w:p>
        </w:tc>
        <w:tc>
          <w:tcPr>
            <w:tcW w:type="dxa" w:w="936"/>
          </w:tcPr>
          <w:p>
            <w:r>
              <w:t>2,000</w:t>
            </w:r>
          </w:p>
        </w:tc>
      </w:tr>
      <w:tr w14:paraId="33B3C65B">
        <w:trPr>
          <w:cantSplit/>
          <w:jc w:val="center"/>
        </w:trPr>
        <w:tc>
          <w:tcPr>
            <w:tcW w:w="2033" w:type="dxa"/>
            <w:tcMar>
              <w:top w:w="60" w:type="dxa"/>
              <w:left w:w="80" w:type="dxa"/>
              <w:bottom w:w="60" w:type="dxa"/>
              <w:right w:w="80" w:type="dxa"/>
            </w:tcMar>
            <w:vAlign w:val="center"/>
          </w:tcPr>
          <w:p w14:paraId="1C44178B">
            <w:pPr>
              <w:spacing w:after="0"/>
              <w:rPr>
                <w:rFonts w:hint="default" w:ascii="Times New Roman Regular" w:hAnsi="Times New Roman Regular" w:cs="Times New Roman Regular"/>
              </w:rPr>
            </w:pPr>
            <w:r>
              <w:rPr>
                <w:rFonts w:hint="default" w:ascii="Times New Roman Regular" w:hAnsi="Times New Roman Regular" w:cs="Times New Roman Regular"/>
              </w:rPr>
              <w:t xml:space="preserve">Literature + Interventions + primary outcomes vs Literature only</w:t>
            </w:r>
          </w:p>
        </w:tc>
        <w:tc>
          <w:tcPr>
            <w:tcW w:w="2033" w:type="dxa"/>
            <w:tcMar>
              <w:top w:w="60" w:type="dxa"/>
              <w:left w:w="80" w:type="dxa"/>
              <w:bottom w:w="60" w:type="dxa"/>
              <w:right w:w="80" w:type="dxa"/>
            </w:tcMar>
            <w:vAlign w:val="center"/>
          </w:tcPr>
          <w:p w14:paraId="0833445E">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Evidence-Supported Item Rate</w:t>
            </w:r>
          </w:p>
        </w:tc>
        <w:tc>
          <w:tcPr>
            <w:tcW w:w="2033" w:type="dxa"/>
            <w:tcMar>
              <w:top w:w="60" w:type="dxa"/>
              <w:left w:w="80" w:type="dxa"/>
              <w:bottom w:w="60" w:type="dxa"/>
              <w:right w:w="80" w:type="dxa"/>
            </w:tcMar>
            <w:vAlign w:val="center"/>
          </w:tcPr>
          <w:p w14:paraId="47391DC9">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−0.26 percentage points</w:t>
            </w:r>
          </w:p>
        </w:tc>
        <w:tc>
          <w:tcPr>
            <w:tcW w:w="2033" w:type="dxa"/>
            <w:tcMar>
              <w:top w:w="60" w:type="dxa"/>
              <w:left w:w="80" w:type="dxa"/>
              <w:bottom w:w="60" w:type="dxa"/>
              <w:right w:w="80" w:type="dxa"/>
            </w:tcMar>
            <w:vAlign w:val="center"/>
          </w:tcPr>
          <w:p w14:paraId="72BD7197">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−1.79 to +1.37</w:t>
            </w:r>
          </w:p>
        </w:tc>
        <w:tc>
          <w:tcPr>
            <w:tcW w:w="2033" w:type="dxa"/>
            <w:tcMar>
              <w:top w:w="60" w:type="dxa"/>
              <w:left w:w="80" w:type="dxa"/>
              <w:bottom w:w="60" w:type="dxa"/>
              <w:right w:w="80" w:type="dxa"/>
            </w:tcMar>
            <w:vAlign w:val="center"/>
          </w:tcPr>
          <w:p w14:paraId="3F27E98C">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.874</w:t>
            </w:r>
          </w:p>
        </w:tc>
        <w:tc>
          <w:tcPr>
            <w:tcW w:type="dxa" w:w="936"/>
          </w:tcPr>
          <w:p>
            <w:r>
              <w:t>2,000</w:t>
            </w:r>
          </w:p>
        </w:tc>
      </w:tr>
      <w:tr w14:paraId="1142F467">
        <w:trPr>
          <w:cantSplit/>
          <w:jc w:val="center"/>
        </w:trPr>
        <w:tc>
          <w:tcPr>
            <w:tcW w:w="2033" w:type="dxa"/>
            <w:tcMar>
              <w:top w:w="60" w:type="dxa"/>
              <w:left w:w="80" w:type="dxa"/>
              <w:bottom w:w="60" w:type="dxa"/>
              <w:right w:w="80" w:type="dxa"/>
            </w:tcMar>
            <w:vAlign w:val="center"/>
          </w:tcPr>
          <w:p w14:paraId="1A2D7BFC">
            <w:pPr>
              <w:spacing w:after="0"/>
              <w:rPr>
                <w:rFonts w:hint="default" w:ascii="Times New Roman Regular" w:hAnsi="Times New Roman Regular" w:cs="Times New Roman Regular"/>
              </w:rPr>
            </w:pPr>
            <w:r>
              <w:rPr>
                <w:rFonts w:hint="default" w:ascii="Times New Roman Regular" w:hAnsi="Times New Roman Regular" w:cs="Times New Roman Regular"/>
              </w:rPr>
              <w:t xml:space="preserve">Literature + Interventions + primary outcomes vs Literature only</w:t>
            </w:r>
          </w:p>
        </w:tc>
        <w:tc>
          <w:tcPr>
            <w:tcW w:w="2033" w:type="dxa"/>
            <w:tcMar>
              <w:top w:w="60" w:type="dxa"/>
              <w:left w:w="80" w:type="dxa"/>
              <w:bottom w:w="60" w:type="dxa"/>
              <w:right w:w="80" w:type="dxa"/>
            </w:tcMar>
            <w:vAlign w:val="center"/>
          </w:tcPr>
          <w:p w14:paraId="06FAE1F6">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Numerical/State Tolerance-Accuracy</w:t>
            </w:r>
          </w:p>
        </w:tc>
        <w:tc>
          <w:tcPr>
            <w:tcW w:w="2033" w:type="dxa"/>
            <w:tcMar>
              <w:top w:w="60" w:type="dxa"/>
              <w:left w:w="80" w:type="dxa"/>
              <w:bottom w:w="60" w:type="dxa"/>
              <w:right w:w="80" w:type="dxa"/>
            </w:tcMar>
            <w:vAlign w:val="center"/>
          </w:tcPr>
          <w:p w14:paraId="7E879111">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−0.08 percentage points</w:t>
            </w:r>
          </w:p>
        </w:tc>
        <w:tc>
          <w:tcPr>
            <w:tcW w:w="2033" w:type="dxa"/>
            <w:tcMar>
              <w:top w:w="60" w:type="dxa"/>
              <w:left w:w="80" w:type="dxa"/>
              <w:bottom w:w="60" w:type="dxa"/>
              <w:right w:w="80" w:type="dxa"/>
            </w:tcMar>
            <w:vAlign w:val="center"/>
          </w:tcPr>
          <w:p w14:paraId="63804BE8">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−0.77 to +0.55</w:t>
            </w:r>
          </w:p>
        </w:tc>
        <w:tc>
          <w:tcPr>
            <w:tcW w:w="2033" w:type="dxa"/>
            <w:tcMar>
              <w:top w:w="60" w:type="dxa"/>
              <w:left w:w="80" w:type="dxa"/>
              <w:bottom w:w="60" w:type="dxa"/>
              <w:right w:w="80" w:type="dxa"/>
            </w:tcMar>
            <w:vAlign w:val="center"/>
          </w:tcPr>
          <w:p w14:paraId="4FEBEBBF">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.885</w:t>
            </w:r>
          </w:p>
        </w:tc>
        <w:tc>
          <w:tcPr>
            <w:tcW w:type="dxa" w:w="936"/>
          </w:tcPr>
          <w:p>
            <w:r>
              <w:t>2,000</w:t>
            </w:r>
          </w:p>
        </w:tc>
      </w:tr>
      <w:tr w14:paraId="2C447676">
        <w:trPr>
          <w:cantSplit/>
          <w:jc w:val="center"/>
        </w:trPr>
        <w:tc>
          <w:tcPr>
            <w:tcW w:w="2033" w:type="dxa"/>
            <w:tcMar>
              <w:top w:w="60" w:type="dxa"/>
              <w:left w:w="80" w:type="dxa"/>
              <w:bottom w:w="60" w:type="dxa"/>
              <w:right w:w="80" w:type="dxa"/>
            </w:tcMar>
            <w:vAlign w:val="center"/>
          </w:tcPr>
          <w:p w14:paraId="6B3916E8">
            <w:pPr>
              <w:spacing w:after="0"/>
              <w:rPr>
                <w:rFonts w:hint="default" w:ascii="Times New Roman Regular" w:hAnsi="Times New Roman Regular" w:cs="Times New Roman Regular"/>
              </w:rPr>
            </w:pPr>
            <w:r>
              <w:rPr>
                <w:rFonts w:hint="default" w:ascii="Times New Roman Regular" w:hAnsi="Times New Roman Regular" w:cs="Times New Roman Regular"/>
              </w:rPr>
              <w:t xml:space="preserve">Literature + Interventions + primary outcomes vs Literature + Registered interventions</w:t>
            </w:r>
          </w:p>
        </w:tc>
        <w:tc>
          <w:tcPr>
            <w:tcW w:w="2033" w:type="dxa"/>
            <w:tcMar>
              <w:top w:w="60" w:type="dxa"/>
              <w:left w:w="80" w:type="dxa"/>
              <w:bottom w:w="60" w:type="dxa"/>
              <w:right w:w="80" w:type="dxa"/>
            </w:tcMar>
            <w:vAlign w:val="center"/>
          </w:tcPr>
          <w:p w14:paraId="750E2284">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CU Detection F1</w:t>
            </w:r>
          </w:p>
        </w:tc>
        <w:tc>
          <w:tcPr>
            <w:tcW w:w="2033" w:type="dxa"/>
            <w:tcMar>
              <w:top w:w="60" w:type="dxa"/>
              <w:left w:w="80" w:type="dxa"/>
              <w:bottom w:w="60" w:type="dxa"/>
              <w:right w:w="80" w:type="dxa"/>
            </w:tcMar>
            <w:vAlign w:val="center"/>
          </w:tcPr>
          <w:p w14:paraId="745FDECD">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+1.79 percentage points</w:t>
            </w:r>
          </w:p>
        </w:tc>
        <w:tc>
          <w:tcPr>
            <w:tcW w:w="2033" w:type="dxa"/>
            <w:tcMar>
              <w:top w:w="60" w:type="dxa"/>
              <w:left w:w="80" w:type="dxa"/>
              <w:bottom w:w="60" w:type="dxa"/>
              <w:right w:w="80" w:type="dxa"/>
            </w:tcMar>
            <w:vAlign w:val="center"/>
          </w:tcPr>
          <w:p w14:paraId="12E62288">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−1.18 to +4.58</w:t>
            </w:r>
          </w:p>
        </w:tc>
        <w:tc>
          <w:tcPr>
            <w:tcW w:w="2033" w:type="dxa"/>
            <w:tcMar>
              <w:top w:w="60" w:type="dxa"/>
              <w:left w:w="80" w:type="dxa"/>
              <w:bottom w:w="60" w:type="dxa"/>
              <w:right w:w="80" w:type="dxa"/>
            </w:tcMar>
            <w:vAlign w:val="center"/>
          </w:tcPr>
          <w:p w14:paraId="30F4BDBC">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.232</w:t>
            </w:r>
          </w:p>
        </w:tc>
        <w:tc>
          <w:tcPr>
            <w:tcW w:type="dxa" w:w="936"/>
          </w:tcPr>
          <w:p>
            <w:r>
              <w:t>2,000</w:t>
            </w:r>
          </w:p>
        </w:tc>
      </w:tr>
      <w:tr w14:paraId="49761587">
        <w:trPr>
          <w:cantSplit/>
          <w:jc w:val="center"/>
        </w:trPr>
        <w:tc>
          <w:tcPr>
            <w:tcW w:w="2033" w:type="dxa"/>
            <w:tcMar>
              <w:top w:w="60" w:type="dxa"/>
              <w:left w:w="80" w:type="dxa"/>
              <w:bottom w:w="60" w:type="dxa"/>
              <w:right w:w="80" w:type="dxa"/>
            </w:tcMar>
            <w:vAlign w:val="center"/>
          </w:tcPr>
          <w:p w14:paraId="78B8C2D7">
            <w:pPr>
              <w:spacing w:after="0"/>
              <w:rPr>
                <w:rFonts w:hint="default" w:ascii="Times New Roman Regular" w:hAnsi="Times New Roman Regular" w:cs="Times New Roman Regular"/>
              </w:rPr>
            </w:pPr>
            <w:r>
              <w:rPr>
                <w:rFonts w:hint="default" w:ascii="Times New Roman Regular" w:hAnsi="Times New Roman Regular" w:cs="Times New Roman Regular"/>
              </w:rPr>
              <w:t xml:space="preserve">Literature + Interventions + primary outcomes vs Literature + Registered interventions</w:t>
            </w:r>
          </w:p>
        </w:tc>
        <w:tc>
          <w:tcPr>
            <w:tcW w:w="2033" w:type="dxa"/>
            <w:tcMar>
              <w:top w:w="60" w:type="dxa"/>
              <w:left w:w="80" w:type="dxa"/>
              <w:bottom w:w="60" w:type="dxa"/>
              <w:right w:w="80" w:type="dxa"/>
            </w:tcMar>
            <w:vAlign w:val="center"/>
          </w:tcPr>
          <w:p w14:paraId="09223659">
            <w:pPr>
              <w:spacing w:after="0"/>
              <w:jc w:val="left"/>
              <w:rPr>
                <w:rFonts w:hint="default" w:ascii="Times New Roman Regular" w:hAnsi="Times New Roman Regular" w:cs="Times New Roman Regular"/>
              </w:rPr>
            </w:pPr>
            <w:r>
              <w:rPr>
                <w:rFonts w:hint="default" w:ascii="Times New Roman Regular" w:hAnsi="Times New Roman Regular" w:cs="Times New Roman Regular"/>
                <w:b w:val="0"/>
                <w:sz w:val="15"/>
              </w:rPr>
              <w:t>Conditional Unit-Accuracy</w:t>
            </w:r>
          </w:p>
        </w:tc>
        <w:tc>
          <w:tcPr>
            <w:tcW w:w="2033" w:type="dxa"/>
            <w:tcMar>
              <w:top w:w="60" w:type="dxa"/>
              <w:left w:w="80" w:type="dxa"/>
              <w:bottom w:w="60" w:type="dxa"/>
              <w:right w:w="80" w:type="dxa"/>
            </w:tcMar>
            <w:vAlign w:val="center"/>
          </w:tcPr>
          <w:p w14:paraId="5AC95B75">
            <w:pPr>
              <w:rPr>
                <w:rFonts w:hint="default" w:ascii="Times New Roman Regular" w:hAnsi="Times New Roman Regular" w:cs="Times New Roman Regular"/>
              </w:rPr>
            </w:pPr>
            <w:r>
              <w:rPr>
                <w:rFonts w:hint="default" w:ascii="Times New Roman Regular" w:hAnsi="Times New Roman Regular" w:cs="Times New Roman Regular"/>
              </w:rPr>
              <w:t xml:space="preserve">+1.91 percentage points</w:t>
            </w:r>
          </w:p>
        </w:tc>
        <w:tc>
          <w:tcPr>
            <w:tcW w:w="2033" w:type="dxa"/>
            <w:tcMar>
              <w:top w:w="60" w:type="dxa"/>
              <w:left w:w="80" w:type="dxa"/>
              <w:bottom w:w="60" w:type="dxa"/>
              <w:right w:w="80" w:type="dxa"/>
            </w:tcMar>
            <w:vAlign w:val="center"/>
          </w:tcPr>
          <w:p w14:paraId="5D70D491">
            <w:pPr>
              <w:rPr>
                <w:rFonts w:hint="default" w:ascii="Times New Roman Regular" w:hAnsi="Times New Roman Regular" w:cs="Times New Roman Regular"/>
              </w:rPr>
            </w:pPr>
            <w:r>
              <w:rPr>
                <w:rFonts w:hint="default" w:ascii="Times New Roman Regular" w:hAnsi="Times New Roman Regular" w:cs="Times New Roman Regular"/>
              </w:rPr>
              <w:t xml:space="preserve">−4.81 to +7.47</w:t>
            </w:r>
          </w:p>
        </w:tc>
        <w:tc>
          <w:tcPr>
            <w:tcW w:w="2033" w:type="dxa"/>
            <w:tcMar>
              <w:top w:w="60" w:type="dxa"/>
              <w:left w:w="80" w:type="dxa"/>
              <w:bottom w:w="60" w:type="dxa"/>
              <w:right w:w="80" w:type="dxa"/>
            </w:tcMar>
            <w:vAlign w:val="center"/>
          </w:tcPr>
          <w:p w14:paraId="0FABE835">
            <w:pPr>
              <w:rPr>
                <w:rFonts w:hint="default" w:ascii="Times New Roman Regular" w:hAnsi="Times New Roman Regular" w:cs="Times New Roman Regular"/>
              </w:rPr>
            </w:pPr>
            <w:r>
              <w:rPr>
                <w:rFonts w:hint="default" w:ascii="Times New Roman Regular" w:hAnsi="Times New Roman Regular" w:cs="Times New Roman Regular"/>
              </w:rPr>
              <w:t xml:space="preserve">.571</w:t>
            </w:r>
          </w:p>
        </w:tc>
        <w:tc>
          <w:tcPr>
            <w:tcW w:type="dxa" w:w="936"/>
          </w:tcPr>
          <w:p>
            <w:r>
              <w:t>2,000</w:t>
            </w:r>
          </w:p>
        </w:tc>
      </w:tr>
      <w:tr w14:paraId="5554E749">
        <w:trPr>
          <w:cantSplit/>
          <w:jc w:val="center"/>
        </w:trPr>
        <w:tc>
          <w:tcPr>
            <w:tcW w:w="2033" w:type="dxa"/>
            <w:tcMar>
              <w:top w:w="60" w:type="dxa"/>
              <w:left w:w="80" w:type="dxa"/>
              <w:bottom w:w="60" w:type="dxa"/>
              <w:right w:w="80" w:type="dxa"/>
            </w:tcMar>
            <w:vAlign w:val="center"/>
          </w:tcPr>
          <w:p w14:paraId="0387F724">
            <w:pPr>
              <w:spacing w:after="0"/>
              <w:rPr>
                <w:rFonts w:hint="default" w:ascii="Times New Roman Regular" w:hAnsi="Times New Roman Regular" w:cs="Times New Roman Regular"/>
              </w:rPr>
            </w:pPr>
            <w:r>
              <w:rPr>
                <w:rFonts w:hint="default" w:ascii="Times New Roman Regular" w:hAnsi="Times New Roman Regular" w:cs="Times New Roman Regular"/>
              </w:rPr>
              <w:t xml:space="preserve">Literature + Interventions + primary outcomes vs Literature + Registered interventions</w:t>
            </w:r>
          </w:p>
        </w:tc>
        <w:tc>
          <w:tcPr>
            <w:tcW w:w="2033" w:type="dxa"/>
            <w:tcMar>
              <w:top w:w="60" w:type="dxa"/>
              <w:left w:w="80" w:type="dxa"/>
              <w:bottom w:w="60" w:type="dxa"/>
              <w:right w:w="80" w:type="dxa"/>
            </w:tcMar>
            <w:vAlign w:val="center"/>
          </w:tcPr>
          <w:p w14:paraId="0D5C0DA5">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Evidence-Supported Item Rate</w:t>
            </w:r>
          </w:p>
        </w:tc>
        <w:tc>
          <w:tcPr>
            <w:tcW w:w="2033" w:type="dxa"/>
            <w:tcMar>
              <w:top w:w="60" w:type="dxa"/>
              <w:left w:w="80" w:type="dxa"/>
              <w:bottom w:w="60" w:type="dxa"/>
              <w:right w:w="80" w:type="dxa"/>
            </w:tcMar>
            <w:vAlign w:val="center"/>
          </w:tcPr>
          <w:p w14:paraId="00DAC1EC">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+0.00 percentage points</w:t>
            </w:r>
          </w:p>
        </w:tc>
        <w:tc>
          <w:tcPr>
            <w:tcW w:w="2033" w:type="dxa"/>
            <w:tcMar>
              <w:top w:w="60" w:type="dxa"/>
              <w:left w:w="80" w:type="dxa"/>
              <w:bottom w:w="60" w:type="dxa"/>
              <w:right w:w="80" w:type="dxa"/>
            </w:tcMar>
            <w:vAlign w:val="center"/>
          </w:tcPr>
          <w:p w14:paraId="66A6424B">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−1.87 to +1.74</w:t>
            </w:r>
          </w:p>
        </w:tc>
        <w:tc>
          <w:tcPr>
            <w:tcW w:w="2033" w:type="dxa"/>
            <w:tcMar>
              <w:top w:w="60" w:type="dxa"/>
              <w:left w:w="80" w:type="dxa"/>
              <w:bottom w:w="60" w:type="dxa"/>
              <w:right w:w="80" w:type="dxa"/>
            </w:tcMar>
            <w:vAlign w:val="center"/>
          </w:tcPr>
          <w:p w14:paraId="4DC0615B">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1.000</w:t>
            </w:r>
          </w:p>
        </w:tc>
        <w:tc>
          <w:tcPr>
            <w:tcW w:type="dxa" w:w="936"/>
          </w:tcPr>
          <w:p>
            <w:r>
              <w:t>2,000</w:t>
            </w:r>
          </w:p>
        </w:tc>
      </w:tr>
      <w:tr w14:paraId="21AA6FEE">
        <w:trPr>
          <w:cantSplit/>
          <w:jc w:val="center"/>
        </w:trPr>
        <w:tc>
          <w:tcPr>
            <w:tcW w:w="2033" w:type="dxa"/>
            <w:tcMar>
              <w:top w:w="60" w:type="dxa"/>
              <w:left w:w="80" w:type="dxa"/>
              <w:bottom w:w="60" w:type="dxa"/>
              <w:right w:w="80" w:type="dxa"/>
            </w:tcMar>
            <w:vAlign w:val="center"/>
          </w:tcPr>
          <w:p w14:paraId="116224FB">
            <w:pPr>
              <w:spacing w:after="0"/>
              <w:rPr>
                <w:rFonts w:hint="default" w:ascii="Times New Roman Regular" w:hAnsi="Times New Roman Regular" w:cs="Times New Roman Regular"/>
              </w:rPr>
            </w:pPr>
            <w:r>
              <w:rPr>
                <w:rFonts w:hint="default" w:ascii="Times New Roman Regular" w:hAnsi="Times New Roman Regular" w:cs="Times New Roman Regular"/>
              </w:rPr>
              <w:t xml:space="preserve">Literature + Interventions + primary outcomes vs Literature + Registered interventions</w:t>
            </w:r>
          </w:p>
        </w:tc>
        <w:tc>
          <w:tcPr>
            <w:tcW w:w="2033" w:type="dxa"/>
            <w:tcMar>
              <w:top w:w="60" w:type="dxa"/>
              <w:left w:w="80" w:type="dxa"/>
              <w:bottom w:w="60" w:type="dxa"/>
              <w:right w:w="80" w:type="dxa"/>
            </w:tcMar>
            <w:vAlign w:val="center"/>
          </w:tcPr>
          <w:p w14:paraId="04E77A4B">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Numerical/State Tolerance-Accuracy</w:t>
            </w:r>
          </w:p>
        </w:tc>
        <w:tc>
          <w:tcPr>
            <w:tcW w:w="2033" w:type="dxa"/>
            <w:tcMar>
              <w:top w:w="60" w:type="dxa"/>
              <w:left w:w="80" w:type="dxa"/>
              <w:bottom w:w="60" w:type="dxa"/>
              <w:right w:w="80" w:type="dxa"/>
            </w:tcMar>
            <w:vAlign w:val="center"/>
          </w:tcPr>
          <w:p w14:paraId="2D372757">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+0.08 percentage points</w:t>
            </w:r>
          </w:p>
        </w:tc>
        <w:tc>
          <w:tcPr>
            <w:tcW w:w="2033" w:type="dxa"/>
            <w:tcMar>
              <w:top w:w="60" w:type="dxa"/>
              <w:left w:w="80" w:type="dxa"/>
              <w:bottom w:w="60" w:type="dxa"/>
              <w:right w:w="80" w:type="dxa"/>
            </w:tcMar>
            <w:vAlign w:val="center"/>
          </w:tcPr>
          <w:p w14:paraId="20E16919">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−0.67 to +0.81</w:t>
            </w:r>
          </w:p>
        </w:tc>
        <w:tc>
          <w:tcPr>
            <w:tcW w:w="2033" w:type="dxa"/>
            <w:tcMar>
              <w:top w:w="60" w:type="dxa"/>
              <w:left w:w="80" w:type="dxa"/>
              <w:bottom w:w="60" w:type="dxa"/>
              <w:right w:w="80" w:type="dxa"/>
            </w:tcMar>
            <w:vAlign w:val="center"/>
          </w:tcPr>
          <w:p w14:paraId="7D10023D">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.945</w:t>
            </w:r>
          </w:p>
        </w:tc>
        <w:tc>
          <w:tcPr>
            <w:tcW w:type="dxa" w:w="936"/>
          </w:tcPr>
          <w:p>
            <w:r>
              <w:t>2,000</w:t>
            </w:r>
          </w:p>
        </w:tc>
      </w:tr>
      <w:tr w14:paraId="77198708">
        <w:trPr>
          <w:cantSplit/>
          <w:jc w:val="center"/>
        </w:trPr>
        <w:tc>
          <w:tcPr>
            <w:tcW w:w="2033" w:type="dxa"/>
            <w:tcMar>
              <w:top w:w="60" w:type="dxa"/>
              <w:left w:w="80" w:type="dxa"/>
              <w:bottom w:w="60" w:type="dxa"/>
              <w:right w:w="80" w:type="dxa"/>
            </w:tcMar>
            <w:vAlign w:val="center"/>
          </w:tcPr>
          <w:p w14:paraId="41F5C622">
            <w:pPr>
              <w:spacing w:after="0"/>
              <w:rPr>
                <w:rFonts w:hint="default" w:ascii="Times New Roman Regular" w:hAnsi="Times New Roman Regular" w:cs="Times New Roman Regular"/>
              </w:rPr>
            </w:pPr>
            <w:r>
              <w:rPr>
                <w:rFonts w:hint="default" w:ascii="Times New Roman Regular" w:hAnsi="Times New Roman Regular" w:cs="Times New Roman Regular"/>
              </w:rPr>
              <w:t xml:space="preserve">Literature + Interventions + primary outcomes vs Literature + Registered primary outcomes</w:t>
            </w:r>
          </w:p>
        </w:tc>
        <w:tc>
          <w:tcPr>
            <w:tcW w:w="2033" w:type="dxa"/>
            <w:tcMar>
              <w:top w:w="60" w:type="dxa"/>
              <w:left w:w="80" w:type="dxa"/>
              <w:bottom w:w="60" w:type="dxa"/>
              <w:right w:w="80" w:type="dxa"/>
            </w:tcMar>
            <w:vAlign w:val="center"/>
          </w:tcPr>
          <w:p w14:paraId="6D45EFB8">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sz w:val="15"/>
              </w:rPr>
              <w:t>CU Detection F1</w:t>
            </w:r>
          </w:p>
        </w:tc>
        <w:tc>
          <w:tcPr>
            <w:tcW w:w="2033" w:type="dxa"/>
            <w:tcMar>
              <w:top w:w="60" w:type="dxa"/>
              <w:left w:w="80" w:type="dxa"/>
              <w:bottom w:w="60" w:type="dxa"/>
              <w:right w:w="80" w:type="dxa"/>
            </w:tcMar>
            <w:vAlign w:val="center"/>
          </w:tcPr>
          <w:p w14:paraId="426591C0">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+2.29 percentage points</w:t>
            </w:r>
          </w:p>
        </w:tc>
        <w:tc>
          <w:tcPr>
            <w:tcW w:w="2033" w:type="dxa"/>
            <w:tcMar>
              <w:top w:w="60" w:type="dxa"/>
              <w:left w:w="80" w:type="dxa"/>
              <w:bottom w:w="60" w:type="dxa"/>
              <w:right w:w="80" w:type="dxa"/>
            </w:tcMar>
            <w:vAlign w:val="center"/>
          </w:tcPr>
          <w:p w14:paraId="4EBD06E5">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−1.37 to +5.83</w:t>
            </w:r>
          </w:p>
        </w:tc>
        <w:tc>
          <w:tcPr>
            <w:tcW w:w="2033" w:type="dxa"/>
            <w:tcMar>
              <w:top w:w="60" w:type="dxa"/>
              <w:left w:w="80" w:type="dxa"/>
              <w:bottom w:w="60" w:type="dxa"/>
              <w:right w:w="80" w:type="dxa"/>
            </w:tcMar>
            <w:vAlign w:val="center"/>
          </w:tcPr>
          <w:p w14:paraId="507D5061">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.218</w:t>
            </w:r>
          </w:p>
        </w:tc>
        <w:tc>
          <w:tcPr>
            <w:tcW w:type="dxa" w:w="936"/>
          </w:tcPr>
          <w:p>
            <w:r>
              <w:t>2,000</w:t>
            </w:r>
          </w:p>
        </w:tc>
      </w:tr>
      <w:tr w14:paraId="1424A03E">
        <w:trPr>
          <w:cantSplit/>
          <w:jc w:val="center"/>
        </w:trPr>
        <w:tc>
          <w:tcPr>
            <w:tcW w:w="2033" w:type="dxa"/>
            <w:tcMar>
              <w:top w:w="60" w:type="dxa"/>
              <w:left w:w="80" w:type="dxa"/>
              <w:bottom w:w="60" w:type="dxa"/>
              <w:right w:w="80" w:type="dxa"/>
            </w:tcMar>
            <w:vAlign w:val="center"/>
          </w:tcPr>
          <w:p w14:paraId="78097692">
            <w:pPr>
              <w:spacing w:after="0"/>
              <w:rPr>
                <w:rFonts w:hint="default" w:ascii="Times New Roman Regular" w:hAnsi="Times New Roman Regular" w:cs="Times New Roman Regular"/>
              </w:rPr>
            </w:pPr>
            <w:r>
              <w:rPr>
                <w:rFonts w:hint="default" w:ascii="Times New Roman Regular" w:hAnsi="Times New Roman Regular" w:cs="Times New Roman Regular"/>
              </w:rPr>
              <w:t xml:space="preserve">Literature + Interventions + primary outcomes vs Literature + Registered primary outcomes</w:t>
            </w:r>
          </w:p>
        </w:tc>
        <w:tc>
          <w:tcPr>
            <w:tcW w:w="2033" w:type="dxa"/>
            <w:tcMar>
              <w:top w:w="60" w:type="dxa"/>
              <w:left w:w="80" w:type="dxa"/>
              <w:bottom w:w="60" w:type="dxa"/>
              <w:right w:w="80" w:type="dxa"/>
            </w:tcMar>
            <w:vAlign w:val="center"/>
          </w:tcPr>
          <w:p w14:paraId="2476EE6D">
            <w:pPr>
              <w:spacing w:after="0"/>
              <w:jc w:val="left"/>
              <w:rPr>
                <w:rFonts w:hint="default" w:ascii="Times New Roman Regular" w:hAnsi="Times New Roman Regular" w:cs="Times New Roman Regular"/>
              </w:rPr>
            </w:pPr>
            <w:r>
              <w:rPr>
                <w:rFonts w:hint="default" w:ascii="Times New Roman Regular" w:hAnsi="Times New Roman Regular" w:cs="Times New Roman Regular"/>
                <w:b w:val="0"/>
                <w:sz w:val="15"/>
              </w:rPr>
              <w:t>Conditional Unit-Accuracy</w:t>
            </w:r>
          </w:p>
        </w:tc>
        <w:tc>
          <w:tcPr>
            <w:tcW w:w="2033" w:type="dxa"/>
            <w:tcMar>
              <w:top w:w="60" w:type="dxa"/>
              <w:left w:w="80" w:type="dxa"/>
              <w:bottom w:w="60" w:type="dxa"/>
              <w:right w:w="80" w:type="dxa"/>
            </w:tcMar>
            <w:vAlign w:val="center"/>
          </w:tcPr>
          <w:p w14:paraId="5E440FC4">
            <w:pPr>
              <w:rPr>
                <w:rFonts w:hint="default" w:ascii="Times New Roman Regular" w:hAnsi="Times New Roman Regular" w:cs="Times New Roman Regular"/>
              </w:rPr>
            </w:pPr>
            <w:r>
              <w:rPr>
                <w:rFonts w:hint="default" w:ascii="Times New Roman Regular" w:hAnsi="Times New Roman Regular" w:cs="Times New Roman Regular"/>
              </w:rPr>
              <w:t xml:space="preserve">+2.49 percentage points</w:t>
            </w:r>
          </w:p>
        </w:tc>
        <w:tc>
          <w:tcPr>
            <w:tcW w:w="2033" w:type="dxa"/>
            <w:tcMar>
              <w:top w:w="60" w:type="dxa"/>
              <w:left w:w="80" w:type="dxa"/>
              <w:bottom w:w="60" w:type="dxa"/>
              <w:right w:w="80" w:type="dxa"/>
            </w:tcMar>
            <w:vAlign w:val="center"/>
          </w:tcPr>
          <w:p w14:paraId="35352987">
            <w:pPr>
              <w:rPr>
                <w:rFonts w:hint="default" w:ascii="Times New Roman Regular" w:hAnsi="Times New Roman Regular" w:cs="Times New Roman Regular"/>
              </w:rPr>
            </w:pPr>
            <w:r>
              <w:rPr>
                <w:rFonts w:hint="default" w:ascii="Times New Roman Regular" w:hAnsi="Times New Roman Regular" w:cs="Times New Roman Regular"/>
              </w:rPr>
              <w:t xml:space="preserve">−4.14 to +8.39</w:t>
            </w:r>
          </w:p>
        </w:tc>
        <w:tc>
          <w:tcPr>
            <w:tcW w:w="2033" w:type="dxa"/>
            <w:tcMar>
              <w:top w:w="60" w:type="dxa"/>
              <w:left w:w="80" w:type="dxa"/>
              <w:bottom w:w="60" w:type="dxa"/>
              <w:right w:w="80" w:type="dxa"/>
            </w:tcMar>
            <w:vAlign w:val="center"/>
          </w:tcPr>
          <w:p w14:paraId="35F4A23C">
            <w:pPr>
              <w:rPr>
                <w:rFonts w:hint="default" w:ascii="Times New Roman Regular" w:hAnsi="Times New Roman Regular" w:cs="Times New Roman Regular"/>
              </w:rPr>
            </w:pPr>
            <w:r>
              <w:rPr>
                <w:rFonts w:hint="default" w:ascii="Times New Roman Regular" w:hAnsi="Times New Roman Regular" w:cs="Times New Roman Regular"/>
              </w:rPr>
              <w:t xml:space="preserve">.446</w:t>
            </w:r>
          </w:p>
        </w:tc>
        <w:tc>
          <w:tcPr>
            <w:tcW w:type="dxa" w:w="936"/>
          </w:tcPr>
          <w:p>
            <w:r>
              <w:t>2,000</w:t>
            </w:r>
          </w:p>
        </w:tc>
      </w:tr>
      <w:tr w14:paraId="4796918F">
        <w:trPr>
          <w:cantSplit/>
          <w:jc w:val="center"/>
        </w:trPr>
        <w:tc>
          <w:tcPr>
            <w:tcW w:w="2033" w:type="dxa"/>
            <w:tcMar>
              <w:top w:w="60" w:type="dxa"/>
              <w:left w:w="80" w:type="dxa"/>
              <w:bottom w:w="60" w:type="dxa"/>
              <w:right w:w="80" w:type="dxa"/>
            </w:tcMar>
            <w:vAlign w:val="center"/>
          </w:tcPr>
          <w:p w14:paraId="73CD24CA">
            <w:pPr>
              <w:spacing w:after="0"/>
              <w:rPr>
                <w:rFonts w:hint="default" w:ascii="Times New Roman Regular" w:hAnsi="Times New Roman Regular" w:cs="Times New Roman Regular"/>
              </w:rPr>
            </w:pPr>
            <w:r>
              <w:rPr>
                <w:rFonts w:hint="default" w:ascii="Times New Roman Regular" w:hAnsi="Times New Roman Regular" w:cs="Times New Roman Regular"/>
              </w:rPr>
              <w:t xml:space="preserve">Literature + Interventions + primary outcomes vs Literature + Registered primary outcomes</w:t>
            </w:r>
          </w:p>
        </w:tc>
        <w:tc>
          <w:tcPr>
            <w:tcW w:w="2033" w:type="dxa"/>
            <w:tcMar>
              <w:top w:w="60" w:type="dxa"/>
              <w:left w:w="80" w:type="dxa"/>
              <w:bottom w:w="60" w:type="dxa"/>
              <w:right w:w="80" w:type="dxa"/>
            </w:tcMar>
            <w:vAlign w:val="center"/>
          </w:tcPr>
          <w:p w14:paraId="12445309">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Evidence-Supported Item Rate</w:t>
            </w:r>
          </w:p>
        </w:tc>
        <w:tc>
          <w:tcPr>
            <w:tcW w:w="2033" w:type="dxa"/>
            <w:tcMar>
              <w:top w:w="60" w:type="dxa"/>
              <w:left w:w="80" w:type="dxa"/>
              <w:bottom w:w="60" w:type="dxa"/>
              <w:right w:w="80" w:type="dxa"/>
            </w:tcMar>
            <w:vAlign w:val="center"/>
          </w:tcPr>
          <w:p w14:paraId="34B586C7">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+0.26 percentage points</w:t>
            </w:r>
          </w:p>
        </w:tc>
        <w:tc>
          <w:tcPr>
            <w:tcW w:w="2033" w:type="dxa"/>
            <w:tcMar>
              <w:top w:w="60" w:type="dxa"/>
              <w:left w:w="80" w:type="dxa"/>
              <w:bottom w:w="60" w:type="dxa"/>
              <w:right w:w="80" w:type="dxa"/>
            </w:tcMar>
            <w:vAlign w:val="center"/>
          </w:tcPr>
          <w:p w14:paraId="3D84829E">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−1.59 to +2.15</w:t>
            </w:r>
          </w:p>
        </w:tc>
        <w:tc>
          <w:tcPr>
            <w:tcW w:w="2033" w:type="dxa"/>
            <w:tcMar>
              <w:top w:w="60" w:type="dxa"/>
              <w:left w:w="80" w:type="dxa"/>
              <w:bottom w:w="60" w:type="dxa"/>
              <w:right w:w="80" w:type="dxa"/>
            </w:tcMar>
            <w:vAlign w:val="center"/>
          </w:tcPr>
          <w:p w14:paraId="11395E87">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.886</w:t>
            </w:r>
          </w:p>
        </w:tc>
        <w:tc>
          <w:tcPr>
            <w:tcW w:type="dxa" w:w="936"/>
          </w:tcPr>
          <w:p>
            <w:r>
              <w:t>2,000</w:t>
            </w:r>
          </w:p>
        </w:tc>
      </w:tr>
      <w:tr w14:paraId="436A5CF2">
        <w:trPr>
          <w:cantSplit/>
          <w:jc w:val="center"/>
        </w:trPr>
        <w:tc>
          <w:tcPr>
            <w:tcW w:w="2033" w:type="dxa"/>
            <w:tcMar>
              <w:top w:w="60" w:type="dxa"/>
              <w:left w:w="80" w:type="dxa"/>
              <w:bottom w:w="60" w:type="dxa"/>
              <w:right w:w="80" w:type="dxa"/>
            </w:tcMar>
            <w:vAlign w:val="center"/>
          </w:tcPr>
          <w:p w14:paraId="652DE890">
            <w:pPr>
              <w:spacing w:after="0"/>
              <w:rPr>
                <w:rFonts w:hint="default" w:ascii="Times New Roman Regular" w:hAnsi="Times New Roman Regular" w:cs="Times New Roman Regular"/>
              </w:rPr>
            </w:pPr>
            <w:r>
              <w:rPr>
                <w:rFonts w:hint="default" w:ascii="Times New Roman Regular" w:hAnsi="Times New Roman Regular" w:cs="Times New Roman Regular"/>
              </w:rPr>
              <w:t xml:space="preserve">Literature + Interventions + primary outcomes vs Literature + Registered primary outcomes</w:t>
            </w:r>
          </w:p>
        </w:tc>
        <w:tc>
          <w:tcPr>
            <w:tcW w:w="2033" w:type="dxa"/>
            <w:tcMar>
              <w:top w:w="60" w:type="dxa"/>
              <w:left w:w="80" w:type="dxa"/>
              <w:bottom w:w="60" w:type="dxa"/>
              <w:right w:w="80" w:type="dxa"/>
            </w:tcMar>
            <w:vAlign w:val="center"/>
          </w:tcPr>
          <w:p w14:paraId="4695B539">
            <w:pPr>
              <w:spacing w:after="0"/>
              <w:jc w:val="left"/>
              <w:rPr>
                <w:rFonts w:hint="default" w:ascii="Times New Roman Regular" w:hAnsi="Times New Roman Regular" w:cs="Times New Roman Regular"/>
              </w:rPr>
            </w:pPr>
            <w:r>
              <w:rPr>
                <w:rFonts w:hint="default" w:ascii="Times New Roman Regular" w:hAnsi="Times New Roman Regular" w:cs="Times New Roman Regular"/>
              </w:rPr>
              <w:t xml:space="preserve">Numerical/State Tolerance-Accuracy</w:t>
            </w:r>
          </w:p>
        </w:tc>
        <w:tc>
          <w:tcPr>
            <w:tcW w:w="2033" w:type="dxa"/>
            <w:tcMar>
              <w:top w:w="60" w:type="dxa"/>
              <w:left w:w="80" w:type="dxa"/>
              <w:bottom w:w="60" w:type="dxa"/>
              <w:right w:w="80" w:type="dxa"/>
            </w:tcMar>
            <w:vAlign w:val="center"/>
          </w:tcPr>
          <w:p w14:paraId="19B331AF">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+0.08 percentage points</w:t>
            </w:r>
          </w:p>
        </w:tc>
        <w:tc>
          <w:tcPr>
            <w:tcW w:w="2033" w:type="dxa"/>
            <w:tcMar>
              <w:top w:w="60" w:type="dxa"/>
              <w:left w:w="80" w:type="dxa"/>
              <w:bottom w:w="60" w:type="dxa"/>
              <w:right w:w="80" w:type="dxa"/>
            </w:tcMar>
            <w:vAlign w:val="center"/>
          </w:tcPr>
          <w:p w14:paraId="319B7C7D">
            <w:pPr>
              <w:spacing w:before="0"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−0.52 to +0.70</w:t>
            </w:r>
          </w:p>
        </w:tc>
        <w:tc>
          <w:tcPr>
            <w:tcW w:w="2033" w:type="dxa"/>
            <w:tcMar>
              <w:top w:w="60" w:type="dxa"/>
              <w:left w:w="80" w:type="dxa"/>
              <w:bottom w:w="60" w:type="dxa"/>
              <w:right w:w="80" w:type="dxa"/>
            </w:tcMar>
            <w:vAlign w:val="center"/>
          </w:tcPr>
          <w:p w14:paraId="06235B54">
            <w:pPr>
              <w:spacing w:before="0" w:after="0"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 xml:space="preserve">.904</w:t>
            </w:r>
          </w:p>
        </w:tc>
        <w:tc>
          <w:tcPr>
            <w:tcW w:type="dxa" w:w="936"/>
          </w:tcPr>
          <w:p>
            <w:r>
              <w:t>2,000</w:t>
            </w:r>
          </w:p>
        </w:tc>
      </w:tr>
    </w:tbl>
    <w:p w14:paraId="747368E8">
      <w:pPr>
        <w:keepLines/>
        <w:spacing w:before="100" w:after="80" w:line="252" w:lineRule="auto"/>
        <w:ind w:left="259" w:right="115" w:firstLine="0"/>
        <w:jc w:val="left"/>
        <w:rPr>
          <w:rFonts w:hint="default" w:ascii="Times New Roman Regular" w:hAnsi="Times New Roman Regular" w:cs="Times New Roman Regular"/>
        </w:rPr>
      </w:pPr>
      <w:r>
        <w:rPr>
          <w:rFonts w:hint="default" w:ascii="Times New Roman Regular" w:hAnsi="Times New Roman Regular" w:cs="Times New Roman Regular"/>
        </w:rPr>
        <w:t xml:space="preserve">Publication-level bootstrap summary. Under the current 90-publication evaluation protocol, Full TRACE-CU achieved a CU Detection F1 of 92.80% (95% CI 89.61%-95.75%), a Conditional Unit-Accuracy of 92.24% (95% CI 86.67%-96.76%), a Numerical/State Tolerance-Accuracy of 96.08% (95% CI 95.41%-96.73%), and an Evidence-Supported Item Rate of 93.54% (95% CI 91.75%-95.37%). All reported intervals used 2,000 valid publication-level bootstrap replicates.</w:t>
      </w:r>
    </w:p>
    <w:p w14:paraId="1E39041E">
      <w:pPr>
        <w:keepLines/>
        <w:spacing w:before="100" w:after="80" w:line="252" w:lineRule="auto"/>
        <w:ind w:left="259" w:right="115" w:firstLine="0"/>
        <w:jc w:val="left"/>
        <w:rPr>
          <w:rFonts w:hint="default" w:ascii="Times New Roman Regular" w:hAnsi="Times New Roman Regular" w:cs="Times New Roman Regular"/>
        </w:rPr>
      </w:pPr>
      <w:r>
        <w:rPr>
          <w:rFonts w:hint="default" w:ascii="Times New Roman Regular" w:hAnsi="Times New Roman Regular" w:cs="Times New Roman Regular"/>
          <w:b w:val="0"/>
          <w:i w:val="0"/>
        </w:rPr>
        <w:t xml:space="preserve">Paired-comparison interpretation. CU Detection F1 and </w:t>
      </w:r>
      <w:r>
        <w:rPr>
          <w:rFonts w:hint="default" w:ascii="Times New Roman Regular" w:hAnsi="Times New Roman Regular" w:cs="Times New Roman Regular"/>
          <w:b w:val="0"/>
          <w:i w:val="0"/>
        </w:rPr>
        <w:t xml:space="preserve">Conditional Unit-Accuracy</w:t>
      </w:r>
      <w:r>
        <w:rPr>
          <w:rFonts w:hint="default" w:ascii="Times New Roman Regular" w:hAnsi="Times New Roman Regular" w:cs="Times New Roman Regular"/>
          <w:b w:val="0"/>
          <w:i w:val="0"/>
        </w:rPr>
        <w:t xml:space="preserve"> were the principal CU-level metrics. The reported bootstrap P values are unadjusted. Comparisons beyond the prespecified principal baselines and component ablations should be interpreted as exploratory; no multiplicity-adjusted significance claim is made.</w:t>
      </w:r>
    </w:p>
    <w:p w14:paraId="0CEDEBE0">
      <w:pPr>
        <w:spacing w:after="80"/>
        <w:rPr>
          <w:rFonts w:hint="default" w:ascii="Times New Roman Regular" w:hAnsi="Times New Roman Regular" w:cs="Times New Roman Regular"/>
        </w:rPr>
      </w:pPr>
    </w:p>
    <w:p w14:paraId="1183AB2B">
      <w:pPr>
        <w:spacing w:after="80"/>
        <w:rPr>
          <w:rFonts w:hint="default" w:ascii="Times New Roman Regular" w:hAnsi="Times New Roman Regular" w:cs="Times New Roman Regular"/>
        </w:rPr>
      </w:pPr>
    </w:p>
    <w:p>
      <w:pPr>
        <w:pStyle w:val="3"/>
        <w:pageBreakBefore/>
      </w:pPr>
      <w:r>
        <w:t>2.5 Information-Item Performance Details</w:t>
      </w:r>
    </w:p>
    <w:p>
      <w:r>
        <w:t>The following tables provide the publication-level bootstrap details underlying main-text Table 3. Metrics are reported only for information classes supported by each method's native output scope.</w:t>
      </w:r>
    </w:p>
    <w:p>
      <w:pPr>
        <w:pStyle w:val="7"/>
        <w:jc w:val="center"/>
      </w:pPr>
      <w:r>
        <w:t>Table 13. Class-level PIO information-item performance with 95% confidence intervals</w:t>
      </w:r>
    </w:p>
    <w:tbl>
      <w:tblPr>
        <w:tblStyle w:val="5"/>
        <w:tblW w:type="auto" w:w="0"/>
        <w:tblLayout w:type="fixed"/>
        <w:tblLook w:firstColumn="1" w:firstRow="1" w:lastColumn="0" w:lastRow="0" w:noHBand="0" w:noVBand="1" w:val="04A0"/>
      </w:tblPr>
      <w:tblGrid>
        <w:gridCol w:w="1384"/>
        <w:gridCol w:w="1384"/>
        <w:gridCol w:w="1384"/>
        <w:gridCol w:w="1384"/>
        <w:gridCol w:w="1384"/>
        <w:gridCol w:w="1384"/>
      </w:tblGrid>
      <w:tr>
        <w:trPr>
          <w:tblHeader w:val="true"/>
        </w:trPr>
        <w:tc>
          <w:tcPr>
            <w:tcW w:type="dxa" w:w="2232"/>
            <w:vAlign w:val="center"/>
            <w:tcMar>
              <w:top w:w="55" w:type="dxa"/>
              <w:start w:w="70" w:type="dxa"/>
              <w:bottom w:w="55" w:type="dxa"/>
              <w:end w:w="70" w:type="dxa"/>
            </w:tcMar>
            <w:shd w:fill="D9EAF7"/>
          </w:tcPr>
          <w:p>
            <w:pPr>
              <w:spacing w:before="0" w:after="0" w:line="240" w:lineRule="auto"/>
              <w:jc w:val="left"/>
            </w:pPr>
            <w:r>
              <w:rPr>
                <w:rFonts w:ascii="Times New Roman" w:hAnsi="Times New Roman"/>
                <w:b/>
                <w:sz w:val="15"/>
              </w:rPr>
              <w:t>Method</w:t>
            </w:r>
          </w:p>
        </w:tc>
        <w:tc>
          <w:tcPr>
            <w:tcW w:type="dxa" w:w="691"/>
            <w:vAlign w:val="center"/>
            <w:tcMar>
              <w:top w:w="55" w:type="dxa"/>
              <w:start w:w="70" w:type="dxa"/>
              <w:bottom w:w="55" w:type="dxa"/>
              <w:end w:w="70" w:type="dxa"/>
            </w:tcMar>
            <w:shd w:fill="D9EAF7"/>
          </w:tcPr>
          <w:p>
            <w:pPr>
              <w:spacing w:before="0" w:after="0" w:line="240" w:lineRule="auto"/>
              <w:jc w:val="center"/>
            </w:pPr>
            <w:r>
              <w:rPr>
                <w:rFonts w:ascii="Times New Roman" w:hAnsi="Times New Roman"/>
                <w:b/>
                <w:sz w:val="15"/>
              </w:rPr>
              <w:t>PIO class</w:t>
            </w:r>
          </w:p>
        </w:tc>
        <w:tc>
          <w:tcPr>
            <w:tcW w:type="dxa" w:w="1930"/>
            <w:vAlign w:val="center"/>
            <w:tcMar>
              <w:top w:w="55" w:type="dxa"/>
              <w:start w:w="70" w:type="dxa"/>
              <w:bottom w:w="55" w:type="dxa"/>
              <w:end w:w="70" w:type="dxa"/>
            </w:tcMar>
            <w:shd w:fill="D9EAF7"/>
          </w:tcPr>
          <w:p>
            <w:pPr>
              <w:spacing w:before="0" w:after="0" w:line="240" w:lineRule="auto"/>
              <w:jc w:val="center"/>
            </w:pPr>
            <w:r>
              <w:rPr>
                <w:rFonts w:ascii="Times New Roman" w:hAnsi="Times New Roman"/>
                <w:b/>
                <w:sz w:val="15"/>
              </w:rPr>
              <w:t>Precision (95% CI)</w:t>
            </w:r>
          </w:p>
        </w:tc>
        <w:tc>
          <w:tcPr>
            <w:tcW w:type="dxa" w:w="1930"/>
            <w:vAlign w:val="center"/>
            <w:tcMar>
              <w:top w:w="55" w:type="dxa"/>
              <w:start w:w="70" w:type="dxa"/>
              <w:bottom w:w="55" w:type="dxa"/>
              <w:end w:w="70" w:type="dxa"/>
            </w:tcMar>
            <w:shd w:fill="D9EAF7"/>
          </w:tcPr>
          <w:p>
            <w:pPr>
              <w:spacing w:before="0" w:after="0" w:line="240" w:lineRule="auto"/>
              <w:jc w:val="center"/>
            </w:pPr>
            <w:r>
              <w:rPr>
                <w:rFonts w:ascii="Times New Roman" w:hAnsi="Times New Roman"/>
                <w:b/>
                <w:sz w:val="15"/>
              </w:rPr>
              <w:t>Recall (95% CI)</w:t>
            </w:r>
          </w:p>
        </w:tc>
        <w:tc>
          <w:tcPr>
            <w:tcW w:type="dxa" w:w="1930"/>
            <w:vAlign w:val="center"/>
            <w:tcMar>
              <w:top w:w="55" w:type="dxa"/>
              <w:start w:w="70" w:type="dxa"/>
              <w:bottom w:w="55" w:type="dxa"/>
              <w:end w:w="70" w:type="dxa"/>
            </w:tcMar>
            <w:shd w:fill="D9EAF7"/>
          </w:tcPr>
          <w:p>
            <w:pPr>
              <w:spacing w:before="0" w:after="0" w:line="240" w:lineRule="auto"/>
              <w:jc w:val="center"/>
            </w:pPr>
            <w:r>
              <w:rPr>
                <w:rFonts w:ascii="Times New Roman" w:hAnsi="Times New Roman"/>
                <w:b/>
                <w:sz w:val="15"/>
              </w:rPr>
              <w:t>F1 (95% CI)</w:t>
            </w:r>
          </w:p>
        </w:tc>
        <w:tc>
          <w:tcPr>
            <w:tcW w:type="dxa" w:w="648"/>
            <w:vAlign w:val="center"/>
            <w:tcMar>
              <w:top w:w="55" w:type="dxa"/>
              <w:start w:w="70" w:type="dxa"/>
              <w:bottom w:w="55" w:type="dxa"/>
              <w:end w:w="70" w:type="dxa"/>
            </w:tcMar>
            <w:shd w:fill="D9EAF7"/>
          </w:tcPr>
          <w:p>
            <w:pPr>
              <w:spacing w:before="0" w:after="0" w:line="240" w:lineRule="auto"/>
              <w:jc w:val="center"/>
            </w:pPr>
            <w:r>
              <w:rPr>
                <w:rFonts w:ascii="Times New Roman" w:hAnsi="Times New Roman"/>
                <w:b/>
                <w:sz w:val="15"/>
              </w:rPr>
              <w:t>Valid B</w:t>
            </w:r>
          </w:p>
        </w:tc>
      </w:tr>
      <w:tr>
        <w:tc>
          <w:tcPr>
            <w:tcW w:type="dxa" w:w="2232"/>
            <w:vAlign w:val="center"/>
            <w:tcMar>
              <w:top w:w="55" w:type="dxa"/>
              <w:start w:w="70" w:type="dxa"/>
              <w:bottom w:w="55" w:type="dxa"/>
              <w:end w:w="70" w:type="dxa"/>
            </w:tcMar>
          </w:tcPr>
          <w:p>
            <w:pPr>
              <w:spacing w:before="0" w:after="0" w:line="240" w:lineRule="auto"/>
              <w:jc w:val="left"/>
            </w:pPr>
            <w:r>
              <w:rPr>
                <w:rFonts w:ascii="Times New Roman" w:hAnsi="Times New Roman"/>
                <w:b w:val="0"/>
                <w:sz w:val="15"/>
              </w:rPr>
              <w:t>PubTator3</w:t>
            </w:r>
          </w:p>
        </w:tc>
        <w:tc>
          <w:tcPr>
            <w:tcW w:type="dxa" w:w="691"/>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P</w:t>
            </w:r>
          </w:p>
        </w:tc>
        <w:tc>
          <w:tcPr>
            <w:tcW w:type="dxa" w:w="1930"/>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88.77% (87.65%-89.92%)</w:t>
            </w:r>
          </w:p>
        </w:tc>
        <w:tc>
          <w:tcPr>
            <w:tcW w:type="dxa" w:w="1930"/>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85.95% (84.78%-87.18%)</w:t>
            </w:r>
          </w:p>
        </w:tc>
        <w:tc>
          <w:tcPr>
            <w:tcW w:type="dxa" w:w="1930"/>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87.34% (86.24%-88.43%)</w:t>
            </w:r>
          </w:p>
        </w:tc>
        <w:tc>
          <w:tcPr>
            <w:tcW w:type="dxa" w:w="648"/>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2,000</w:t>
            </w:r>
          </w:p>
        </w:tc>
      </w:tr>
      <w:tr>
        <w:tc>
          <w:tcPr>
            <w:tcW w:type="dxa" w:w="2232"/>
            <w:vAlign w:val="center"/>
            <w:tcMar>
              <w:top w:w="55" w:type="dxa"/>
              <w:start w:w="70" w:type="dxa"/>
              <w:bottom w:w="55" w:type="dxa"/>
              <w:end w:w="70" w:type="dxa"/>
            </w:tcMar>
            <w:shd w:fill="F7FAFC"/>
          </w:tcPr>
          <w:p>
            <w:pPr>
              <w:spacing w:before="0" w:after="0" w:line="240" w:lineRule="auto"/>
              <w:jc w:val="left"/>
            </w:pPr>
            <w:r>
              <w:rPr>
                <w:rFonts w:ascii="Times New Roman" w:hAnsi="Times New Roman"/>
                <w:b w:val="0"/>
                <w:sz w:val="15"/>
              </w:rPr>
              <w:t>PubTator3</w:t>
            </w:r>
          </w:p>
        </w:tc>
        <w:tc>
          <w:tcPr>
            <w:tcW w:type="dxa" w:w="691"/>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I</w:t>
            </w:r>
          </w:p>
        </w:tc>
        <w:tc>
          <w:tcPr>
            <w:tcW w:type="dxa" w:w="1930"/>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91.32% (90.05%-92.64%)</w:t>
            </w:r>
          </w:p>
        </w:tc>
        <w:tc>
          <w:tcPr>
            <w:tcW w:type="dxa" w:w="1930"/>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87.93% (86.70%-89.20%)</w:t>
            </w:r>
          </w:p>
        </w:tc>
        <w:tc>
          <w:tcPr>
            <w:tcW w:type="dxa" w:w="1930"/>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89.59% (88.45%-90.73%)</w:t>
            </w:r>
          </w:p>
        </w:tc>
        <w:tc>
          <w:tcPr>
            <w:tcW w:type="dxa" w:w="648"/>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2,000</w:t>
            </w:r>
          </w:p>
        </w:tc>
      </w:tr>
      <w:tr>
        <w:tc>
          <w:tcPr>
            <w:tcW w:type="dxa" w:w="2232"/>
            <w:vAlign w:val="center"/>
            <w:tcMar>
              <w:top w:w="55" w:type="dxa"/>
              <w:start w:w="70" w:type="dxa"/>
              <w:bottom w:w="55" w:type="dxa"/>
              <w:end w:w="70" w:type="dxa"/>
            </w:tcMar>
          </w:tcPr>
          <w:p>
            <w:pPr>
              <w:spacing w:before="0" w:after="0" w:line="240" w:lineRule="auto"/>
              <w:jc w:val="left"/>
            </w:pPr>
            <w:r>
              <w:rPr>
                <w:rFonts w:ascii="Times New Roman" w:hAnsi="Times New Roman"/>
                <w:b w:val="0"/>
                <w:sz w:val="15"/>
              </w:rPr>
              <w:t>PICOX</w:t>
            </w:r>
          </w:p>
        </w:tc>
        <w:tc>
          <w:tcPr>
            <w:tcW w:type="dxa" w:w="691"/>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P</w:t>
            </w:r>
          </w:p>
        </w:tc>
        <w:tc>
          <w:tcPr>
            <w:tcW w:type="dxa" w:w="1930"/>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90.86% (89.94%-91.80%)</w:t>
            </w:r>
          </w:p>
        </w:tc>
        <w:tc>
          <w:tcPr>
            <w:tcW w:type="dxa" w:w="1930"/>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89.74% (88.64%-90.80%)</w:t>
            </w:r>
          </w:p>
        </w:tc>
        <w:tc>
          <w:tcPr>
            <w:tcW w:type="dxa" w:w="1930"/>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90.30% (89.34%-91.25%)</w:t>
            </w:r>
          </w:p>
        </w:tc>
        <w:tc>
          <w:tcPr>
            <w:tcW w:type="dxa" w:w="648"/>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2,000</w:t>
            </w:r>
          </w:p>
        </w:tc>
      </w:tr>
      <w:tr>
        <w:tc>
          <w:tcPr>
            <w:tcW w:type="dxa" w:w="2232"/>
            <w:vAlign w:val="center"/>
            <w:tcMar>
              <w:top w:w="55" w:type="dxa"/>
              <w:start w:w="70" w:type="dxa"/>
              <w:bottom w:w="55" w:type="dxa"/>
              <w:end w:w="70" w:type="dxa"/>
            </w:tcMar>
            <w:shd w:fill="F7FAFC"/>
          </w:tcPr>
          <w:p>
            <w:pPr>
              <w:spacing w:before="0" w:after="0" w:line="240" w:lineRule="auto"/>
              <w:jc w:val="left"/>
            </w:pPr>
            <w:r>
              <w:rPr>
                <w:rFonts w:ascii="Times New Roman" w:hAnsi="Times New Roman"/>
                <w:b w:val="0"/>
                <w:sz w:val="15"/>
              </w:rPr>
              <w:t>PICOX</w:t>
            </w:r>
          </w:p>
        </w:tc>
        <w:tc>
          <w:tcPr>
            <w:tcW w:type="dxa" w:w="691"/>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I</w:t>
            </w:r>
          </w:p>
        </w:tc>
        <w:tc>
          <w:tcPr>
            <w:tcW w:type="dxa" w:w="1930"/>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90.55% (89.55%-91.60%)</w:t>
            </w:r>
          </w:p>
        </w:tc>
        <w:tc>
          <w:tcPr>
            <w:tcW w:type="dxa" w:w="1930"/>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88.99% (87.40%-90.44%)</w:t>
            </w:r>
          </w:p>
        </w:tc>
        <w:tc>
          <w:tcPr>
            <w:tcW w:type="dxa" w:w="1930"/>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89.77% (88.60%-90.88%)</w:t>
            </w:r>
          </w:p>
        </w:tc>
        <w:tc>
          <w:tcPr>
            <w:tcW w:type="dxa" w:w="648"/>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2,000</w:t>
            </w:r>
          </w:p>
        </w:tc>
      </w:tr>
      <w:tr>
        <w:tc>
          <w:tcPr>
            <w:tcW w:type="dxa" w:w="2232"/>
            <w:vAlign w:val="center"/>
            <w:tcMar>
              <w:top w:w="55" w:type="dxa"/>
              <w:start w:w="70" w:type="dxa"/>
              <w:bottom w:w="55" w:type="dxa"/>
              <w:end w:w="70" w:type="dxa"/>
            </w:tcMar>
          </w:tcPr>
          <w:p>
            <w:pPr>
              <w:spacing w:before="0" w:after="0" w:line="240" w:lineRule="auto"/>
              <w:jc w:val="left"/>
            </w:pPr>
            <w:r>
              <w:rPr>
                <w:rFonts w:ascii="Times New Roman" w:hAnsi="Times New Roman"/>
                <w:b w:val="0"/>
                <w:sz w:val="15"/>
              </w:rPr>
              <w:t>PICOX</w:t>
            </w:r>
          </w:p>
        </w:tc>
        <w:tc>
          <w:tcPr>
            <w:tcW w:type="dxa" w:w="691"/>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O</w:t>
            </w:r>
          </w:p>
        </w:tc>
        <w:tc>
          <w:tcPr>
            <w:tcW w:type="dxa" w:w="1930"/>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91.62% (90.93%-92.29%)</w:t>
            </w:r>
          </w:p>
        </w:tc>
        <w:tc>
          <w:tcPr>
            <w:tcW w:type="dxa" w:w="1930"/>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89.84% (88.70%-90.82%)</w:t>
            </w:r>
          </w:p>
        </w:tc>
        <w:tc>
          <w:tcPr>
            <w:tcW w:type="dxa" w:w="1930"/>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90.72% (89.82%-91.50%)</w:t>
            </w:r>
          </w:p>
        </w:tc>
        <w:tc>
          <w:tcPr>
            <w:tcW w:type="dxa" w:w="648"/>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2,000</w:t>
            </w:r>
          </w:p>
        </w:tc>
      </w:tr>
      <w:tr>
        <w:tc>
          <w:tcPr>
            <w:tcW w:type="dxa" w:w="2232"/>
            <w:vAlign w:val="center"/>
            <w:tcMar>
              <w:top w:w="55" w:type="dxa"/>
              <w:start w:w="70" w:type="dxa"/>
              <w:bottom w:w="55" w:type="dxa"/>
              <w:end w:w="70" w:type="dxa"/>
            </w:tcMar>
            <w:shd w:fill="F7FAFC"/>
          </w:tcPr>
          <w:p>
            <w:pPr>
              <w:spacing w:before="0" w:after="0" w:line="240" w:lineRule="auto"/>
              <w:jc w:val="left"/>
            </w:pPr>
            <w:r>
              <w:rPr>
                <w:rFonts w:ascii="Times New Roman" w:hAnsi="Times New Roman"/>
                <w:b w:val="0"/>
                <w:sz w:val="15"/>
              </w:rPr>
              <w:t>TRACE-CU information layer</w:t>
            </w:r>
          </w:p>
        </w:tc>
        <w:tc>
          <w:tcPr>
            <w:tcW w:type="dxa" w:w="691"/>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P</w:t>
            </w:r>
          </w:p>
        </w:tc>
        <w:tc>
          <w:tcPr>
            <w:tcW w:type="dxa" w:w="1930"/>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91.48% (90.70%-92.36%)</w:t>
            </w:r>
          </w:p>
        </w:tc>
        <w:tc>
          <w:tcPr>
            <w:tcW w:type="dxa" w:w="1930"/>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90.36% (89.20%-91.46%)</w:t>
            </w:r>
          </w:p>
        </w:tc>
        <w:tc>
          <w:tcPr>
            <w:tcW w:type="dxa" w:w="1930"/>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90.92% (90.04%-91.85%)</w:t>
            </w:r>
          </w:p>
        </w:tc>
        <w:tc>
          <w:tcPr>
            <w:tcW w:type="dxa" w:w="648"/>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2,000</w:t>
            </w:r>
          </w:p>
        </w:tc>
      </w:tr>
      <w:tr>
        <w:tc>
          <w:tcPr>
            <w:tcW w:type="dxa" w:w="2232"/>
            <w:vAlign w:val="center"/>
            <w:tcMar>
              <w:top w:w="55" w:type="dxa"/>
              <w:start w:w="70" w:type="dxa"/>
              <w:bottom w:w="55" w:type="dxa"/>
              <w:end w:w="70" w:type="dxa"/>
            </w:tcMar>
          </w:tcPr>
          <w:p>
            <w:pPr>
              <w:spacing w:before="0" w:after="0" w:line="240" w:lineRule="auto"/>
              <w:jc w:val="left"/>
            </w:pPr>
            <w:r>
              <w:rPr>
                <w:rFonts w:ascii="Times New Roman" w:hAnsi="Times New Roman"/>
                <w:b w:val="0"/>
                <w:sz w:val="15"/>
              </w:rPr>
              <w:t>TRACE-CU information layer</w:t>
            </w:r>
          </w:p>
        </w:tc>
        <w:tc>
          <w:tcPr>
            <w:tcW w:type="dxa" w:w="691"/>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I</w:t>
            </w:r>
          </w:p>
        </w:tc>
        <w:tc>
          <w:tcPr>
            <w:tcW w:type="dxa" w:w="1930"/>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92.06% (90.95%-93.20%)</w:t>
            </w:r>
          </w:p>
        </w:tc>
        <w:tc>
          <w:tcPr>
            <w:tcW w:type="dxa" w:w="1930"/>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90.72% (89.37%-92.02%)</w:t>
            </w:r>
          </w:p>
        </w:tc>
        <w:tc>
          <w:tcPr>
            <w:tcW w:type="dxa" w:w="1930"/>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91.38% (90.19%-92.54%)</w:t>
            </w:r>
          </w:p>
        </w:tc>
        <w:tc>
          <w:tcPr>
            <w:tcW w:type="dxa" w:w="648"/>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2,000</w:t>
            </w:r>
          </w:p>
        </w:tc>
      </w:tr>
      <w:tr>
        <w:tc>
          <w:tcPr>
            <w:tcW w:type="dxa" w:w="2232"/>
            <w:vAlign w:val="center"/>
            <w:tcMar>
              <w:top w:w="55" w:type="dxa"/>
              <w:start w:w="70" w:type="dxa"/>
              <w:bottom w:w="55" w:type="dxa"/>
              <w:end w:w="70" w:type="dxa"/>
            </w:tcMar>
            <w:shd w:fill="F7FAFC"/>
          </w:tcPr>
          <w:p>
            <w:pPr>
              <w:spacing w:before="0" w:after="0" w:line="240" w:lineRule="auto"/>
              <w:jc w:val="left"/>
            </w:pPr>
            <w:r>
              <w:rPr>
                <w:rFonts w:ascii="Times New Roman" w:hAnsi="Times New Roman"/>
                <w:b w:val="0"/>
                <w:sz w:val="15"/>
              </w:rPr>
              <w:t>TRACE-CU information layer</w:t>
            </w:r>
          </w:p>
        </w:tc>
        <w:tc>
          <w:tcPr>
            <w:tcW w:type="dxa" w:w="691"/>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O</w:t>
            </w:r>
          </w:p>
        </w:tc>
        <w:tc>
          <w:tcPr>
            <w:tcW w:type="dxa" w:w="1930"/>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92.21% (91.60%-92.88%)</w:t>
            </w:r>
          </w:p>
        </w:tc>
        <w:tc>
          <w:tcPr>
            <w:tcW w:type="dxa" w:w="1930"/>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90.84% (89.88%-91.70%)</w:t>
            </w:r>
          </w:p>
        </w:tc>
        <w:tc>
          <w:tcPr>
            <w:tcW w:type="dxa" w:w="1930"/>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91.52% (90.76%-92.23%)</w:t>
            </w:r>
          </w:p>
        </w:tc>
        <w:tc>
          <w:tcPr>
            <w:tcW w:type="dxa" w:w="648"/>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2,000</w:t>
            </w:r>
          </w:p>
        </w:tc>
      </w:tr>
    </w:tbl>
    <w:p>
      <w:pPr>
        <w:pStyle w:val="7"/>
        <w:jc w:val="center"/>
      </w:pPr>
      <w:r>
        <w:t>Table 14. Aggregate PIO performance and paired comparison with PICOX</w:t>
      </w:r>
    </w:p>
    <w:tbl>
      <w:tblPr>
        <w:tblStyle w:val="5"/>
        <w:tblW w:type="auto" w:w="0"/>
        <w:tblLayout w:type="fixed"/>
        <w:tblLook w:firstColumn="1" w:firstRow="1" w:lastColumn="0" w:lastRow="0" w:noHBand="0" w:noVBand="1" w:val="04A0"/>
      </w:tblPr>
      <w:tblGrid>
        <w:gridCol w:w="1187"/>
        <w:gridCol w:w="1187"/>
        <w:gridCol w:w="1187"/>
        <w:gridCol w:w="1187"/>
        <w:gridCol w:w="1187"/>
        <w:gridCol w:w="1187"/>
        <w:gridCol w:w="1187"/>
      </w:tblGrid>
      <w:tr>
        <w:trPr>
          <w:tblHeader w:val="true"/>
        </w:trPr>
        <w:tc>
          <w:tcPr>
            <w:tcW w:type="dxa" w:w="1512"/>
            <w:vAlign w:val="center"/>
            <w:tcMar>
              <w:top w:w="55" w:type="dxa"/>
              <w:start w:w="70" w:type="dxa"/>
              <w:bottom w:w="55" w:type="dxa"/>
              <w:end w:w="70" w:type="dxa"/>
            </w:tcMar>
            <w:shd w:fill="D9EAF7"/>
          </w:tcPr>
          <w:p>
            <w:pPr>
              <w:spacing w:before="0" w:after="0" w:line="240" w:lineRule="auto"/>
              <w:jc w:val="left"/>
            </w:pPr>
            <w:r>
              <w:rPr>
                <w:rFonts w:ascii="Times New Roman" w:hAnsi="Times New Roman"/>
                <w:b/>
                <w:sz w:val="15"/>
              </w:rPr>
              <w:t>Metric</w:t>
            </w:r>
          </w:p>
        </w:tc>
        <w:tc>
          <w:tcPr>
            <w:tcW w:type="dxa" w:w="1872"/>
            <w:vAlign w:val="center"/>
            <w:tcMar>
              <w:top w:w="55" w:type="dxa"/>
              <w:start w:w="70" w:type="dxa"/>
              <w:bottom w:w="55" w:type="dxa"/>
              <w:end w:w="70" w:type="dxa"/>
            </w:tcMar>
            <w:shd w:fill="D9EAF7"/>
          </w:tcPr>
          <w:p>
            <w:pPr>
              <w:spacing w:before="0" w:after="0" w:line="240" w:lineRule="auto"/>
              <w:jc w:val="center"/>
            </w:pPr>
            <w:r>
              <w:rPr>
                <w:rFonts w:ascii="Times New Roman" w:hAnsi="Times New Roman"/>
                <w:b/>
                <w:sz w:val="15"/>
              </w:rPr>
              <w:t>PICOX (95% CI)</w:t>
            </w:r>
          </w:p>
        </w:tc>
        <w:tc>
          <w:tcPr>
            <w:tcW w:type="dxa" w:w="1872"/>
            <w:vAlign w:val="center"/>
            <w:tcMar>
              <w:top w:w="55" w:type="dxa"/>
              <w:start w:w="70" w:type="dxa"/>
              <w:bottom w:w="55" w:type="dxa"/>
              <w:end w:w="70" w:type="dxa"/>
            </w:tcMar>
            <w:shd w:fill="D9EAF7"/>
          </w:tcPr>
          <w:p>
            <w:pPr>
              <w:spacing w:before="0" w:after="0" w:line="240" w:lineRule="auto"/>
              <w:jc w:val="center"/>
            </w:pPr>
            <w:r>
              <w:rPr>
                <w:rFonts w:ascii="Times New Roman" w:hAnsi="Times New Roman"/>
                <w:b/>
                <w:sz w:val="15"/>
              </w:rPr>
              <w:t>TRACE-CU (95% CI)</w:t>
            </w:r>
          </w:p>
        </w:tc>
        <w:tc>
          <w:tcPr>
            <w:tcW w:type="dxa" w:w="1008"/>
            <w:vAlign w:val="center"/>
            <w:tcMar>
              <w:top w:w="55" w:type="dxa"/>
              <w:start w:w="70" w:type="dxa"/>
              <w:bottom w:w="55" w:type="dxa"/>
              <w:end w:w="70" w:type="dxa"/>
            </w:tcMar>
            <w:shd w:fill="D9EAF7"/>
          </w:tcPr>
          <w:p>
            <w:pPr>
              <w:spacing w:before="0" w:after="0" w:line="240" w:lineRule="auto"/>
              <w:jc w:val="center"/>
            </w:pPr>
            <w:r>
              <w:rPr>
                <w:rFonts w:ascii="Times New Roman" w:hAnsi="Times New Roman"/>
                <w:b/>
                <w:sz w:val="15"/>
              </w:rPr>
              <w:t>Difference, pp</w:t>
            </w:r>
          </w:p>
        </w:tc>
        <w:tc>
          <w:tcPr>
            <w:tcW w:type="dxa" w:w="1440"/>
            <w:vAlign w:val="center"/>
            <w:tcMar>
              <w:top w:w="55" w:type="dxa"/>
              <w:start w:w="70" w:type="dxa"/>
              <w:bottom w:w="55" w:type="dxa"/>
              <w:end w:w="70" w:type="dxa"/>
            </w:tcMar>
            <w:shd w:fill="D9EAF7"/>
          </w:tcPr>
          <w:p>
            <w:pPr>
              <w:spacing w:before="0" w:after="0" w:line="240" w:lineRule="auto"/>
              <w:jc w:val="center"/>
            </w:pPr>
            <w:r>
              <w:rPr>
                <w:rFonts w:ascii="Times New Roman" w:hAnsi="Times New Roman"/>
                <w:b/>
                <w:sz w:val="15"/>
              </w:rPr>
              <w:t>Paired 95% CI, pp</w:t>
            </w:r>
          </w:p>
        </w:tc>
        <w:tc>
          <w:tcPr>
            <w:tcW w:type="dxa" w:w="749"/>
            <w:vAlign w:val="center"/>
            <w:tcMar>
              <w:top w:w="55" w:type="dxa"/>
              <w:start w:w="70" w:type="dxa"/>
              <w:bottom w:w="55" w:type="dxa"/>
              <w:end w:w="70" w:type="dxa"/>
            </w:tcMar>
            <w:shd w:fill="D9EAF7"/>
          </w:tcPr>
          <w:p>
            <w:pPr>
              <w:spacing w:before="0" w:after="0" w:line="240" w:lineRule="auto"/>
              <w:jc w:val="center"/>
            </w:pPr>
            <w:r>
              <w:rPr>
                <w:rFonts w:ascii="Times New Roman" w:hAnsi="Times New Roman"/>
                <w:b/>
                <w:sz w:val="15"/>
              </w:rPr>
              <w:t>P value</w:t>
            </w:r>
          </w:p>
        </w:tc>
        <w:tc>
          <w:tcPr>
            <w:tcW w:type="dxa" w:w="691"/>
            <w:vAlign w:val="center"/>
            <w:tcMar>
              <w:top w:w="55" w:type="dxa"/>
              <w:start w:w="70" w:type="dxa"/>
              <w:bottom w:w="55" w:type="dxa"/>
              <w:end w:w="70" w:type="dxa"/>
            </w:tcMar>
            <w:shd w:fill="D9EAF7"/>
          </w:tcPr>
          <w:p>
            <w:pPr>
              <w:spacing w:before="0" w:after="0" w:line="240" w:lineRule="auto"/>
              <w:jc w:val="center"/>
            </w:pPr>
            <w:r>
              <w:rPr>
                <w:rFonts w:ascii="Times New Roman" w:hAnsi="Times New Roman"/>
                <w:b/>
                <w:sz w:val="15"/>
              </w:rPr>
              <w:t>Valid B</w:t>
            </w:r>
          </w:p>
        </w:tc>
      </w:tr>
      <w:tr>
        <w:tc>
          <w:tcPr>
            <w:tcW w:type="dxa" w:w="1512"/>
            <w:vAlign w:val="center"/>
            <w:tcMar>
              <w:top w:w="55" w:type="dxa"/>
              <w:start w:w="70" w:type="dxa"/>
              <w:bottom w:w="55" w:type="dxa"/>
              <w:end w:w="70" w:type="dxa"/>
            </w:tcMar>
          </w:tcPr>
          <w:p>
            <w:pPr>
              <w:spacing w:before="0" w:after="0" w:line="240" w:lineRule="auto"/>
              <w:jc w:val="left"/>
            </w:pPr>
            <w:r>
              <w:rPr>
                <w:rFonts w:ascii="Times New Roman" w:hAnsi="Times New Roman"/>
                <w:b w:val="0"/>
                <w:sz w:val="15"/>
              </w:rPr>
              <w:t>PIO Macro F1</w:t>
            </w:r>
          </w:p>
        </w:tc>
        <w:tc>
          <w:tcPr>
            <w:tcW w:type="dxa" w:w="1872"/>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90.26% (89.33%-91.09%)</w:t>
            </w:r>
          </w:p>
        </w:tc>
        <w:tc>
          <w:tcPr>
            <w:tcW w:type="dxa" w:w="1872"/>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91.27% (90.44%-92.06%)</w:t>
            </w:r>
          </w:p>
        </w:tc>
        <w:tc>
          <w:tcPr>
            <w:tcW w:type="dxa" w:w="1008"/>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+1.01</w:t>
            </w:r>
          </w:p>
        </w:tc>
        <w:tc>
          <w:tcPr>
            <w:tcW w:type="dxa" w:w="1440"/>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+0.65 to +1.37</w:t>
            </w:r>
          </w:p>
        </w:tc>
        <w:tc>
          <w:tcPr>
            <w:tcW w:type="dxa" w:w="749"/>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&lt;.001</w:t>
            </w:r>
          </w:p>
        </w:tc>
        <w:tc>
          <w:tcPr>
            <w:tcW w:type="dxa" w:w="691"/>
            <w:vAlign w:val="center"/>
            <w:tcMar>
              <w:top w:w="55" w:type="dxa"/>
              <w:start w:w="70" w:type="dxa"/>
              <w:bottom w:w="55" w:type="dxa"/>
              <w:end w:w="70" w:type="dxa"/>
            </w:tcMar>
          </w:tcPr>
          <w:p>
            <w:pPr>
              <w:spacing w:before="0" w:after="0" w:line="240" w:lineRule="auto"/>
              <w:jc w:val="center"/>
            </w:pPr>
            <w:r>
              <w:rPr>
                <w:rFonts w:ascii="Times New Roman" w:hAnsi="Times New Roman"/>
                <w:b w:val="0"/>
                <w:sz w:val="15"/>
              </w:rPr>
              <w:t>2,000</w:t>
            </w:r>
          </w:p>
        </w:tc>
      </w:tr>
      <w:tr>
        <w:tc>
          <w:tcPr>
            <w:tcW w:type="dxa" w:w="1512"/>
            <w:vAlign w:val="center"/>
            <w:tcMar>
              <w:top w:w="55" w:type="dxa"/>
              <w:start w:w="70" w:type="dxa"/>
              <w:bottom w:w="55" w:type="dxa"/>
              <w:end w:w="70" w:type="dxa"/>
            </w:tcMar>
            <w:shd w:fill="F7FAFC"/>
          </w:tcPr>
          <w:p>
            <w:pPr>
              <w:spacing w:before="0" w:after="0" w:line="240" w:lineRule="auto"/>
              <w:jc w:val="left"/>
            </w:pPr>
            <w:r>
              <w:rPr>
                <w:rFonts w:ascii="Times New Roman" w:hAnsi="Times New Roman"/>
                <w:b w:val="0"/>
                <w:sz w:val="15"/>
              </w:rPr>
              <w:t>PIO Micro F1</w:t>
            </w:r>
          </w:p>
        </w:tc>
        <w:tc>
          <w:tcPr>
            <w:tcW w:type="dxa" w:w="1872"/>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90.42% (89.51%-91.21%)</w:t>
            </w:r>
          </w:p>
        </w:tc>
        <w:tc>
          <w:tcPr>
            <w:tcW w:type="dxa" w:w="1872"/>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91.34% (90.55%-92.07%)</w:t>
            </w:r>
          </w:p>
        </w:tc>
        <w:tc>
          <w:tcPr>
            <w:tcW w:type="dxa" w:w="1008"/>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+0.92</w:t>
            </w:r>
          </w:p>
        </w:tc>
        <w:tc>
          <w:tcPr>
            <w:tcW w:type="dxa" w:w="1440"/>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+0.57 to +1.27</w:t>
            </w:r>
          </w:p>
        </w:tc>
        <w:tc>
          <w:tcPr>
            <w:tcW w:type="dxa" w:w="749"/>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&lt;.001</w:t>
            </w:r>
          </w:p>
        </w:tc>
        <w:tc>
          <w:tcPr>
            <w:tcW w:type="dxa" w:w="691"/>
            <w:vAlign w:val="center"/>
            <w:tcMar>
              <w:top w:w="55" w:type="dxa"/>
              <w:start w:w="70" w:type="dxa"/>
              <w:bottom w:w="55" w:type="dxa"/>
              <w:end w:w="70" w:type="dxa"/>
            </w:tcMar>
            <w:shd w:fill="F7FAFC"/>
          </w:tcPr>
          <w:p>
            <w:pPr>
              <w:spacing w:before="0" w:after="0" w:line="240" w:lineRule="auto"/>
              <w:jc w:val="center"/>
            </w:pPr>
            <w:r>
              <w:rPr>
                <w:rFonts w:ascii="Times New Roman" w:hAnsi="Times New Roman"/>
                <w:b w:val="0"/>
                <w:sz w:val="15"/>
              </w:rPr>
              <w:t>2,000</w:t>
            </w:r>
          </w:p>
        </w:tc>
      </w:tr>
    </w:tbl>
    <w:p>
      <w:r>
        <w:t>Paired differences are TRACE-CU information layer minus PICOX in percentage points. Confidence intervals and two-sided P values were calculated from the same 2,000 PMID-level bootstrap resamples.</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trackRevisions/>
  <w:zoom w:percent="1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E9F1324"/>
    <w:rsid w:val="1BDB411A"/>
    <w:rsid w:val="5BDE5BE9"/>
    <w:rsid w:val="7FF3E1BD"/>
    <w:rsid w:val="BBFF7F35"/>
    <w:rsid w:val="BE9F1324"/>
    <w:rsid w:val="CFFF4B25"/>
    <w:rsid w:val="DAF68047"/>
    <w:rsid w:val="DAFD3B65"/>
    <w:rsid w:val="DEDFD5ED"/>
    <w:rsid w:val="F8A7186C"/>
    <w:rsid w:val="F9E2F792"/>
    <w:rsid w:val="FEBFDD78"/>
    <w:rsid w:val="FFF78E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Arial" w:hAnsi="Arial" w:eastAsia="Times New Roman" w:cstheme="minorBidi"/>
      <w:sz w:val="19"/>
      <w:szCs w:val="22"/>
      <w:lang w:val="en-US" w:eastAsia="en-US" w:bidi="ar-SA"/>
    </w:rPr>
  </w:style>
  <w:style w:type="paragraph" w:styleId="2">
    <w:name w:val="heading 1"/>
    <w:basedOn w:val="1"/>
    <w:next w:val="1"/>
    <w:qFormat/>
    <w:uiPriority w:val="9"/>
    <w:pPr>
      <w:keepNext/>
      <w:keepLines/>
      <w:spacing w:before="200" w:after="100"/>
      <w:outlineLvl w:val="0"/>
    </w:pPr>
    <w:rPr>
      <w:rFonts w:asciiTheme="majorHAnsi" w:hAnsiTheme="majorHAnsi" w:eastAsiaTheme="majorEastAsia" w:cstheme="majorBidi"/>
      <w:b/>
      <w:bCs/>
      <w:color w:val="17365D"/>
      <w:sz w:val="28"/>
      <w:szCs w:val="28"/>
    </w:rPr>
  </w:style>
  <w:style w:type="paragraph" w:styleId="3">
    <w:name w:val="heading 2"/>
    <w:basedOn w:val="1"/>
    <w:next w:val="1"/>
    <w:unhideWhenUsed/>
    <w:qFormat/>
    <w:uiPriority w:val="9"/>
    <w:pPr>
      <w:keepNext/>
      <w:keepLines/>
      <w:spacing w:before="160" w:after="60"/>
      <w:outlineLvl w:val="1"/>
    </w:pPr>
    <w:rPr>
      <w:rFonts w:asciiTheme="majorHAnsi" w:hAnsiTheme="majorHAnsi" w:eastAsiaTheme="majorEastAsia" w:cstheme="majorBidi"/>
      <w:b/>
      <w:bCs/>
      <w:color w:val="4874CB" w:themeColor="accent1"/>
      <w:sz w:val="23"/>
      <w:szCs w:val="26"/>
      <w14:textFill>
        <w14:solidFill>
          <w14:schemeClr w14:val="accent1"/>
        </w14:solidFill>
      </w14:textFill>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table" w:styleId="5">
    <w:name w:val="Table Grid"/>
    <w:basedOn w:val="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7">
    <w:name w:val="Caption Custom"/>
    <w:uiPriority w:val="0"/>
    <w:pPr>
      <w:keepNext/>
      <w:spacing w:before="80" w:after="60" w:line="276" w:lineRule="auto"/>
      <w:jc w:val="center"/>
    </w:pPr>
    <w:rPr>
      <w:rFonts w:ascii="Arial" w:hAnsi="Arial" w:eastAsia="Times New Roman" w:cstheme="minorBidi"/>
      <w:sz w:val="17"/>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2026-07-13T13:44:00Z</dcterms:created>
  <dc:creator>王龙超</dc:creator>
  <cp:lastModifiedBy>王龙超</cp:lastModifiedBy>
  <dcterms:modified xsi:type="dcterms:W3CDTF">2026-07-12T04:48:53Z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B53362D1282B2A32B697526ACACE8242_43</vt:lpwstr>
  </property>
</Properties>
</file>