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E6AD16">
      <w:pPr>
        <w:pStyle w:val="2"/>
        <w:keepNext/>
        <w:pageBreakBefore/>
        <w:jc w:val="center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ascii="Times New Roman" w:hAnsi="Times New Roman" w:eastAsia="Times New Roman"/>
        </w:rPr>
        <w:t xml:space="preserve">Supplementary Material 4: Computational Cost Analysis</w:t>
      </w:r>
    </w:p>
    <w:p w14:paraId="7975ECDC">
      <w:pPr>
        <w:keepLines w:val="0"/>
        <w:widowControl/>
        <w:rPr>
          <w:rFonts w:hint="default" w:ascii="Times New Roman Regular" w:hAnsi="Times New Roman Regular" w:cs="Times New Roman Regular"/>
        </w:rPr>
      </w:pPr>
      <w:r>
        <w:rPr>
          <w:rFonts w:ascii="Times New Roman" w:hAnsi="Times New Roman" w:eastAsia="Times New Roman"/>
        </w:rPr>
        <w:t xml:space="preserve">Table 1 reports computational costs for the 90-publication held-out evaluation under the frozen model configurations described in Supplementary Material 3. Full TRACE-CU used DeepSeek-V3.2 in non-thinking mode; therefore, no reasoning tokens were generated or billed for the proposed framework.</w:t>
      </w:r>
    </w:p>
    <w:p w14:paraId="4D4FFF31">
      <w:pPr>
        <w:pStyle w:val="7"/>
        <w:keepNext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Table </w:t>
      </w:r>
      <w:r>
        <w:rPr>
          <w:rFonts w:hint="eastAsia" w:ascii="Times New Roman Regular" w:hAnsi="Times New Roman Regular" w:eastAsia="宋体" w:cs="Times New Roman Regular"/>
          <w:lang w:val="en-US" w:eastAsia="zh-CN"/>
        </w:rPr>
        <w:t>1</w:t>
      </w:r>
      <w:r>
        <w:rPr>
          <w:rFonts w:hint="default" w:ascii="Times New Roman Regular" w:hAnsi="Times New Roman Regular" w:cs="Times New Roman Regular"/>
        </w:rPr>
        <w:t>. Inference cost for the 90-publication evaluation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B55E30">
        <w:trPr>
          <w:cantSplit/>
          <w:trHeight w:val="0" w:hRule="atLeast"/>
          <w:tblHeader/>
        </w:trPr>
        <w:tc>
          <w:tcPr>
            <w:tcW w:w="1324" w:type="dxa"/>
            <w:shd w:val="clear" w:color="auto" w:fill="D9E2F3"/>
            <w:vAlign w:val="center"/>
          </w:tcPr>
          <w:p w14:paraId="47A27025">
            <w:pPr>
              <w:spacing w:before="0"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sz w:val="15"/>
              </w:rPr>
              <w:t>Method</w:t>
            </w:r>
          </w:p>
        </w:tc>
        <w:tc>
          <w:tcPr>
            <w:tcW w:w="1512" w:type="dxa"/>
            <w:shd w:val="clear" w:color="auto" w:fill="D9E2F3"/>
            <w:vAlign w:val="center"/>
          </w:tcPr>
          <w:p w14:paraId="3B057487">
            <w:pPr>
              <w:spacing w:before="0"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sz w:val="15"/>
              </w:rPr>
              <w:t>Execution mode</w:t>
            </w:r>
          </w:p>
        </w:tc>
        <w:tc>
          <w:tcPr>
            <w:tcW w:w="2088" w:type="dxa"/>
            <w:shd w:val="clear" w:color="auto" w:fill="D9E2F3"/>
            <w:vAlign w:val="center"/>
          </w:tcPr>
          <w:p w14:paraId="69C540DE">
            <w:pPr>
              <w:spacing w:before="0"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sz w:val="15"/>
              </w:rPr>
              <w:t>Token workload, 90 publications</w:t>
            </w:r>
          </w:p>
        </w:tc>
        <w:tc>
          <w:tcPr>
            <w:tcW w:w="1944" w:type="dxa"/>
            <w:shd w:val="clear" w:color="auto" w:fill="D9E2F3"/>
            <w:vAlign w:val="center"/>
          </w:tcPr>
          <w:p w14:paraId="276E34D6">
            <w:pPr>
              <w:spacing w:before="0"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sz w:val="15"/>
              </w:rPr>
              <w:t>Archived list-price basis</w:t>
            </w:r>
          </w:p>
        </w:tc>
        <w:tc>
          <w:tcPr>
            <w:tcW w:w="1440" w:type="dxa"/>
            <w:shd w:val="clear" w:color="auto" w:fill="D9E2F3"/>
            <w:vAlign w:val="center"/>
          </w:tcPr>
          <w:p w14:paraId="14CEDB7B">
            <w:pPr>
              <w:spacing w:before="0"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sz w:val="15"/>
              </w:rPr>
              <w:t>Cost</w:t>
            </w:r>
          </w:p>
        </w:tc>
      </w:tr>
      <w:tr w14:paraId="48831DE1">
        <w:trPr>
          <w:cantSplit/>
          <w:trHeight w:val="0" w:hRule="atLeast"/>
        </w:trPr>
        <w:tc>
          <w:tcPr>
            <w:tcW w:w="1324" w:type="dxa"/>
            <w:vAlign w:val="center"/>
          </w:tcPr>
          <w:p w14:paraId="6565F2E8">
            <w:pPr>
              <w:spacing w:before="0"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sz w:val="15"/>
              </w:rPr>
              <w:t>Full TRACE-CU</w:t>
            </w:r>
          </w:p>
        </w:tc>
        <w:tc>
          <w:tcPr>
            <w:tcW w:w="1512" w:type="dxa"/>
            <w:vAlign w:val="center"/>
          </w:tcPr>
          <w:p w14:paraId="63717A06">
            <w:pPr>
              <w:spacing w:before="0"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sz w:val="15"/>
              </w:rPr>
              <w:t>DeepSeek-V3.2; non-thinking; staged structured extraction</w:t>
            </w:r>
          </w:p>
        </w:tc>
        <w:tc>
          <w:tcPr>
            <w:tcW w:w="2088" w:type="dxa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sz w:val="16"/>
              </w:rPr>
              <w:t>Input: 981,000 cumulative tokens (10,900 per publication)</w:t>
              <w:br/>
              <w:t>Output: 342,000 visible/billable tokens (3,800 per publication)</w:t>
              <w:br/>
              <w:t>Reasoning: 0</w:t>
            </w:r>
          </w:p>
        </w:tc>
        <w:tc>
          <w:tcPr>
            <w:tcW w:w="1944" w:type="dxa"/>
            <w:vAlign w:val="center"/>
          </w:tcPr>
          <w:p w14:paraId="23E04DDC">
            <w:pPr>
              <w:spacing w:before="0"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sz w:val="15"/>
              </w:rPr>
              <w:t>US$0.28 per 1M uncached input tokens; US$0.42 per 1M output tokens; no cache discount applied</w:t>
            </w:r>
          </w:p>
        </w:tc>
        <w:tc>
          <w:tcPr>
            <w:tcW w:w="1440" w:type="dxa"/>
            <w:vAlign w:val="center"/>
          </w:tcPr>
          <w:p w14:paraId="2CB3EBFA">
            <w:pPr>
              <w:spacing w:before="0"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sz w:val="15"/>
              </w:rPr>
              <w:t>90 publications: US$0.418</w:t>
            </w:r>
            <w:r>
              <w:rPr>
                <w:rFonts w:hint="default" w:ascii="Times New Roman Regular" w:hAnsi="Times New Roman Regular" w:cs="Times New Roman Regular"/>
                <w:b w:val="0"/>
                <w:sz w:val="15"/>
              </w:rPr>
              <w:br w:type="textWrapping"/>
            </w:r>
            <w:r>
              <w:rPr>
                <w:rFonts w:hint="default" w:ascii="Times New Roman Regular" w:hAnsi="Times New Roman Regular" w:cs="Times New Roman Regular"/>
                <w:b w:val="0"/>
                <w:sz w:val="15"/>
              </w:rPr>
              <w:t>Per publication: US$0.00465</w:t>
            </w:r>
          </w:p>
        </w:tc>
      </w:tr>
      <w:tr w14:paraId="2704AB8E">
        <w:trPr>
          <w:cantSplit/>
          <w:trHeight w:val="0" w:hRule="atLeast"/>
        </w:trPr>
        <w:tc>
          <w:tcPr>
            <w:tcW w:w="1324" w:type="dxa"/>
            <w:vAlign w:val="center"/>
          </w:tcPr>
          <w:p w14:paraId="6C0E9688">
            <w:pPr>
              <w:spacing w:before="0"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sz w:val="15"/>
              </w:rPr>
              <w:t>Qwen-Max-2025-01-25</w:t>
            </w:r>
          </w:p>
        </w:tc>
        <w:tc>
          <w:tcPr>
            <w:tcW w:w="1512" w:type="dxa"/>
            <w:vAlign w:val="center"/>
          </w:tcPr>
          <w:p w14:paraId="65035214">
            <w:pPr>
              <w:spacing w:before="0"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sz w:val="15"/>
              </w:rPr>
              <w:t>Non-thinking; one-pass structured extraction</w:t>
            </w:r>
          </w:p>
        </w:tc>
        <w:tc>
          <w:tcPr>
            <w:tcW w:w="2088" w:type="dxa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sz w:val="16"/>
              </w:rPr>
              <w:t>Input: 209,400 tokens (2,327 per publication)</w:t>
              <w:br/>
              <w:t>Output: 118,500 tokens (1,317 per publication)</w:t>
            </w:r>
          </w:p>
        </w:tc>
        <w:tc>
          <w:tcPr>
            <w:tcW w:w="1944" w:type="dxa"/>
            <w:vAlign w:val="center"/>
          </w:tcPr>
          <w:p w14:paraId="48FA9D89">
            <w:pPr>
              <w:spacing w:before="0"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sz w:val="15"/>
              </w:rPr>
              <w:t>CNY 2.4 per 1M input tokens; CNY 9.6 per 1M output tokens</w:t>
            </w:r>
          </w:p>
        </w:tc>
        <w:tc>
          <w:tcPr>
            <w:tcW w:w="1440" w:type="dxa"/>
            <w:vAlign w:val="center"/>
          </w:tcPr>
          <w:p w14:paraId="70BFAB8A">
            <w:pPr>
              <w:spacing w:before="0"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sz w:val="15"/>
              </w:rPr>
              <w:t>90 publications: CNY 1.640 (US$0.241)</w:t>
            </w:r>
            <w:r>
              <w:rPr>
                <w:rFonts w:hint="default" w:ascii="Times New Roman Regular" w:hAnsi="Times New Roman Regular" w:cs="Times New Roman Regular"/>
                <w:b w:val="0"/>
                <w:sz w:val="15"/>
              </w:rPr>
              <w:br w:type="textWrapping"/>
            </w:r>
            <w:r>
              <w:rPr>
                <w:rFonts w:hint="default" w:ascii="Times New Roman Regular" w:hAnsi="Times New Roman Regular" w:cs="Times New Roman Regular"/>
                <w:b w:val="0"/>
                <w:sz w:val="15"/>
              </w:rPr>
              <w:t>Per publication: CNY 0.0182 (US$0.00268)</w:t>
            </w:r>
          </w:p>
        </w:tc>
      </w:tr>
      <w:tr w14:paraId="04BAADC1">
        <w:trPr>
          <w:cantSplit/>
          <w:trHeight w:val="0" w:hRule="atLeast"/>
        </w:trPr>
        <w:tc>
          <w:tcPr>
            <w:tcW w:w="1324" w:type="dxa"/>
            <w:vAlign w:val="center"/>
          </w:tcPr>
          <w:p w14:paraId="42CBAD3A">
            <w:pPr>
              <w:spacing w:before="0"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sz w:val="15"/>
              </w:rPr>
              <w:t>GPT-5.5 (Thinking-High)</w:t>
            </w:r>
          </w:p>
        </w:tc>
        <w:tc>
          <w:tcPr>
            <w:tcW w:w="1512" w:type="dxa"/>
            <w:vAlign w:val="center"/>
          </w:tcPr>
          <w:p w14:paraId="6585D9B2">
            <w:pPr>
              <w:spacing w:before="0"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sz w:val="15"/>
              </w:rPr>
              <w:t>High reasoning; one-pass structured extraction</w:t>
            </w:r>
          </w:p>
        </w:tc>
        <w:tc>
          <w:tcPr>
            <w:tcW w:w="2088" w:type="dxa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sz w:val="16"/>
              </w:rPr>
              <w:t>Input: 193,900 tokens (2,154 per publication)</w:t>
              <w:br/>
              <w:t>Billed output, including reasoning: 330,000 tokens (3,667 per publication)</w:t>
            </w:r>
          </w:p>
        </w:tc>
        <w:tc>
          <w:tcPr>
            <w:tcW w:w="1944" w:type="dxa"/>
            <w:vAlign w:val="center"/>
          </w:tcPr>
          <w:p w14:paraId="29F52ED4">
            <w:pPr>
              <w:spacing w:before="0"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sz w:val="15"/>
              </w:rPr>
              <w:t>US$5.00 per 1M input tokens; US$30.00 per 1M output tokens</w:t>
            </w:r>
          </w:p>
        </w:tc>
        <w:tc>
          <w:tcPr>
            <w:tcW w:w="1440" w:type="dxa"/>
            <w:vAlign w:val="center"/>
          </w:tcPr>
          <w:p w14:paraId="3E6859FD">
            <w:pPr>
              <w:spacing w:before="0"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sz w:val="15"/>
              </w:rPr>
              <w:t>90 publications: US$10.870</w:t>
            </w:r>
            <w:r>
              <w:rPr>
                <w:rFonts w:hint="default" w:ascii="Times New Roman Regular" w:hAnsi="Times New Roman Regular" w:cs="Times New Roman Regular"/>
                <w:b w:val="0"/>
                <w:sz w:val="15"/>
              </w:rPr>
              <w:br w:type="textWrapping"/>
            </w:r>
            <w:r>
              <w:rPr>
                <w:rFonts w:hint="default" w:ascii="Times New Roman Regular" w:hAnsi="Times New Roman Regular" w:cs="Times New Roman Regular"/>
                <w:b w:val="0"/>
                <w:sz w:val="15"/>
              </w:rPr>
              <w:t>Per publication: US$0.1208</w:t>
            </w:r>
          </w:p>
        </w:tc>
      </w:tr>
    </w:tbl>
    <w:p w14:paraId="0B2ED12E">
      <w:pPr>
        <w:keepLines w:val="0"/>
        <w:widowControl/>
        <w:spacing w:before="60"/>
        <w:rPr>
          <w:rFonts w:hint="default" w:ascii="Times New Roman Regular" w:hAnsi="Times New Roman Regular" w:cs="Times New Roman Regular"/>
        </w:rPr>
      </w:pPr>
      <w:r>
        <w:rPr>
          <w:rFonts w:ascii="Times New Roman" w:hAnsi="Times New Roman"/>
          <w:sz w:val="16"/>
        </w:rPr>
        <w:t>Note. Token workloads were calculated separately for each model. Full TRACE-CU input is cumulative across stages because publication context and structured intermediate outputs were processed across multiple stages. No prompt-cache discount was applied. Prompt caching could further reduce deployment cost, but a cached-cost scenario was not reported because frozen cache-hit records were unavailable. The Qwen-Max cost was converted at CNY 6.8067=US$1.</w:t>
      </w:r>
    </w:p>
    <w:p w14:paraId="0461BEC8">
      <w:pPr>
        <w:keepLines w:val="0"/>
        <w:widowControl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Without applying input-cache discounts, Full TRACE-CU cost US$0.418 for 90 publications (US$0.00465 per publication). Qwen-Max had the lowest charge (US$0.241); Full TRACE-CU added US$0.177 across the evaluation set (US$0.00197 per publication) while providing route-aware CU construction and rule-based validation. Compared with GPT-5.5 (Thinking-High), Full TRACE-CU reduced API expenditure by 96.2%. Its higher cumulative input reflected staged processing, whereas non-thinking execution limited billable output to visible structured results. These findings demonstrate a favorable balance between extraction performance and computational cost.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trackRevisions/>
  <w:zoom w:percent="18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DE598F4"/>
    <w:rsid w:val="EDE598F4"/>
    <w:rsid w:val="FEEF7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59" w:lineRule="auto"/>
    </w:pPr>
    <w:rPr>
      <w:rFonts w:ascii="Arial" w:hAnsi="Arial" w:eastAsia="Times New Roman" w:cstheme="minorBidi"/>
      <w:sz w:val="19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200" w:after="100"/>
      <w:outlineLvl w:val="0"/>
    </w:pPr>
    <w:rPr>
      <w:rFonts w:asciiTheme="majorHAnsi" w:hAnsiTheme="majorHAnsi" w:eastAsiaTheme="majorEastAsia" w:cstheme="majorBidi"/>
      <w:b/>
      <w:bCs/>
      <w:color w:val="17365D"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160" w:after="60"/>
      <w:outlineLvl w:val="1"/>
    </w:pPr>
    <w:rPr>
      <w:rFonts w:asciiTheme="majorHAnsi" w:hAnsiTheme="majorHAnsi" w:eastAsiaTheme="majorEastAsia" w:cstheme="majorBidi"/>
      <w:b/>
      <w:bCs/>
      <w:color w:val="4874CB" w:themeColor="accent1"/>
      <w:sz w:val="23"/>
      <w:szCs w:val="26"/>
      <w14:textFill>
        <w14:solidFill>
          <w14:schemeClr w14:val="accent1"/>
        </w14:solidFill>
      </w14:textFill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7">
    <w:name w:val="Caption Custom"/>
    <w:uiPriority w:val="0"/>
    <w:pPr>
      <w:keepNext/>
      <w:spacing w:before="80" w:after="60" w:line="276" w:lineRule="auto"/>
      <w:jc w:val="center"/>
    </w:pPr>
    <w:rPr>
      <w:rFonts w:ascii="Arial" w:hAnsi="Arial" w:eastAsia="Times New Roman" w:cstheme="minorBidi"/>
      <w:sz w:val="17"/>
      <w:szCs w:val="2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2026-07-12T05:48:00Z</dcterms:created>
  <dc:creator>王龙超</dc:creator>
  <cp:lastModifiedBy>王龙超</cp:lastModifiedBy>
  <dcterms:modified xsi:type="dcterms:W3CDTF">2026-07-12T04:35:14Z</dcterms:modified>
  <dc:title>Multimedia Appendix 7. Computational Cost Analysis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93F1C6BFE23E7337BB49526AC0667E16_41</vt:lpwstr>
  </property>
</Properties>
</file>