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pPr>
      <w:r>
        <w:rPr>
          <w:rFonts w:ascii="Times New Roman" w:hAnsi="Times New Roman" w:eastAsia="Times New Roman"/>
          <w:b/>
          <w:sz w:val="30"/>
        </w:rPr>
        <w:t>Supplementary Material 5: Held-Out Evaluation Failure-Mode Analysis</w:t>
      </w:r>
    </w:p>
    <w:p>
      <w:pPr>
        <w:spacing w:after="100" w:line="252" w:lineRule="auto"/>
        <w:jc w:val="both"/>
      </w:pPr>
      <w:r>
        <w:rPr>
          <w:rFonts w:ascii="Times New Roman" w:hAnsi="Times New Roman" w:eastAsia="Times New Roman"/>
          <w:sz w:val="21"/>
        </w:rPr>
        <w:t>This analysis used the same independent 90-publication held-out evaluation set and 241 adjudicated gold-standard comparison units (CUs) used for the principal performance analysis. Failures were examined separately at the CU-detection, matched-CU logical-binding, numerical/state, and evidence-support levels. Because these levels use different denominators, their counts were not combined into a single publication-level error rate.</w:t>
      </w:r>
    </w:p>
    <w:p>
      <w:pPr>
        <w:spacing w:before="160" w:after="60"/>
      </w:pPr>
      <w:r>
        <w:rPr>
          <w:rFonts w:ascii="Times New Roman" w:hAnsi="Times New Roman" w:eastAsia="Times New Roman"/>
          <w:b/>
          <w:sz w:val="26"/>
        </w:rPr>
        <w:t>1 Evaluation Denominators and Metric Closure</w:t>
      </w:r>
    </w:p>
    <w:p>
      <w:pPr>
        <w:spacing w:after="100" w:line="252" w:lineRule="auto"/>
        <w:jc w:val="both"/>
      </w:pPr>
      <w:r>
        <w:rPr>
          <w:rFonts w:ascii="Times New Roman" w:hAnsi="Times New Roman" w:eastAsia="Times New Roman"/>
          <w:sz w:val="21"/>
        </w:rPr>
        <w:t>The CU audit contained 53 distinct failure records. One unresolved multi-arm mapping contributed both one false-positive and one false-negative event; consequently, the 53 records represented 54 CU-detection or logical-binding error events. Numerical/state and evidence-support failures were evaluated using their own eligible-item denominators.</w:t>
      </w:r>
    </w:p>
    <w:p>
      <w:pPr>
        <w:jc w:val="center"/>
        <w:keepNext/>
        <w:spacing w:before="80" w:after="60"/>
      </w:pPr>
      <w:r>
        <w:rPr>
          <w:rFonts w:ascii="Times New Roman" w:hAnsi="Times New Roman"/>
          <w:b/>
        </w:rPr>
        <w:t>Table 1.</w:t>
      </w:r>
      <w:r>
        <w:rPr>
          <w:rFonts w:ascii="Times New Roman" w:hAnsi="Times New Roman"/>
        </w:rPr>
        <w:t xml:space="preserve"> Evaluation denominators and metric closure</w:t>
      </w:r>
    </w:p>
    <w:tbl>
      <w:tblPr>
        <w:tblW w:type="auto" w:w="0"/>
        <w:jc w:val="center"/>
        <w:tblLayout w:type="fixed"/>
        <w:tblLook w:firstColumn="1" w:firstRow="1" w:lastColumn="0" w:lastRow="0" w:noHBand="0" w:noVBand="1" w:val="04A0"/>
      </w:tblPr>
      <w:tblGrid>
        <w:gridCol w:w="1920"/>
        <w:gridCol w:w="1920"/>
        <w:gridCol w:w="1920"/>
        <w:gridCol w:w="1920"/>
        <w:gridCol w:w="1920"/>
      </w:tblGrid>
      <w:tr>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pPr>
            <w:r>
              <w:rPr>
                <w:rFonts w:ascii="Times New Roman" w:hAnsi="Times New Roman" w:eastAsia="Times New Roman"/>
                <w:b/>
                <w:color w:val="FFFFFF"/>
                <w:sz w:val="19"/>
              </w:rPr>
              <w:t>Evaluation level</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Correct or TP</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Failures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Denominator</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Reported result</w:t>
            </w:r>
          </w:p>
        </w:tc>
      </w:tr>
      <w:tr>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CU detection</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TP=232</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FP=27; FN=9</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259 predicted; 241 gold CUs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Precision 89.58%; Recall 96.27%; F1 92.80%</w:t>
            </w:r>
          </w:p>
        </w:tc>
      </w:tr>
      <w:tr>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Matched-CU logical binding</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214 fully correct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18 binding errors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232 matched CU pairs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Conditional Unit-Accuracy 92.24%</w:t>
            </w:r>
          </w:p>
        </w:tc>
      </w:tr>
      <w:tr>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Numerical/state</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1,201 correct</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49 mismatches</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1,250 assessable items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Numerical/State Tolerance-Accuracy 96.08%</w:t>
            </w:r>
          </w:p>
        </w:tc>
      </w:tr>
      <w:tr>
        <w:trP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Evidence support</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362 supported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25 unsupported</w:t>
            </w:r>
          </w:p>
        </w:tc>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387 evidence-eligible items</w:t>
            </w:r>
          </w:p>
        </w:tc>
        <w:tc>
          <w:tcPr>
            <w:tcW w:type="dxa" w:w="309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Evidence-Supported Item Rate 93.54%</w:t>
            </w:r>
          </w:p>
        </w:tc>
      </w:tr>
    </w:tbl>
    <w:p/>
    <w:p>
      <w:pPr>
        <w:spacing w:before="160" w:after="60"/>
      </w:pPr>
      <w:r>
        <w:rPr>
          <w:rFonts w:ascii="Times New Roman" w:hAnsi="Times New Roman" w:eastAsia="Times New Roman"/>
          <w:b/>
          <w:sz w:val="26"/>
        </w:rPr>
        <w:t>2 CU-Level Failure Categories</w:t>
      </w:r>
    </w:p>
    <w:p>
      <w:pPr>
        <w:jc w:val="center"/>
        <w:keepNext/>
        <w:spacing w:before="80" w:after="60"/>
      </w:pPr>
      <w:r>
        <w:rPr>
          <w:rFonts w:ascii="Times New Roman" w:hAnsi="Times New Roman"/>
          <w:b/>
        </w:rPr>
        <w:t>Table 2.</w:t>
      </w:r>
      <w:r>
        <w:rPr>
          <w:rFonts w:ascii="Times New Roman" w:hAnsi="Times New Roman"/>
        </w:rPr>
        <w:t xml:space="preserve"> Distribution of CU-level failure categories</w:t>
      </w:r>
    </w:p>
    <w:tbl>
      <w:tblPr>
        <w:tblW w:type="auto" w:w="0"/>
        <w:jc w:val="center"/>
        <w:tblLayout w:type="fixed"/>
        <w:tblLook w:firstColumn="1" w:firstRow="1" w:lastColumn="0" w:lastRow="0" w:noHBand="0" w:noVBand="1" w:val="04A0"/>
      </w:tblPr>
      <w:tblGrid>
        <w:gridCol w:w="2400"/>
        <w:gridCol w:w="2400"/>
        <w:gridCol w:w="2400"/>
        <w:gridCol w:w="2400"/>
      </w:tblGrid>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pPr>
            <w:r>
              <w:rPr>
                <w:rFonts w:ascii="Times New Roman" w:hAnsi="Times New Roman" w:eastAsia="Times New Roman"/>
                <w:b/>
                <w:color w:val="FFFFFF"/>
                <w:sz w:val="19"/>
              </w:rPr>
              <w:t>Primary failure category</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Count</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 of 53</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9"/>
              </w:rPr>
              <w:t>Interpretation</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Spurious CU escaping validation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26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49.06%</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Additional final CU not supported by the adjudicated CU boundary</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Missed gold CU</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15.09%</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Gold CU not constructed</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Result-value attribution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6</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11.32%</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Result assigned to the wrong arm or result field</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I/C orientation reversal</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4</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7.55%</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Intervention and comparator directions reversed</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Wrong comparison structure</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5.66%</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Incorrect route or CU topology</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Endpoint/result over-splitting</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5.66%</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One endpoint represented as multiple CUs</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Statistical-field misattribution</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2</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9"/>
              </w:rPr>
              <w:t>3.77%</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9"/>
              </w:rPr>
              <w:t>Overall statistic assigned to a specific contrast</w:t>
            </w:r>
          </w:p>
        </w:tc>
      </w:tr>
      <w:tr>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Unresolved multi-arm CU mapping</w:t>
            </w:r>
          </w:p>
        </w:tc>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1</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9"/>
              </w:rPr>
              <w:t>1.89%</w:t>
            </w:r>
          </w:p>
        </w:tc>
        <w:tc>
          <w:tcPr>
            <w:tcW w:type="dxa" w:w="5256"/>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9"/>
              </w:rPr>
              <w:t>One predicted CU corresponded incompletely to several gold comparisons</w:t>
            </w:r>
          </w:p>
        </w:tc>
      </w:tr>
    </w:tbl>
    <w:p/>
    <w:p>
      <w:pPr>
        <w:spacing w:after="100" w:line="252" w:lineRule="auto"/>
        <w:jc w:val="both"/>
      </w:pPr>
      <w:r>
        <w:rPr>
          <w:rFonts w:ascii="Times New Roman" w:hAnsi="Times New Roman" w:eastAsia="Times New Roman"/>
          <w:sz w:val="21"/>
        </w:rPr>
        <w:t>Spurious CUs accounted for the largest share of failure records. These were final predicted CUs whose boundaries were not supported by the adjudicated reference representation and that were not removed by final validation. The remaining failures reflected missed CUs or errors in route selection, arm orientation, endpoint segmentation, and result attribution.</w:t>
      </w:r>
    </w:p>
    <w:p>
      <w:pPr>
        <w:spacing w:before="160" w:after="60"/>
      </w:pPr>
      <w:r>
        <w:rPr>
          <w:rFonts w:ascii="Times New Roman" w:hAnsi="Times New Roman" w:eastAsia="Times New Roman"/>
          <w:b/>
          <w:sz w:val="26"/>
        </w:rPr>
        <w:t>3 Distribution Across Comparison Structures</w:t>
      </w:r>
    </w:p>
    <w:p>
      <w:pPr>
        <w:jc w:val="center"/>
        <w:keepNext/>
        <w:spacing w:before="80" w:after="60"/>
      </w:pPr>
      <w:r>
        <w:rPr>
          <w:rFonts w:ascii="Times New Roman" w:hAnsi="Times New Roman"/>
          <w:b/>
        </w:rPr>
        <w:t>Table 3.</w:t>
      </w:r>
      <w:r>
        <w:rPr>
          <w:rFonts w:ascii="Times New Roman" w:hAnsi="Times New Roman"/>
        </w:rPr>
        <w:t xml:space="preserve"> CU-level failures across comparison structures</w:t>
      </w:r>
    </w:p>
    <w:tbl>
      <w:tblPr>
        <w:tblW w:type="auto" w:w="0"/>
        <w:jc w:val="center"/>
        <w:tblLayout w:type="fixed"/>
        <w:tblLook w:firstColumn="1" w:firstRow="1" w:lastColumn="0" w:lastRow="0" w:noHBand="0" w:noVBand="1" w:val="04A0"/>
      </w:tblPr>
      <w:tblGrid>
        <w:gridCol w:w="1372"/>
        <w:gridCol w:w="1372"/>
        <w:gridCol w:w="1372"/>
        <w:gridCol w:w="1372"/>
        <w:gridCol w:w="1372"/>
        <w:gridCol w:w="1372"/>
        <w:gridCol w:w="1372"/>
      </w:tblGrid>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pPr>
            <w:r>
              <w:rPr>
                <w:rFonts w:ascii="Times New Roman" w:hAnsi="Times New Roman" w:eastAsia="Times New Roman"/>
                <w:b/>
                <w:color w:val="FFFFFF"/>
                <w:sz w:val="18"/>
              </w:rPr>
              <w:t>Comparison structure</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Matched</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Binding errors</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cUA</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FP</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FN</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0B7775"/>
          </w:tcPr>
          <w:p>
            <w:pPr>
              <w:spacing w:after="0" w:line="240" w:lineRule="auto"/>
              <w:jc w:val="center"/>
            </w:pPr>
            <w:r>
              <w:rPr>
                <w:rFonts w:ascii="Times New Roman" w:hAnsi="Times New Roman" w:eastAsia="Times New Roman"/>
                <w:b/>
                <w:color w:val="FFFFFF"/>
                <w:sz w:val="18"/>
              </w:rPr>
              <w:t>Failure records</w:t>
            </w:r>
          </w:p>
        </w:tc>
      </w:tr>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8"/>
              </w:rPr>
              <w:t>Pairwise Therapeutic Comparison</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130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15</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88.46%</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17</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32</w:t>
            </w:r>
          </w:p>
        </w:tc>
      </w:tr>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8"/>
              </w:rPr>
              <w:t>Population-Specific Therapeutic Comparison</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72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100.00%</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7</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9</w:t>
            </w:r>
          </w:p>
        </w:tc>
      </w:tr>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8"/>
              </w:rPr>
              <w:t>Multi-Arm Pairwise Comparison</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27</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0</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100.00%</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7</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7</w:t>
            </w:r>
          </w:p>
        </w:tc>
      </w:tr>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pPr>
            <w:r>
              <w:rPr>
                <w:rFonts w:ascii="Times New Roman" w:hAnsi="Times New Roman" w:eastAsia="Times New Roman"/>
                <w:sz w:val="18"/>
              </w:rPr>
              <w:t>Single-Arm Therapeutic Evaluation</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3</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3</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0.00%</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2</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0</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7F7"/>
          </w:tcPr>
          <w:p>
            <w:pPr>
              <w:spacing w:after="0" w:line="240" w:lineRule="auto"/>
              <w:jc w:val="center"/>
            </w:pPr>
            <w:r>
              <w:rPr>
                <w:rFonts w:ascii="Times New Roman" w:hAnsi="Times New Roman" w:eastAsia="Times New Roman"/>
                <w:sz w:val="18"/>
              </w:rPr>
              <w:t>5</w:t>
            </w:r>
          </w:p>
        </w:tc>
      </w:tr>
      <w:tr>
        <w:trP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pPr>
            <w:r>
              <w:rPr>
                <w:rFonts w:ascii="Times New Roman" w:hAnsi="Times New Roman" w:eastAsia="Times New Roman"/>
                <w:sz w:val="18"/>
              </w:rPr>
              <w:t>Total</w:t>
            </w:r>
          </w:p>
        </w:tc>
        <w:tc>
          <w:tcPr>
            <w:tcW w:type="dxa" w:w="1008"/>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232</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18</w:t>
            </w:r>
          </w:p>
        </w:tc>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92.24%</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27</w:t>
            </w:r>
          </w:p>
        </w:tc>
        <w:tc>
          <w:tcPr>
            <w:tcW w:type="dxa" w:w="720"/>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9</w:t>
            </w:r>
          </w:p>
        </w:tc>
        <w:tc>
          <w:tcPr>
            <w:tcW w:type="dxa" w:w="1224"/>
            <w:vAlign w:val="center"/>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40" w:lineRule="auto"/>
              <w:jc w:val="center"/>
            </w:pPr>
            <w:r>
              <w:rPr>
                <w:rFonts w:ascii="Times New Roman" w:hAnsi="Times New Roman" w:eastAsia="Times New Roman"/>
                <w:sz w:val="18"/>
              </w:rPr>
              <w:t>53</w:t>
            </w:r>
          </w:p>
        </w:tc>
      </w:tr>
    </w:tbl>
    <w:p/>
    <w:p>
      <w:pPr>
        <w:spacing w:after="100" w:line="252" w:lineRule="auto"/>
        <w:jc w:val="both"/>
      </w:pPr>
      <w:r>
        <w:rPr>
          <w:rFonts w:ascii="Times New Roman" w:hAnsi="Times New Roman" w:eastAsia="Times New Roman"/>
          <w:sz w:val="21"/>
        </w:rPr>
        <w:t>Pairwise therapeutic comparisons contributed the largest absolute number of failure records, partly because they were the most common structure in the held-out set. Multi-arm failures were concentrated in missed explicitly reported pairwise contrasts. Population-specific failures primarily involved CU-boundary decisions rather than errors among matched pairs. Estimates for the single-arm route should be interpreted cautiously because only three matched single-arm CUs were available.</w:t>
      </w:r>
    </w:p>
    <w:p>
      <w:pPr>
        <w:spacing w:before="160" w:after="60"/>
      </w:pPr>
      <w:r>
        <w:rPr>
          <w:rFonts w:ascii="Times New Roman" w:hAnsi="Times New Roman" w:eastAsia="Times New Roman"/>
          <w:b/>
          <w:sz w:val="26"/>
        </w:rPr>
        <w:t>4 Representative Failure Scenarios</w:t>
      </w:r>
    </w:p>
    <w:p>
      <w:pPr>
        <w:spacing w:after="100" w:line="252" w:lineRule="auto"/>
        <w:jc w:val="both"/>
      </w:pPr>
      <w:r>
        <w:rPr>
          <w:rFonts w:ascii="Times New Roman" w:hAnsi="Times New Roman" w:eastAsia="Times New Roman"/>
          <w:sz w:val="21"/>
        </w:rPr>
        <w:t>Five cases from five held-out publications were purposively selected to illustrate distinct failure mechanisms. Each case represents a CU-level failure scenario rather than classifying the entire publication as unsuccessful; one scenario may affect multiple CUs.</w:t>
      </w:r>
    </w:p>
    <w:p>
      <w:pPr>
        <w:spacing w:before="100" w:after="60"/>
      </w:pPr>
      <w:r>
        <w:rPr>
          <w:rFonts w:ascii="Times New Roman" w:hAnsi="Times New Roman" w:eastAsia="Times New Roman"/>
          <w:b/>
          <w:sz w:val="22"/>
        </w:rPr>
        <w:t>Case 1: PMID 22018631</w:t>
      </w:r>
    </w:p>
    <w:tbl>
      <w:tblPr>
        <w:tblW w:type="auto" w:w="0"/>
        <w:jc w:val="center"/>
        <w:tblLayout w:type="fixed"/>
        <w:tblLook w:firstColumn="1" w:firstRow="1" w:lastColumn="0" w:lastRow="0" w:noHBand="0" w:noVBand="1" w:val="04A0"/>
      </w:tblPr>
      <w:tblGrid>
        <w:gridCol w:w="4801"/>
        <w:gridCol w:w="4801"/>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Publication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Assessment of letrozole and tamoxifen alone and in sequence for postmenopausal women with steroid hormone receptor-positive breast cancer: the BIG 1-98 randomised clinical trial at 8·1 years median follow-up.</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Comparison structure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Multi-Arm Pairwise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Affected CU(s)</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G017-G020; 4 missed endpoint-specific CUs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Minimal source excerpt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8-year intention-to-treat estimates (each with SE ≤1·1%) for letrozole monotherapy, letrozole followed by tamoxifen, and tamoxifen followed by letrozole were 78·6%, 77·8%, 77·3% for disease-free survival; 87·5%, 87·7%, 85·9% for overall survival; 89·9%, 88·7%, 88·1% for DRFI; and 86·1%, 85·3%, 84·3% for BCFI.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Source-supported expectation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Construct four direct comparisons between letrozole→tamoxifen and tamoxifen→letrozole for 8-year DFS, OS, DRFI, and BCFI.</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TRACE-CU output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No corresponding predicted CUs were constructed.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Primary failure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Missed CU</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Downstream consequence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Reduced recall for complex multi-arm sequential treatment topology.</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Validation outcome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Not intercepted by final validation</w:t>
            </w:r>
          </w:p>
        </w:tc>
      </w:tr>
    </w:tbl>
    <w:p/>
    <w:p>
      <w:pPr>
        <w:pageBreakBefore/>
        <w:spacing w:before="100" w:after="60"/>
      </w:pPr>
      <w:r>
        <w:rPr>
          <w:rFonts w:ascii="Times New Roman" w:hAnsi="Times New Roman" w:eastAsia="Times New Roman"/>
          <w:b/>
          <w:sz w:val="22"/>
        </w:rPr>
        <w:t>Case 2: PMID 24934787</w:t>
      </w:r>
    </w:p>
    <w:tbl>
      <w:tblPr>
        <w:tblW w:type="auto" w:w="0"/>
        <w:jc w:val="center"/>
        <w:tblLayout w:type="fixed"/>
        <w:tblLook w:firstColumn="1" w:firstRow="1" w:lastColumn="0" w:lastRow="0" w:noHBand="0" w:noVBand="1" w:val="04A0"/>
      </w:tblPr>
      <w:tblGrid>
        <w:gridCol w:w="4801"/>
        <w:gridCol w:w="4801"/>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Publication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Comparison of doxorubicin and cyclophosphamide versus single-agent paclitaxel as adjuvant therapy for breast cancer in women with 0 to 3 positive axillary nodes: CALGB 40101 (Alliance).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Comparison structure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Pairwise or population-specific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Affected CU(s)</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G001/P001 and G002/P003, with extra split result records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Minimal source excerpt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The estimated absolute advantage of AC at 5 years is 3% for RFS (91 v 88%) and 1% for OS (95 v 94%).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Source-supported expectation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Bind the HR and the 5-year arm-specific rates to the same RFS or OS CU.</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TRACE-CU output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Overall event counts were placed in both rate fields and time-point rates were separated into additional CUs.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Primary failure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Endpoint/result over-splitting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Downstream consequence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Produced spurious CUs and incomplete result binding.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Validation outcome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Not intercepted by final validation</w:t>
            </w:r>
          </w:p>
        </w:tc>
      </w:tr>
    </w:tbl>
    <w:p/>
    <w:p>
      <w:pPr>
        <w:pageBreakBefore/>
        <w:spacing w:before="100" w:after="60"/>
      </w:pPr>
      <w:r>
        <w:rPr>
          <w:rFonts w:ascii="Times New Roman" w:hAnsi="Times New Roman" w:eastAsia="Times New Roman"/>
          <w:b/>
          <w:sz w:val="22"/>
        </w:rPr>
        <w:t>Case 3: PMID 29332135</w:t>
      </w:r>
    </w:p>
    <w:tbl>
      <w:tblPr>
        <w:tblW w:type="auto" w:w="0"/>
        <w:jc w:val="center"/>
        <w:tblLayout w:type="fixed"/>
        <w:tblLook w:firstColumn="1" w:firstRow="1" w:lastColumn="0" w:lastRow="0" w:noHBand="0" w:noVBand="1" w:val="04A0"/>
      </w:tblPr>
      <w:tblGrid>
        <w:gridCol w:w="4801"/>
        <w:gridCol w:w="4801"/>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Publication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Sequential versus simultaneous use of chemotherapy and gonadotropin-releasing hormone agonist (GnRHa) among estrogen receptor (ER)-positive premenopausal breast cancer patients: effects on ovarian function, disease-free survival, and overall survival.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Comparison structure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Pairwise or population-specific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Affected CU(s)</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G001-G003 / P002, P005, P006</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Minimal source excerpt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The primary outcome was the incidence of early menopause, defined as amenorrhea lasting longer than 12 months after the last chemotherapy or GnRHa dose, with postmenopausal or unknown follicle-stimulating hormone and estradiol levels.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Source-supported expectation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Retain sequential chemotherapy→GnRHa as intervention and simultaneous GnRHa+chemotherapy as comparator.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TRACE-CU output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The intervention and comparator roles were reversed, inverting arm-specific results.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Primary failure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I/C orientation reversal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Downstream consequence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Arm-specific rates and treatment roles were inverted.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Validation outcome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Not intercepted by final validation</w:t>
            </w:r>
          </w:p>
        </w:tc>
      </w:tr>
    </w:tbl>
    <w:p/>
    <w:p>
      <w:pPr>
        <w:pageBreakBefore/>
        <w:spacing w:before="100" w:after="60"/>
      </w:pPr>
      <w:r>
        <w:rPr>
          <w:rFonts w:ascii="Times New Roman" w:hAnsi="Times New Roman" w:eastAsia="Times New Roman"/>
          <w:b/>
          <w:sz w:val="22"/>
        </w:rPr>
        <w:t>Case 4: PMID 32929540</w:t>
      </w:r>
    </w:p>
    <w:tbl>
      <w:tblPr>
        <w:tblW w:type="auto" w:w="0"/>
        <w:jc w:val="center"/>
        <w:tblLayout w:type="fixed"/>
        <w:tblLook w:firstColumn="1" w:firstRow="1" w:lastColumn="0" w:lastRow="0" w:noHBand="0" w:noVBand="1" w:val="04A0"/>
      </w:tblPr>
      <w:tblGrid>
        <w:gridCol w:w="4801"/>
        <w:gridCol w:w="4801"/>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Publication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Risk factors for bisphosphonate-associated osteonecrosis of the jaw in the prospective randomized trial of adjuvant bisphosphonates for early-stage breast cancer (SWOG 0307).</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Comparison structure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Multi-Arm Pairwise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Affected CU(s)</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G001-G003 / P001</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Minimal source excerpt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Median time to BRONJ was 2.1 years for ZA, 2.0 years for IB, and 3.4 years for clodronate (p = 0.04).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Source-supported expectation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Represent ZA vs clodronate, ZA vs ibandronate, and clodronate vs ibandronate as three endpoint-specific pairwise CUs.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TRACE-CU output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The three arms were merged into one CU; two pairwise CUs were not recovered.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Primary failure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Unresolved multi-arm CU mapping</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Downstream consequence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Two gold pairwise comparisons were missed.</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Validation outcome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Not resolved by final validation</w:t>
            </w:r>
          </w:p>
        </w:tc>
      </w:tr>
    </w:tbl>
    <w:p/>
    <w:p>
      <w:pPr>
        <w:pageBreakBefore/>
        <w:spacing w:before="100" w:after="60"/>
      </w:pPr>
      <w:r>
        <w:rPr>
          <w:rFonts w:ascii="Times New Roman" w:hAnsi="Times New Roman" w:eastAsia="Times New Roman"/>
          <w:b/>
          <w:sz w:val="22"/>
        </w:rPr>
        <w:t>Case 5: PMID 40986647</w:t>
      </w:r>
    </w:p>
    <w:tbl>
      <w:tblPr>
        <w:tblW w:type="auto" w:w="0"/>
        <w:jc w:val="center"/>
        <w:tblLayout w:type="fixed"/>
        <w:tblLook w:firstColumn="1" w:firstRow="1" w:lastColumn="0" w:lastRow="0" w:noHBand="0" w:noVBand="1" w:val="04A0"/>
      </w:tblPr>
      <w:tblGrid>
        <w:gridCol w:w="4801"/>
        <w:gridCol w:w="4801"/>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Publication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Prognostic value of patient-reported depression in women with hormone-responsive early breast cancer in TEXT and SOFT.</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Comparison structure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Pairwise or population-specific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Affected CU(s)</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G001-G004 / P001-P004</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Minimal source excerpt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Relative to the no-symptomatology group, the hazard ratios (overall p = .04) for DFS were 1.34 (95% confidence interval [CI], 1.03-1.76) for women with mild-to-moderate depression and 1.34 (95% CI, 0.96-1.87) for those with severe depression.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Source-supported expectation</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Retain contrast-specific HRs and CIs while leaving the individual-CU P-value unreported; overall P values describe the joint group comparison.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TRACE-CU output</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Overall P=.04 and P=.008 were assigned to individual depression-severity contrasts.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Primary failure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Statistical-field misattribution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b/>
                <w:sz w:val="19"/>
              </w:rPr>
              <w:t>Downstream consequence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shd w:fill="F2F7F7"/>
          </w:tcPr>
          <w:p>
            <w:pPr>
              <w:spacing w:after="0" w:line="240" w:lineRule="auto"/>
            </w:pPr>
            <w:r>
              <w:rPr>
                <w:rFonts w:ascii="Times New Roman" w:hAnsi="Times New Roman" w:eastAsia="Times New Roman"/>
                <w:sz w:val="19"/>
              </w:rPr>
              <w:t>Inflated support for contrast-specific statistical significance.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b/>
                <w:sz w:val="19"/>
              </w:rPr>
              <w:t>Validation outcome</w:t>
            </w:r>
          </w:p>
        </w:tc>
        <w:tc>
          <w:tcPr>
            <w:tcW w:type="dxa" w:w="835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top"/>
          </w:tcPr>
          <w:p>
            <w:pPr>
              <w:spacing w:after="0" w:line="240" w:lineRule="auto"/>
            </w:pPr>
            <w:r>
              <w:rPr>
                <w:rFonts w:ascii="Times New Roman" w:hAnsi="Times New Roman" w:eastAsia="Times New Roman"/>
                <w:sz w:val="19"/>
              </w:rPr>
              <w:t>Not intercepted by final validation</w:t>
            </w:r>
          </w:p>
        </w:tc>
      </w:tr>
    </w:tbl>
    <w:p/>
    <w:p>
      <w:pPr>
        <w:spacing w:before="160" w:after="60"/>
      </w:pPr>
      <w:r>
        <w:rPr>
          <w:rFonts w:ascii="Times New Roman" w:hAnsi="Times New Roman" w:eastAsia="Times New Roman"/>
          <w:b/>
          <w:sz w:val="26"/>
        </w:rPr>
        <w:t>5 Interpretation</w:t>
      </w:r>
    </w:p>
    <w:p>
      <w:pPr>
        <w:spacing w:after="100" w:line="252" w:lineRule="auto"/>
        <w:jc w:val="both"/>
      </w:pPr>
      <w:r>
        <w:rPr>
          <w:rFonts w:ascii="Times New Roman" w:hAnsi="Times New Roman" w:eastAsia="Times New Roman"/>
          <w:sz w:val="21"/>
        </w:rPr>
        <w:t>Residual errors occurred at distinct stages of the workflow. Detection failures affected whether a CU was constructed, whereas matched-CU failures concerned logical binding within an otherwise corresponding therapeutic evaluation. Numerical/state and evidence-support errors were assessed at the eligible information-item level. Rule-based validation removed structurally invalid candidates but did not eliminate all clinically plausible yet incorrectly attributed records. The full machine-readable failure log accompanies this document in the repository materials.</w:t>
      </w:r>
    </w:p>
    <w:p>
      <w:pPr>
        <w:spacing w:after="100" w:line="252" w:lineRule="auto"/>
        <w:jc w:val="both"/>
      </w:pPr>
      <w:r>
        <w:rPr>
          <w:rFonts w:ascii="Times New Roman" w:hAnsi="Times New Roman" w:eastAsia="Times New Roman"/>
          <w:sz w:val="21"/>
        </w:rPr>
        <w:t>The failure counts describe the frozen held-out evaluation and should not be interpreted as disease prevalence, publication-level failure rates, or estimates of performance outside the prespecified breast-cancer corpus.</w:t>
      </w:r>
    </w:p>
    <w:sectPr>
      <w:pgSz w:w="11906" w:h="16838"/>
      <w:pgMar w:top="1080" w:right="1152" w:bottom="1080" w:left="1152"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trackRevisions/>
  <w:zoom w:percent="1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E598F4"/>
    <w:rsid w:val="EDE598F4"/>
    <w:rsid w:val="FEEF7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rial" w:hAnsi="Arial" w:eastAsia="Times New Roman" w:cstheme="minorBidi"/>
      <w:sz w:val="19"/>
      <w:szCs w:val="22"/>
      <w:lang w:val="en-US" w:eastAsia="en-US" w:bidi="ar-SA"/>
    </w:rPr>
  </w:style>
  <w:style w:type="paragraph" w:styleId="2">
    <w:name w:val="heading 1"/>
    <w:basedOn w:val="1"/>
    <w:next w:val="1"/>
    <w:qFormat/>
    <w:uiPriority w:val="9"/>
    <w:pPr>
      <w:keepNext/>
      <w:keepLines/>
      <w:spacing w:before="200" w:after="100"/>
      <w:outlineLvl w:val="0"/>
    </w:pPr>
    <w:rPr>
      <w:rFonts w:asciiTheme="majorHAnsi" w:hAnsiTheme="majorHAnsi" w:eastAsiaTheme="majorEastAsia" w:cstheme="majorBidi"/>
      <w:b/>
      <w:bCs/>
      <w:color w:val="17365D"/>
      <w:sz w:val="28"/>
      <w:szCs w:val="28"/>
    </w:rPr>
  </w:style>
  <w:style w:type="paragraph" w:styleId="3">
    <w:name w:val="heading 2"/>
    <w:basedOn w:val="1"/>
    <w:next w:val="1"/>
    <w:unhideWhenUsed/>
    <w:qFormat/>
    <w:uiPriority w:val="9"/>
    <w:pPr>
      <w:keepNext/>
      <w:keepLines/>
      <w:spacing w:before="160" w:after="60"/>
      <w:outlineLvl w:val="1"/>
    </w:pPr>
    <w:rPr>
      <w:rFonts w:asciiTheme="majorHAnsi" w:hAnsiTheme="majorHAnsi" w:eastAsiaTheme="majorEastAsia" w:cstheme="majorBidi"/>
      <w:b/>
      <w:bCs/>
      <w:color w:val="4874CB" w:themeColor="accent1"/>
      <w:sz w:val="23"/>
      <w:szCs w:val="26"/>
      <w14:textFill>
        <w14:solidFill>
          <w14:schemeClr w14:val="accent1"/>
        </w14:solidFill>
      </w14:textFill>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7">
    <w:name w:val="Caption Custom"/>
    <w:uiPriority w:val="0"/>
    <w:pPr>
      <w:keepNext/>
      <w:spacing w:before="80" w:after="60" w:line="276" w:lineRule="auto"/>
      <w:jc w:val="center"/>
    </w:pPr>
    <w:rPr>
      <w:rFonts w:ascii="Arial" w:hAnsi="Arial" w:eastAsia="Times New Roman" w:cstheme="minorBidi"/>
      <w:sz w:val="17"/>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2026-07-12T05:48:00Z</dcterms:created>
  <dc:creator>王龙超</dc:creator>
  <cp:lastModifiedBy>王龙超</cp:lastModifiedBy>
  <dcterms:modified xsi:type="dcterms:W3CDTF">2026-07-12T04:35:14Z</dcterms:modified>
  <dc:title>Multimedia Appendix 7. Computational Cost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93F1C6BFE23E7337BB49526AC0667E16_41</vt:lpwstr>
  </property>
</Properties>
</file>