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Ind w:w="-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/>
              </w:rPr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710148" w:rsidRPr="00710148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begin"/>
      </w:r>
      <w:r w:rsidR="00B51884" w:rsidRPr="00710148">
        <w:rPr>
          <w:rFonts w:ascii="Times New Roman" w:hAnsi="Times New Roman"/>
          <w:b w:val="0"/>
          <w:kern w:val="0"/>
          <w:sz w:val="21"/>
          <w:szCs w:val="20"/>
        </w:rPr>
        <w:instrText xml:space="preserve"> TOC \o "1-3" \h \z \u </w:instrText>
      </w: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separate"/>
      </w:r>
      <w:hyperlink w:anchor="_Toc45688797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概述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2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接入申请流程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3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专业术语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4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网络部署图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关键特性及应用场景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带确认消息发送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高性能单向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生产者集群、消费者集群模式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广播、集群消费模式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指定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过滤消费模式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5.8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1W+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持久化队列及亿级消息堆积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8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使用注意事项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消息堆积问题解决办法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size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最大支持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128K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消息发送失败如何处理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消费过程要做到幂等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消费速度慢处理方式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消费打印日志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客户端支持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配置公司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私服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Maven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pom.xml(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非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更新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NAMESRV_ADDR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799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_Toc456887999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默认集群模式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广播模式消费者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19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记录消息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MsgId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、设置消息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key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1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GMQ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(consumer.xml)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0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附件一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申请业务场景参数清单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2400F6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1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附件二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开发者联系方式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92010" w:rsidRPr="004C0FC4" w:rsidRDefault="00312361" w:rsidP="004E7340">
      <w:pPr>
        <w:snapToGrid w:val="0"/>
        <w:spacing w:line="480" w:lineRule="auto"/>
        <w:rPr>
          <w:rFonts w:ascii="宋体" w:hAnsi="宋体"/>
          <w:color w:val="000000"/>
        </w:rPr>
      </w:pPr>
      <w:r w:rsidRPr="00710148">
        <w:rPr>
          <w:kern w:val="0"/>
          <w:szCs w:val="20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6887971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1B6BA3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</w:p>
    <w:p w:rsidR="00D102FD" w:rsidRDefault="00D102FD" w:rsidP="00D102FD">
      <w:pPr>
        <w:pStyle w:val="1"/>
      </w:pPr>
      <w:bookmarkStart w:id="6" w:name="_Toc456887972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使用。用户需要根据自身业务申请对应Topic名称。为了性能及后续维护方便，建议一个业务或者一个组使用一个Topic（同一个Topic可以根据该Topic下不同的Tag来分类过滤）、不同业务原则上不建议共用一个Topic。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场景参数。其次，在后续过程中，若有业务系统消息队列异常（例如只发送，不消费，大量堆积消息等），为了保证生产环境消息队列整体可用性，可能会对异常业务队列进行降级处理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6887973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消费，即使返些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内的消费者类类似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6887974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6887975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6887976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>消息发送成功，但是此时 slave 不可用，消息已经进入服务器队列，只有此时服务器宕机，消息才会丢失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，但是服务器刷盘超时，消息已经进入服务器队列，只有此时服务器宕机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6887977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6887978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2D6BC0" w:rsidRPr="00F06074" w:rsidRDefault="0091170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生产者及消费者可以作为集群来生产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或者消费消息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(可以是多个线程也可以是多台机器)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生产者集群或者消</w:t>
      </w:r>
      <w:r w:rsidR="00E67FE4">
        <w:rPr>
          <w:rFonts w:ascii="微软雅黑" w:eastAsia="微软雅黑" w:hAnsi="微软雅黑" w:hint="eastAsia"/>
          <w:color w:val="000000"/>
          <w:sz w:val="20"/>
        </w:rPr>
        <w:t>费者集群，通常发送或者消费同一类消息，且发送或者消费逻辑一致。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若多个生产者将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>Producer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ID设置为相同，则为组成一个生产者集群。若多个消费者将Consumer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ID设置为相同则为同一个消费者集群。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一个 </w:t>
      </w:r>
      <w:r w:rsidR="00CC4E4D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Group 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</w:t>
      </w:r>
      <w:r w:rsidR="0001262C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可以包含多个实例，可以是多台机器，也可以是一台机器的多个进程，或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者一个进程的多个对象。</w:t>
      </w:r>
    </w:p>
    <w:p w:rsidR="00653D7A" w:rsidRPr="00920079" w:rsidRDefault="00653D7A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6887979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的各个消费者集群都能接收到对应Topic下的所有消息，但是同个消费者集群（具有相同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6887980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6887981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重启，由于队列总数发生发化，哈希取模后定位的队列会发化，产生短暂的消息顺序不一致。如果业务能容忍在集群异常情况（如某个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="00AA0182">
        <w:rPr>
          <w:rFonts w:ascii="微软雅黑" w:eastAsia="微软雅黑" w:hAnsi="微软雅黑" w:hint="eastAsia"/>
          <w:color w:val="000000"/>
          <w:sz w:val="20"/>
        </w:rPr>
        <w:t>宕机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性、稳定性或者性能都将有所下降。建议非特殊情况请不要采用顺序消费模式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6887982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6887983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6887984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6887985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6887986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6887987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1.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至多重试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次。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2.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送失败，则轮转到下一个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811CAC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3. </w:t>
      </w:r>
      <w:r w:rsidR="00A90CD3">
        <w:rPr>
          <w:rFonts w:ascii="微软雅黑" w:eastAsia="微软雅黑" w:hAnsi="微软雅黑" w:hint="eastAsia"/>
          <w:color w:val="000000"/>
          <w:sz w:val="20"/>
          <w:szCs w:val="20"/>
        </w:rPr>
        <w:t>这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个方法的总耗时时间不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超过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sendMsgTimeout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所以，如果本身向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broker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发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送消息产生超时异常，就不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会再做重试。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以上策略仍然不能保证消息一定发送成功，为保证消息一定成功，建议应用这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样做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如果调用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同步方法发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送失败，则尝试将消息存储到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22201D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A84B64" w:rsidRPr="00374975" w:rsidRDefault="00A84B64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6887988"/>
      <w:r w:rsidRPr="00BF0FAE">
        <w:rPr>
          <w:rFonts w:ascii="Calibri" w:eastAsiaTheme="minorEastAsia" w:hAnsi="Calibri" w:hint="eastAsia"/>
          <w:sz w:val="20"/>
          <w:szCs w:val="20"/>
        </w:rPr>
        <w:t>消费过程要做到幂等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Restful风格幂等API去重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6887989"/>
      <w:r w:rsidRPr="00BF0FAE">
        <w:rPr>
          <w:rFonts w:ascii="Calibri" w:eastAsiaTheme="minorEastAsia" w:hAnsi="Calibri" w:hint="eastAsia"/>
          <w:sz w:val="20"/>
          <w:szCs w:val="20"/>
        </w:rPr>
        <w:t>消费速度慢处理方式</w:t>
      </w:r>
      <w:bookmarkEnd w:id="23"/>
    </w:p>
    <w:p w:rsidR="00450CA6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可以通过启动多个消费者线程或者多台机器，通过提高消费并行度加快消费速度。</w:t>
      </w:r>
    </w:p>
    <w:p w:rsidR="00A84B64" w:rsidRDefault="00A84B64" w:rsidP="00811CAC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6887990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6887991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Pr="0037497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0A2135" w:rsidRDefault="000A2135" w:rsidP="00811CAC">
      <w:pPr>
        <w:pStyle w:val="a0"/>
      </w:pPr>
    </w:p>
    <w:p w:rsidR="0027247C" w:rsidRDefault="0027247C" w:rsidP="0027247C">
      <w:pPr>
        <w:pStyle w:val="1"/>
      </w:pPr>
      <w:bookmarkStart w:id="26" w:name="_Toc455766336"/>
      <w:bookmarkStart w:id="27" w:name="_Toc456887992"/>
      <w:r>
        <w:rPr>
          <w:rFonts w:hint="eastAsia"/>
        </w:rPr>
        <w:t>Maven</w:t>
      </w:r>
      <w:r>
        <w:rPr>
          <w:rFonts w:hint="eastAsia"/>
        </w:rPr>
        <w:t>集成</w:t>
      </w:r>
      <w:bookmarkEnd w:id="26"/>
      <w:bookmarkEnd w:id="27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28" w:name="_Toc455766337"/>
      <w:bookmarkStart w:id="29" w:name="_Toc456887993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28"/>
      <w:bookmarkEnd w:id="29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维护更新也将在Maven私服中操作。具体关于如何配置公司Maven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0" w:name="_Toc455766338"/>
      <w:bookmarkStart w:id="31" w:name="_Toc456887994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bookmarkEnd w:id="30"/>
      <w:bookmarkEnd w:id="31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2" w:name="_Toc455766339"/>
      <w:bookmarkStart w:id="33" w:name="_Toc456887995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2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3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r>
        <w:rPr>
          <w:rFonts w:hint="eastAsia"/>
        </w:rPr>
        <w:t>依赖包至项目。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lastRenderedPageBreak/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4" w:name="_Toc455766340"/>
    </w:p>
    <w:p w:rsidR="0027247C" w:rsidRDefault="0027247C" w:rsidP="0027247C">
      <w:pPr>
        <w:pStyle w:val="1"/>
      </w:pPr>
      <w:bookmarkStart w:id="35" w:name="_Toc456887996"/>
      <w:r>
        <w:rPr>
          <w:rFonts w:hint="eastAsia"/>
        </w:rPr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4"/>
      <w:bookmarkEnd w:id="35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6" w:name="_Toc456887997"/>
      <w:bookmarkStart w:id="37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6"/>
    </w:p>
    <w:p w:rsidR="006E65EE" w:rsidRP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，请全部更新为申请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8" w:name="_Toc456887998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7"/>
      <w:bookmarkEnd w:id="38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39" w:name="_Toc455766342"/>
      <w:bookmarkStart w:id="40" w:name="_Toc456887999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39"/>
      <w:bookmarkEnd w:id="40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1" w:name="_Toc455766343"/>
      <w:bookmarkStart w:id="42" w:name="_Toc456888000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1"/>
      <w:bookmarkEnd w:id="42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lastRenderedPageBreak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3" w:name="_Toc455766344"/>
      <w:bookmarkStart w:id="44" w:name="_Toc456888001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3"/>
      <w:bookmarkEnd w:id="44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5" w:name="_Toc455766345"/>
      <w:bookmarkStart w:id="46" w:name="_Toc456888002"/>
      <w:r w:rsidRPr="009A139A">
        <w:rPr>
          <w:rFonts w:ascii="Calibri" w:eastAsia="宋体" w:hAnsi="Calibri" w:hint="eastAsia"/>
          <w:b/>
          <w:sz w:val="21"/>
          <w:szCs w:val="21"/>
        </w:rPr>
        <w:t>广播模式消费者</w:t>
      </w:r>
      <w:bookmarkEnd w:id="45"/>
      <w:bookmarkEnd w:id="46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7" w:name="_Toc455766346"/>
      <w:bookmarkStart w:id="48" w:name="_Toc456888003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47"/>
      <w:bookmarkEnd w:id="48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9" w:name="_Toc455766347"/>
      <w:bookmarkStart w:id="50" w:name="_Toc456888004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49"/>
      <w:bookmarkEnd w:id="50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1" w:name="_Toc455766348"/>
      <w:bookmarkStart w:id="52" w:name="_Toc456888005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1"/>
      <w:bookmarkEnd w:id="52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3" w:name="_Toc455766349"/>
      <w:bookmarkStart w:id="54" w:name="_Toc456888006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3"/>
      <w:bookmarkEnd w:id="54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5" w:name="_Toc455766350"/>
      <w:bookmarkStart w:id="56" w:name="_Toc456888007"/>
      <w:r w:rsidRPr="009A139A">
        <w:rPr>
          <w:rFonts w:ascii="Calibri" w:eastAsia="宋体" w:hAnsi="Calibri" w:hint="eastAsia"/>
          <w:b/>
          <w:sz w:val="21"/>
          <w:szCs w:val="21"/>
        </w:rPr>
        <w:t>延时模式生产者</w:t>
      </w:r>
      <w:bookmarkEnd w:id="55"/>
      <w:bookmarkEnd w:id="56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</w:r>
      <w:r w:rsidRPr="007F3936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7" w:name="_Toc455766351"/>
      <w:bookmarkStart w:id="58" w:name="_Toc456888008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57"/>
      <w:bookmarkEnd w:id="58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59" w:name="_Toc456888009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59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6888010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0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1" w:name="_Toc456888011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1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2" w:name="_Toc456888012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2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r w:rsidR="00FD231F">
        <w:rPr>
          <w:rFonts w:hint="eastAsia"/>
          <w:sz w:val="20"/>
        </w:rPr>
        <w:t>消息</w:t>
      </w:r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t xml:space="preserve">try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lastRenderedPageBreak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try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消息中间件</w:t>
      </w:r>
      <w:r w:rsidR="003A5988">
        <w:rPr>
          <w:rFonts w:hint="eastAsia"/>
          <w:sz w:val="20"/>
        </w:rPr>
        <w:t>维护数据，是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来当做消息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3" w:name="_Toc455766352"/>
      <w:bookmarkStart w:id="64" w:name="_Toc456888013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5" w:name="_Toc455766353"/>
      <w:bookmarkEnd w:id="63"/>
      <w:bookmarkEnd w:id="64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6" w:name="_Toc456888014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5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67" w:name="_Toc455766354"/>
      <w:bookmarkEnd w:id="66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8" w:name="_Toc456888015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67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68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lastRenderedPageBreak/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9" w:name="_Toc455766355"/>
      <w:bookmarkStart w:id="70" w:name="_Toc456888016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69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0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3B6DBB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1" w:name="_Toc455766356"/>
      <w:bookmarkStart w:id="72" w:name="_Toc456888017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1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2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5766357"/>
      <w:bookmarkStart w:id="74" w:name="_Toc456888018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3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4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lastRenderedPageBreak/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bookmarkStart w:id="75" w:name="_GoBack"/>
      <w:bookmarkEnd w:id="75"/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6" w:name="_Toc455766358"/>
      <w:bookmarkStart w:id="77" w:name="_Toc456888019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6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8" w:name="_Toc455766359"/>
      <w:bookmarkStart w:id="79" w:name="_Toc456888020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8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9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0" w:name="_Toc455766360"/>
      <w:bookmarkStart w:id="81" w:name="_Toc456888021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0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1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61"/>
      <w:bookmarkStart w:id="83" w:name="_Toc456888022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2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4" w:name="_Toc455766362"/>
      <w:bookmarkStart w:id="85" w:name="_Toc456888023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4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5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6" w:name="_Toc455766363"/>
      <w:bookmarkStart w:id="87" w:name="_Toc456888024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6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7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8" w:name="_Toc455766364"/>
      <w:bookmarkStart w:id="89" w:name="_Toc456888025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8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9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5"/>
      <w:bookmarkStart w:id="91" w:name="_Toc456888026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0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2" w:name="_Toc456888027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2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3" w:name="_Toc456888028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4" w:name="_Toc4568880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4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E07ED0" w:rsidRDefault="00E07ED0" w:rsidP="00411EBB">
      <w:pPr>
        <w:rPr>
          <w:rFonts w:ascii="Consolas" w:hAnsi="Consolas"/>
        </w:rPr>
      </w:pPr>
    </w:p>
    <w:p w:rsidR="00D6390E" w:rsidRDefault="00D6390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32928" w:rsidRPr="00AE67DD" w:rsidRDefault="00932928" w:rsidP="00932928">
      <w:pPr>
        <w:rPr>
          <w:rFonts w:ascii="Consolas" w:hAnsi="Consolas"/>
        </w:rPr>
      </w:pPr>
    </w:p>
    <w:p w:rsidR="00932928" w:rsidRPr="00744EFA" w:rsidRDefault="00932928" w:rsidP="00625972">
      <w:pPr>
        <w:pStyle w:val="1"/>
        <w:numPr>
          <w:ilvl w:val="0"/>
          <w:numId w:val="0"/>
        </w:numPr>
        <w:ind w:left="432" w:hanging="432"/>
      </w:pPr>
      <w:bookmarkStart w:id="95" w:name="_附件一:_申请业务场景参数清单"/>
      <w:bookmarkStart w:id="96" w:name="_Toc456888030"/>
      <w:bookmarkEnd w:id="95"/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6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用于处理微店的发货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用于处理微店订单消息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F32810" w:rsidRPr="00F32810" w:rsidRDefault="00F32810" w:rsidP="00F32810">
      <w:pPr>
        <w:rPr>
          <w:rFonts w:ascii="Consolas" w:hAnsi="Consolas"/>
        </w:rPr>
      </w:pPr>
    </w:p>
    <w:p w:rsidR="00932928" w:rsidRDefault="00F32810" w:rsidP="00F32810">
      <w:pPr>
        <w:rPr>
          <w:rFonts w:ascii="Consolas" w:hAnsi="Consolas"/>
        </w:rPr>
      </w:pPr>
      <w:r w:rsidRPr="00F32810">
        <w:rPr>
          <w:rFonts w:ascii="Consolas" w:hAnsi="Consolas" w:hint="eastAsia"/>
        </w:rPr>
        <w:t>注意：为了方便后续运行维护，规范所有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命名以唯一的组标识开头即</w:t>
      </w:r>
      <w:r w:rsidRPr="00F32810">
        <w:rPr>
          <w:rFonts w:ascii="Consolas" w:hAnsi="Consolas" w:hint="eastAsia"/>
        </w:rPr>
        <w:t>o2m-*</w:t>
      </w:r>
      <w:r w:rsidRPr="00F32810">
        <w:rPr>
          <w:rFonts w:ascii="Consolas" w:hAnsi="Consolas" w:hint="eastAsia"/>
        </w:rPr>
        <w:t>等。</w:t>
      </w:r>
    </w:p>
    <w:p w:rsidR="00F67EB8" w:rsidRDefault="00F67EB8" w:rsidP="00932928">
      <w:pPr>
        <w:rPr>
          <w:rFonts w:ascii="Consolas" w:hAnsi="Consolas"/>
        </w:rPr>
      </w:pPr>
    </w:p>
    <w:p w:rsidR="002E35EC" w:rsidRDefault="002E35EC" w:rsidP="00932928">
      <w:pPr>
        <w:rPr>
          <w:rFonts w:ascii="Consolas" w:hAnsi="Consolas"/>
        </w:rPr>
      </w:pPr>
    </w:p>
    <w:p w:rsidR="00C82BA2" w:rsidRDefault="00C82BA2" w:rsidP="00932928">
      <w:pPr>
        <w:rPr>
          <w:rFonts w:ascii="Consolas" w:hAnsi="Consolas"/>
        </w:rPr>
      </w:pPr>
    </w:p>
    <w:p w:rsidR="00932928" w:rsidRPr="00744EFA" w:rsidRDefault="00932928" w:rsidP="002E35EC">
      <w:pPr>
        <w:pStyle w:val="1"/>
        <w:numPr>
          <w:ilvl w:val="0"/>
          <w:numId w:val="0"/>
        </w:numPr>
      </w:pPr>
      <w:bookmarkStart w:id="97" w:name="_附件二：GMQ开发者联系方式"/>
      <w:bookmarkStart w:id="98" w:name="_Toc456888031"/>
      <w:bookmarkEnd w:id="97"/>
      <w:r w:rsidRPr="00744EFA">
        <w:rPr>
          <w:rFonts w:hint="eastAsia"/>
        </w:rPr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98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更新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田玉粮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7D7DC5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yintongqiang@</w:t>
            </w:r>
            <w:r w:rsidRPr="00F67EB8">
              <w:rPr>
                <w:rFonts w:ascii="宋体" w:hAnsi="宋体" w:hint="eastAsia"/>
                <w:b w:val="0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67EB8" w:rsidRDefault="007D7DC5" w:rsidP="007D7DC5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</w:t>
            </w:r>
            <w:r>
              <w:rPr>
                <w:rFonts w:ascii="宋体" w:hAnsi="宋体" w:hint="eastAsia"/>
                <w:b w:val="0"/>
              </w:rPr>
              <w:t>2</w:t>
            </w:r>
            <w:r w:rsidRPr="00F67EB8">
              <w:rPr>
                <w:rFonts w:ascii="宋体" w:hAnsi="宋体" w:hint="eastAsia"/>
                <w:b w:val="0"/>
              </w:rPr>
              <w:t>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0F6" w:rsidRDefault="002400F6">
      <w:r>
        <w:separator/>
      </w:r>
    </w:p>
  </w:endnote>
  <w:endnote w:type="continuationSeparator" w:id="0">
    <w:p w:rsidR="002400F6" w:rsidRDefault="0024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751603" w:rsidRPr="00751603">
      <w:rPr>
        <w:noProof/>
        <w:lang w:val="zh-CN"/>
      </w:rPr>
      <w:t>32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0F6" w:rsidRDefault="002400F6">
      <w:r>
        <w:separator/>
      </w:r>
    </w:p>
  </w:footnote>
  <w:footnote w:type="continuationSeparator" w:id="0">
    <w:p w:rsidR="002400F6" w:rsidRDefault="00240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D74"/>
    <w:rsid w:val="00047C79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DE"/>
    <w:rsid w:val="000660DB"/>
    <w:rsid w:val="000669CC"/>
    <w:rsid w:val="00070D30"/>
    <w:rsid w:val="0007132C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6A29"/>
    <w:rsid w:val="0008787E"/>
    <w:rsid w:val="00090056"/>
    <w:rsid w:val="00090D63"/>
    <w:rsid w:val="000917BC"/>
    <w:rsid w:val="00091BAA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139E"/>
    <w:rsid w:val="000D13C2"/>
    <w:rsid w:val="000D1E7E"/>
    <w:rsid w:val="000D2029"/>
    <w:rsid w:val="000D20EF"/>
    <w:rsid w:val="000D2556"/>
    <w:rsid w:val="000D273A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8F5"/>
    <w:rsid w:val="001169BE"/>
    <w:rsid w:val="00116B15"/>
    <w:rsid w:val="0011764C"/>
    <w:rsid w:val="00117C49"/>
    <w:rsid w:val="001203C8"/>
    <w:rsid w:val="001205BE"/>
    <w:rsid w:val="00120C17"/>
    <w:rsid w:val="00121697"/>
    <w:rsid w:val="00121D48"/>
    <w:rsid w:val="00122AC3"/>
    <w:rsid w:val="00122F8B"/>
    <w:rsid w:val="00124CE9"/>
    <w:rsid w:val="00125026"/>
    <w:rsid w:val="001251FA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A5"/>
    <w:rsid w:val="00132933"/>
    <w:rsid w:val="001337F4"/>
    <w:rsid w:val="00134254"/>
    <w:rsid w:val="00134C63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2342"/>
    <w:rsid w:val="0014299A"/>
    <w:rsid w:val="00142ACA"/>
    <w:rsid w:val="00142C4A"/>
    <w:rsid w:val="00142D38"/>
    <w:rsid w:val="0014315C"/>
    <w:rsid w:val="00143940"/>
    <w:rsid w:val="00145007"/>
    <w:rsid w:val="001507AA"/>
    <w:rsid w:val="00151338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6A7"/>
    <w:rsid w:val="00163DA9"/>
    <w:rsid w:val="00163F37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5387"/>
    <w:rsid w:val="00177610"/>
    <w:rsid w:val="00180612"/>
    <w:rsid w:val="00181007"/>
    <w:rsid w:val="00181260"/>
    <w:rsid w:val="00181561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821"/>
    <w:rsid w:val="001A5B8E"/>
    <w:rsid w:val="001A6AFD"/>
    <w:rsid w:val="001A6EE5"/>
    <w:rsid w:val="001A7325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2091"/>
    <w:rsid w:val="002330B6"/>
    <w:rsid w:val="002337DF"/>
    <w:rsid w:val="00235735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549D"/>
    <w:rsid w:val="00245A8C"/>
    <w:rsid w:val="00246905"/>
    <w:rsid w:val="00246C17"/>
    <w:rsid w:val="00246E24"/>
    <w:rsid w:val="00247FA7"/>
    <w:rsid w:val="00250745"/>
    <w:rsid w:val="00251018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5634"/>
    <w:rsid w:val="002757BA"/>
    <w:rsid w:val="00276A36"/>
    <w:rsid w:val="0027767A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D01"/>
    <w:rsid w:val="002F7153"/>
    <w:rsid w:val="002F730E"/>
    <w:rsid w:val="002F7407"/>
    <w:rsid w:val="002F7681"/>
    <w:rsid w:val="00300DB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EFA"/>
    <w:rsid w:val="00362A3D"/>
    <w:rsid w:val="003667B8"/>
    <w:rsid w:val="00370286"/>
    <w:rsid w:val="00370D55"/>
    <w:rsid w:val="00371E12"/>
    <w:rsid w:val="00373099"/>
    <w:rsid w:val="003741EC"/>
    <w:rsid w:val="00374975"/>
    <w:rsid w:val="00375EC2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337C"/>
    <w:rsid w:val="003E4930"/>
    <w:rsid w:val="003E51B1"/>
    <w:rsid w:val="003E6182"/>
    <w:rsid w:val="003E6A54"/>
    <w:rsid w:val="003E7F0A"/>
    <w:rsid w:val="003F1D4E"/>
    <w:rsid w:val="003F2051"/>
    <w:rsid w:val="003F35DF"/>
    <w:rsid w:val="003F3BAC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A54"/>
    <w:rsid w:val="00401430"/>
    <w:rsid w:val="004023B2"/>
    <w:rsid w:val="00403581"/>
    <w:rsid w:val="004039C5"/>
    <w:rsid w:val="0040497A"/>
    <w:rsid w:val="00404B90"/>
    <w:rsid w:val="00406F14"/>
    <w:rsid w:val="0041031F"/>
    <w:rsid w:val="00410B3B"/>
    <w:rsid w:val="00411268"/>
    <w:rsid w:val="00411BF0"/>
    <w:rsid w:val="00411DB5"/>
    <w:rsid w:val="00411E1D"/>
    <w:rsid w:val="00411EBB"/>
    <w:rsid w:val="00415309"/>
    <w:rsid w:val="00415650"/>
    <w:rsid w:val="0041600D"/>
    <w:rsid w:val="00416CBD"/>
    <w:rsid w:val="00416DC4"/>
    <w:rsid w:val="00417157"/>
    <w:rsid w:val="0041718C"/>
    <w:rsid w:val="004174CE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64D"/>
    <w:rsid w:val="00464B46"/>
    <w:rsid w:val="00465746"/>
    <w:rsid w:val="00466416"/>
    <w:rsid w:val="0046652E"/>
    <w:rsid w:val="004673E5"/>
    <w:rsid w:val="00470211"/>
    <w:rsid w:val="004708B6"/>
    <w:rsid w:val="004709AC"/>
    <w:rsid w:val="004715B5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4AA"/>
    <w:rsid w:val="00485F79"/>
    <w:rsid w:val="004861A0"/>
    <w:rsid w:val="0048653A"/>
    <w:rsid w:val="0048653C"/>
    <w:rsid w:val="00486A43"/>
    <w:rsid w:val="00487051"/>
    <w:rsid w:val="0048739F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26FA"/>
    <w:rsid w:val="004F272C"/>
    <w:rsid w:val="004F3639"/>
    <w:rsid w:val="004F3B2C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3074A"/>
    <w:rsid w:val="00532040"/>
    <w:rsid w:val="005322A1"/>
    <w:rsid w:val="005322B9"/>
    <w:rsid w:val="005329E3"/>
    <w:rsid w:val="0053490C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40D6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224E"/>
    <w:rsid w:val="0058229F"/>
    <w:rsid w:val="005826E6"/>
    <w:rsid w:val="005838E6"/>
    <w:rsid w:val="005842EB"/>
    <w:rsid w:val="005853BB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3536"/>
    <w:rsid w:val="005C45D6"/>
    <w:rsid w:val="005C4821"/>
    <w:rsid w:val="005C4A4E"/>
    <w:rsid w:val="005C528B"/>
    <w:rsid w:val="005C5A50"/>
    <w:rsid w:val="005C5C7E"/>
    <w:rsid w:val="005C6DAB"/>
    <w:rsid w:val="005C73AD"/>
    <w:rsid w:val="005C7920"/>
    <w:rsid w:val="005C7C1D"/>
    <w:rsid w:val="005D10C4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145A"/>
    <w:rsid w:val="0062294A"/>
    <w:rsid w:val="006229C8"/>
    <w:rsid w:val="00622F34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9B7"/>
    <w:rsid w:val="00651FB1"/>
    <w:rsid w:val="006528BB"/>
    <w:rsid w:val="00652ED7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5D83"/>
    <w:rsid w:val="00685EDE"/>
    <w:rsid w:val="00686C6C"/>
    <w:rsid w:val="00686DD7"/>
    <w:rsid w:val="00687442"/>
    <w:rsid w:val="00690D9E"/>
    <w:rsid w:val="0069227A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2E15"/>
    <w:rsid w:val="006B5668"/>
    <w:rsid w:val="006B5868"/>
    <w:rsid w:val="006B58CC"/>
    <w:rsid w:val="006B5A39"/>
    <w:rsid w:val="006B5CFF"/>
    <w:rsid w:val="006B7DE8"/>
    <w:rsid w:val="006B7F34"/>
    <w:rsid w:val="006C1639"/>
    <w:rsid w:val="006C382E"/>
    <w:rsid w:val="006C384E"/>
    <w:rsid w:val="006C38B0"/>
    <w:rsid w:val="006C399B"/>
    <w:rsid w:val="006C3E82"/>
    <w:rsid w:val="006C437F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5B20"/>
    <w:rsid w:val="006D6A65"/>
    <w:rsid w:val="006D6FBE"/>
    <w:rsid w:val="006D7D70"/>
    <w:rsid w:val="006D7D85"/>
    <w:rsid w:val="006E068A"/>
    <w:rsid w:val="006E077B"/>
    <w:rsid w:val="006E1AAB"/>
    <w:rsid w:val="006E270C"/>
    <w:rsid w:val="006E2D55"/>
    <w:rsid w:val="006E3677"/>
    <w:rsid w:val="006E4047"/>
    <w:rsid w:val="006E5F2D"/>
    <w:rsid w:val="006E65EE"/>
    <w:rsid w:val="006E7E91"/>
    <w:rsid w:val="006F00AA"/>
    <w:rsid w:val="006F0B75"/>
    <w:rsid w:val="006F1946"/>
    <w:rsid w:val="006F254C"/>
    <w:rsid w:val="006F38EE"/>
    <w:rsid w:val="006F42A4"/>
    <w:rsid w:val="006F4C13"/>
    <w:rsid w:val="006F4CE9"/>
    <w:rsid w:val="006F4DB4"/>
    <w:rsid w:val="006F5A55"/>
    <w:rsid w:val="006F64FE"/>
    <w:rsid w:val="006F6917"/>
    <w:rsid w:val="006F6D71"/>
    <w:rsid w:val="006F70D6"/>
    <w:rsid w:val="006F76AD"/>
    <w:rsid w:val="00701984"/>
    <w:rsid w:val="007030E3"/>
    <w:rsid w:val="00704B7B"/>
    <w:rsid w:val="00705B3B"/>
    <w:rsid w:val="00706263"/>
    <w:rsid w:val="00706795"/>
    <w:rsid w:val="007072BF"/>
    <w:rsid w:val="00710148"/>
    <w:rsid w:val="00712918"/>
    <w:rsid w:val="00712D82"/>
    <w:rsid w:val="00712FF7"/>
    <w:rsid w:val="00713A38"/>
    <w:rsid w:val="00713E4F"/>
    <w:rsid w:val="007150A0"/>
    <w:rsid w:val="00715659"/>
    <w:rsid w:val="0071569E"/>
    <w:rsid w:val="00716F2C"/>
    <w:rsid w:val="0072154D"/>
    <w:rsid w:val="007220D1"/>
    <w:rsid w:val="00722180"/>
    <w:rsid w:val="0072250A"/>
    <w:rsid w:val="007234BD"/>
    <w:rsid w:val="007237A8"/>
    <w:rsid w:val="00724613"/>
    <w:rsid w:val="00725A51"/>
    <w:rsid w:val="00725CC0"/>
    <w:rsid w:val="00727E8F"/>
    <w:rsid w:val="00727F7F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4553"/>
    <w:rsid w:val="007753A3"/>
    <w:rsid w:val="00775695"/>
    <w:rsid w:val="007800D2"/>
    <w:rsid w:val="0078045C"/>
    <w:rsid w:val="00781014"/>
    <w:rsid w:val="007819DA"/>
    <w:rsid w:val="00782D6C"/>
    <w:rsid w:val="00783C91"/>
    <w:rsid w:val="00784AE5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592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BF7"/>
    <w:rsid w:val="00832433"/>
    <w:rsid w:val="008348C2"/>
    <w:rsid w:val="00834FE9"/>
    <w:rsid w:val="00835930"/>
    <w:rsid w:val="00836BA6"/>
    <w:rsid w:val="008376E1"/>
    <w:rsid w:val="0084013C"/>
    <w:rsid w:val="00841072"/>
    <w:rsid w:val="008420F3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12FA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C42"/>
    <w:rsid w:val="00857D94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B0932"/>
    <w:rsid w:val="008B1ED1"/>
    <w:rsid w:val="008B28D5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3A2A"/>
    <w:rsid w:val="008E3FDF"/>
    <w:rsid w:val="008E4880"/>
    <w:rsid w:val="008E497B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42CA"/>
    <w:rsid w:val="009B4C9B"/>
    <w:rsid w:val="009B4E26"/>
    <w:rsid w:val="009B59FF"/>
    <w:rsid w:val="009C141A"/>
    <w:rsid w:val="009C3933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4AD1"/>
    <w:rsid w:val="009D58C6"/>
    <w:rsid w:val="009D6520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588B"/>
    <w:rsid w:val="00A35D28"/>
    <w:rsid w:val="00A3615A"/>
    <w:rsid w:val="00A36911"/>
    <w:rsid w:val="00A36AD9"/>
    <w:rsid w:val="00A403F1"/>
    <w:rsid w:val="00A40979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55D2"/>
    <w:rsid w:val="00A7597D"/>
    <w:rsid w:val="00A764B7"/>
    <w:rsid w:val="00A768D1"/>
    <w:rsid w:val="00A76A29"/>
    <w:rsid w:val="00A7731C"/>
    <w:rsid w:val="00A776DC"/>
    <w:rsid w:val="00A81E08"/>
    <w:rsid w:val="00A82A70"/>
    <w:rsid w:val="00A82E35"/>
    <w:rsid w:val="00A8342E"/>
    <w:rsid w:val="00A834AC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F0527"/>
    <w:rsid w:val="00AF1C76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5037"/>
    <w:rsid w:val="00B05FD8"/>
    <w:rsid w:val="00B0662E"/>
    <w:rsid w:val="00B06C8F"/>
    <w:rsid w:val="00B07ED5"/>
    <w:rsid w:val="00B11937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954"/>
    <w:rsid w:val="00B370C6"/>
    <w:rsid w:val="00B37679"/>
    <w:rsid w:val="00B3797F"/>
    <w:rsid w:val="00B37CCF"/>
    <w:rsid w:val="00B4044D"/>
    <w:rsid w:val="00B412E9"/>
    <w:rsid w:val="00B42E3C"/>
    <w:rsid w:val="00B432C2"/>
    <w:rsid w:val="00B43404"/>
    <w:rsid w:val="00B43476"/>
    <w:rsid w:val="00B436E1"/>
    <w:rsid w:val="00B43FBF"/>
    <w:rsid w:val="00B43FD5"/>
    <w:rsid w:val="00B4407C"/>
    <w:rsid w:val="00B442B0"/>
    <w:rsid w:val="00B447B2"/>
    <w:rsid w:val="00B44ACD"/>
    <w:rsid w:val="00B45ECB"/>
    <w:rsid w:val="00B46B2B"/>
    <w:rsid w:val="00B4767F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5A18"/>
    <w:rsid w:val="00B662F9"/>
    <w:rsid w:val="00B66BBB"/>
    <w:rsid w:val="00B706A2"/>
    <w:rsid w:val="00B70F0A"/>
    <w:rsid w:val="00B71690"/>
    <w:rsid w:val="00B718D3"/>
    <w:rsid w:val="00B720EB"/>
    <w:rsid w:val="00B722A9"/>
    <w:rsid w:val="00B73160"/>
    <w:rsid w:val="00B769E9"/>
    <w:rsid w:val="00B76CCE"/>
    <w:rsid w:val="00B80203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62D"/>
    <w:rsid w:val="00BB63F9"/>
    <w:rsid w:val="00BB76F9"/>
    <w:rsid w:val="00BC0684"/>
    <w:rsid w:val="00BC0BD9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28FD"/>
    <w:rsid w:val="00BD318F"/>
    <w:rsid w:val="00BD365F"/>
    <w:rsid w:val="00BD3D59"/>
    <w:rsid w:val="00BD4C19"/>
    <w:rsid w:val="00BD5AA6"/>
    <w:rsid w:val="00BD64AA"/>
    <w:rsid w:val="00BD75B5"/>
    <w:rsid w:val="00BD7617"/>
    <w:rsid w:val="00BD7C7D"/>
    <w:rsid w:val="00BE09C2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31A9"/>
    <w:rsid w:val="00BF3EFE"/>
    <w:rsid w:val="00BF40AE"/>
    <w:rsid w:val="00BF4436"/>
    <w:rsid w:val="00BF4B3B"/>
    <w:rsid w:val="00BF6C80"/>
    <w:rsid w:val="00C00043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7C7"/>
    <w:rsid w:val="00C65FBE"/>
    <w:rsid w:val="00C6734C"/>
    <w:rsid w:val="00C67A1F"/>
    <w:rsid w:val="00C70CF3"/>
    <w:rsid w:val="00C71554"/>
    <w:rsid w:val="00C72739"/>
    <w:rsid w:val="00C73247"/>
    <w:rsid w:val="00C73B72"/>
    <w:rsid w:val="00C744C5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6444"/>
    <w:rsid w:val="00CA68A0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336B"/>
    <w:rsid w:val="00D33E73"/>
    <w:rsid w:val="00D35679"/>
    <w:rsid w:val="00D358C9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A3A"/>
    <w:rsid w:val="00D84A05"/>
    <w:rsid w:val="00D85A06"/>
    <w:rsid w:val="00D873D5"/>
    <w:rsid w:val="00D9030C"/>
    <w:rsid w:val="00D92457"/>
    <w:rsid w:val="00D92D38"/>
    <w:rsid w:val="00D92E04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4577"/>
    <w:rsid w:val="00DB51E6"/>
    <w:rsid w:val="00DB7D13"/>
    <w:rsid w:val="00DC0D0E"/>
    <w:rsid w:val="00DC0F39"/>
    <w:rsid w:val="00DC1055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ED"/>
    <w:rsid w:val="00DE49E0"/>
    <w:rsid w:val="00DE5433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4483"/>
    <w:rsid w:val="00E46349"/>
    <w:rsid w:val="00E466DF"/>
    <w:rsid w:val="00E46919"/>
    <w:rsid w:val="00E47110"/>
    <w:rsid w:val="00E47B40"/>
    <w:rsid w:val="00E50162"/>
    <w:rsid w:val="00E505A6"/>
    <w:rsid w:val="00E50AE8"/>
    <w:rsid w:val="00E50CF7"/>
    <w:rsid w:val="00E525CB"/>
    <w:rsid w:val="00E52DA4"/>
    <w:rsid w:val="00E52E5F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A8E"/>
    <w:rsid w:val="00E7298D"/>
    <w:rsid w:val="00E73E17"/>
    <w:rsid w:val="00E74F82"/>
    <w:rsid w:val="00E756A9"/>
    <w:rsid w:val="00E76E7C"/>
    <w:rsid w:val="00E77655"/>
    <w:rsid w:val="00E7775C"/>
    <w:rsid w:val="00E81D38"/>
    <w:rsid w:val="00E82828"/>
    <w:rsid w:val="00E82914"/>
    <w:rsid w:val="00E82A21"/>
    <w:rsid w:val="00E82F12"/>
    <w:rsid w:val="00E82F6E"/>
    <w:rsid w:val="00E830AE"/>
    <w:rsid w:val="00E83388"/>
    <w:rsid w:val="00E853E3"/>
    <w:rsid w:val="00E85879"/>
    <w:rsid w:val="00E85A14"/>
    <w:rsid w:val="00E85C76"/>
    <w:rsid w:val="00E86E07"/>
    <w:rsid w:val="00E87921"/>
    <w:rsid w:val="00E87B96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6A27"/>
    <w:rsid w:val="00EB708D"/>
    <w:rsid w:val="00EC02D5"/>
    <w:rsid w:val="00EC0572"/>
    <w:rsid w:val="00EC0942"/>
    <w:rsid w:val="00EC0B1F"/>
    <w:rsid w:val="00EC0D5C"/>
    <w:rsid w:val="00EC125F"/>
    <w:rsid w:val="00EC181F"/>
    <w:rsid w:val="00EC2F2C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A15"/>
    <w:rsid w:val="00ED57EF"/>
    <w:rsid w:val="00ED67D3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480A"/>
    <w:rsid w:val="00F46E53"/>
    <w:rsid w:val="00F473C6"/>
    <w:rsid w:val="00F47AFE"/>
    <w:rsid w:val="00F516C6"/>
    <w:rsid w:val="00F524DC"/>
    <w:rsid w:val="00F52596"/>
    <w:rsid w:val="00F5314F"/>
    <w:rsid w:val="00F53B0D"/>
    <w:rsid w:val="00F544A6"/>
    <w:rsid w:val="00F54B49"/>
    <w:rsid w:val="00F54C64"/>
    <w:rsid w:val="00F55B17"/>
    <w:rsid w:val="00F55BEC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90781"/>
    <w:rsid w:val="00F91319"/>
    <w:rsid w:val="00F92078"/>
    <w:rsid w:val="00F92EB1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5948"/>
    <w:rsid w:val="00FC1AA2"/>
    <w:rsid w:val="00FC1CA8"/>
    <w:rsid w:val="00FC3683"/>
    <w:rsid w:val="00FC4A04"/>
    <w:rsid w:val="00FC5090"/>
    <w:rsid w:val="00FC52A3"/>
    <w:rsid w:val="00FC56B8"/>
    <w:rsid w:val="00FC5CFB"/>
    <w:rsid w:val="00FC5E78"/>
    <w:rsid w:val="00FD0818"/>
    <w:rsid w:val="00FD0C22"/>
    <w:rsid w:val="00FD1FA4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3416"/>
    <w:rsid w:val="00FF34E6"/>
    <w:rsid w:val="00FF4721"/>
    <w:rsid w:val="00FF5A30"/>
    <w:rsid w:val="00FF5ECE"/>
    <w:rsid w:val="00FF67DE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64A42"/>
    <w:pPr>
      <w:adjustRightInd w:val="0"/>
    </w:pPr>
    <w:rPr>
      <w:b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BFA43-45CD-4885-AA09-4491C2B94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38</Pages>
  <Words>6529</Words>
  <Characters>37216</Characters>
  <Application>Microsoft Office Word</Application>
  <DocSecurity>0</DocSecurity>
  <Lines>310</Lines>
  <Paragraphs>87</Paragraphs>
  <ScaleCrop>false</ScaleCrop>
  <Company>国美电器</Company>
  <LinksUpToDate>false</LinksUpToDate>
  <CharactersWithSpaces>43658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93</cp:revision>
  <cp:lastPrinted>2016-07-11T03:27:00Z</cp:lastPrinted>
  <dcterms:created xsi:type="dcterms:W3CDTF">2016-07-13T02:48:00Z</dcterms:created>
  <dcterms:modified xsi:type="dcterms:W3CDTF">2016-07-21T10:25:00Z</dcterms:modified>
</cp:coreProperties>
</file>