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BD6629" w:rsidRPr="00BD6629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8781415" w:history="1">
        <w:r w:rsidR="00BD6629"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</w:t>
        </w:r>
        <w:r w:rsidR="00BD6629"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="00BD6629"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概述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_Toc458781415 \h </w:instrTex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="00BD6629"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6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2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接入申请流程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_Toc458781416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7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3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专业术语</w:t>
        </w:r>
        <w:bookmarkStart w:id="2" w:name="_GoBack"/>
        <w:bookmarkEnd w:id="2"/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_Toc458781417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7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8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4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网络部署图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_Toc458781418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1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关键特性及应用场景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_Toc458781419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0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5.1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带确认消息发送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_Toc458781420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9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1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5.2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高性能单向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SendOneWay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_Toc458781421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2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5.3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生产者集群、消费者集群模式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_Toc458781422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3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5.4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广播、集群消费模式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_Toc458781423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10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4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5.5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延时消费模式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_Toc458781424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5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5.6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顺序消费模式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_Toc458781425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6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5.7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指定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过滤消费模式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_Toc458781426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11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7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5.8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支持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1W+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持久化队列及亿级消息堆积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_Toc458781427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28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使用注意事项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_Toc458781428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2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6.1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消息堆积问题解决办法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_Toc458781429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0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6.2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size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最大支持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128K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_Toc458781430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1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6.3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消息发送失败如何处理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_Toc458781431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2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6.4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消费过程要做到幂等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_Toc458781432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3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6.5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消费速度慢处理方式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_Toc458781433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13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4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6.6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消费打印日志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_Toc458781434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5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6.7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客户端支持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_Toc458781435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6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6.8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多套业务环境共用消息队列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_Toc458781436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14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7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6.9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复杂场景生产者组与消费者组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_Toc458781437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15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38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_Toc458781438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3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7.1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配置公司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私服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_Toc458781439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0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7.2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Maven 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_Toc458781440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1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7.3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Maven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工程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pom.xml(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Spring)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_Toc458781441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42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GMQ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非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_Toc458781442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3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8.1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更新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NAMESRV_ADDR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配置项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_Toc458781443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4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8.2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_Toc458781444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17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5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_Toc458781445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17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6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SendOneWay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_Toc458781446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18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7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8.2.3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普通消费者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默认集群模式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_Toc458781447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19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48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8.2.4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广播模式消费者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_Toc458781448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21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4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8.3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_Toc458781449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22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0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顺序模式生产者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_Toc458781450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22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1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8.3.2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顺序模式消费者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_Toc458781451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23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2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8.4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_Toc458781452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24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3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延时模式生产者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_Toc458781453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25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4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8.4.2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延时模式消费者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_Toc458781454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26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5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8.5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_Toc458781455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27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6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生产者设置消息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_Toc458781456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57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8.5.2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消费者设置消息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Tag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_Toc458781457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28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58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8.6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记录消息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MsgId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、设置消息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key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_Toc458781458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29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5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</w:t>
        </w:r>
        <w:r w:rsidRPr="00BD6629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GMQ 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集成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示例代码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_Toc458781459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0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9.1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普通生产者、消费者模式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_Toc458781460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30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1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_Toc458781461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30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2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_Toc458781462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3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9.1.3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_Toc458781463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32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4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9.1.4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消费者配置文件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(consumer.xml)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_Toc458781464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33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5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9.2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顺序生产者、消费者模式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_Toc458781465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34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6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_Toc458781466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34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7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_Toc458781467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68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9.2.3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_Toc458781468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69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9.3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延时生产者、消费者模式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方式）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_Toc458781469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36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0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_Toc458781470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36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1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生产者配置文件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(producer.xml)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_Toc458781471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2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9.3.3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_Toc458781472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1"/>
        </w:rPr>
      </w:pPr>
      <w:hyperlink w:anchor="_Toc458781473" w:history="1"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9.4</w:t>
        </w:r>
        <w:r w:rsidRPr="00BD6629">
          <w:rPr>
            <w:rFonts w:ascii="Times New Roman" w:hAnsi="Times New Roman" w:cstheme="minorBidi"/>
            <w:b w:val="0"/>
            <w:bCs w:val="0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设置消息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Tag(Spring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_Toc458781473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38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4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9.4.1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生产者设置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_Toc458781474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1"/>
        </w:rPr>
      </w:pPr>
      <w:hyperlink w:anchor="_Toc458781475" w:history="1"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9.4.2</w:t>
        </w:r>
        <w:r w:rsidRPr="00BD6629">
          <w:rPr>
            <w:rFonts w:ascii="Times New Roman" w:hAnsi="Times New Roman" w:cstheme="minorBidi"/>
            <w:noProof/>
            <w:sz w:val="21"/>
            <w:szCs w:val="21"/>
          </w:rPr>
          <w:tab/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消费者设置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Tag(Spring</w:t>
        </w:r>
        <w:r w:rsidRPr="00BD6629">
          <w:rPr>
            <w:rStyle w:val="af0"/>
            <w:rFonts w:ascii="Times New Roman" w:hAnsi="Times New Roman" w:hint="eastAsia"/>
            <w:noProof/>
            <w:sz w:val="21"/>
            <w:szCs w:val="21"/>
          </w:rPr>
          <w:t>方式</w:t>
        </w:r>
        <w:r w:rsidRPr="00BD6629">
          <w:rPr>
            <w:rStyle w:val="af0"/>
            <w:rFonts w:ascii="Times New Roman" w:hAnsi="Times New Roman"/>
            <w:noProof/>
            <w:sz w:val="21"/>
            <w:szCs w:val="21"/>
          </w:rPr>
          <w:t>)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instrText xml:space="preserve"> PAGEREF _Toc458781475 \h </w:instrTex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t>38</w:t>
        </w:r>
        <w:r w:rsidRPr="00BD6629">
          <w:rPr>
            <w:rFonts w:ascii="Times New Roman" w:hAnsi="Times New Roman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6" w:history="1"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附件一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申请业务场景参数清单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_Toc458781476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39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BD6629" w:rsidRPr="00BD6629" w:rsidRDefault="00BD6629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1"/>
        </w:rPr>
      </w:pPr>
      <w:hyperlink w:anchor="_Toc458781477" w:history="1"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附件二</w:t>
        </w:r>
        <w:r w:rsidRPr="00BD6629">
          <w:rPr>
            <w:rStyle w:val="af0"/>
            <w:rFonts w:ascii="Times New Roman" w:hAnsi="Times New Roman"/>
            <w:b w:val="0"/>
            <w:noProof/>
            <w:sz w:val="21"/>
            <w:szCs w:val="21"/>
          </w:rPr>
          <w:t xml:space="preserve">  GMQ</w:t>
        </w:r>
        <w:r w:rsidRPr="00BD6629">
          <w:rPr>
            <w:rStyle w:val="af0"/>
            <w:rFonts w:ascii="Times New Roman" w:hAnsi="Times New Roman" w:hint="eastAsia"/>
            <w:b w:val="0"/>
            <w:noProof/>
            <w:sz w:val="21"/>
            <w:szCs w:val="21"/>
          </w:rPr>
          <w:t>开发者联系方式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ab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begin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instrText xml:space="preserve"> PAGEREF _Toc458781477 \h </w:instrTex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separate"/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t>41</w:t>
        </w:r>
        <w:r w:rsidRPr="00BD6629">
          <w:rPr>
            <w:rFonts w:ascii="Times New Roman" w:hAnsi="Times New Roman"/>
            <w:b w:val="0"/>
            <w:noProof/>
            <w:webHidden/>
            <w:sz w:val="21"/>
            <w:szCs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3" w:name="_Toc144006977"/>
      <w:bookmarkStart w:id="4" w:name="_Toc73247943"/>
      <w:bookmarkStart w:id="5" w:name="_Toc73267403"/>
      <w:bookmarkStart w:id="6" w:name="_Toc458781415"/>
      <w:r w:rsidRPr="00F87189">
        <w:rPr>
          <w:rFonts w:hint="eastAsia"/>
        </w:rPr>
        <w:lastRenderedPageBreak/>
        <w:t>概述</w:t>
      </w:r>
      <w:bookmarkEnd w:id="6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7" w:name="_Toc458781416"/>
      <w:r w:rsidRPr="00F072A1">
        <w:rPr>
          <w:rFonts w:hint="eastAsia"/>
        </w:rPr>
        <w:t>接入申请流程</w:t>
      </w:r>
      <w:bookmarkEnd w:id="7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8" w:name="_Toc458781417"/>
      <w:bookmarkEnd w:id="0"/>
      <w:bookmarkEnd w:id="1"/>
      <w:r>
        <w:rPr>
          <w:rFonts w:hint="eastAsia"/>
        </w:rPr>
        <w:t>专业术语</w:t>
      </w:r>
      <w:bookmarkEnd w:id="8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9" w:name="_Toc458781418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9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10" w:name="_Toc458781419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10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1" w:name="_Toc458781420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2" w:name="_Toc458781421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2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3" w:name="_Toc458781422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3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8781423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4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8781424"/>
      <w:r w:rsidRPr="00511D48">
        <w:rPr>
          <w:rFonts w:ascii="Calibri" w:eastAsia="宋体" w:hAnsi="Calibri" w:hint="eastAsia"/>
          <w:sz w:val="20"/>
        </w:rPr>
        <w:t>延时消费模式</w:t>
      </w:r>
      <w:bookmarkEnd w:id="15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6" w:name="_Toc458781425"/>
      <w:r w:rsidRPr="00511D48">
        <w:rPr>
          <w:rFonts w:ascii="Calibri" w:eastAsia="宋体" w:hAnsi="Calibri" w:hint="eastAsia"/>
          <w:sz w:val="20"/>
        </w:rPr>
        <w:t>顺序消费模式</w:t>
      </w:r>
      <w:bookmarkEnd w:id="16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7" w:name="_Toc458781426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7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8" w:name="_Toc458781427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8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9" w:name="_Toc458781428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9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8781429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20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8781430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1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8781431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2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8781432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3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8781433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4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8781434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5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8781435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6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8781436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7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8" w:name="_Toc458781437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8"/>
    </w:p>
    <w:p w:rsidR="008F6B9A" w:rsidRDefault="00487935" w:rsidP="00683EEA">
      <w:r>
        <w:object w:dxaOrig="8828" w:dyaOrig="5724">
          <v:shape id="_x0000_i1025" type="#_x0000_t75" style="width:441.5pt;height:285.95pt" o:ole="">
            <v:imagedata r:id="rId13" o:title=""/>
          </v:shape>
          <o:OLEObject Type="Embed" ProgID="Visio.Drawing.11" ShapeID="_x0000_i1025" DrawAspect="Content" ObjectID="_1532523283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 ConsumerGroupID-test组、 ConsumerGroupID-demo组均可以收到消息A。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例如ConsumerGroupID-test组Consumer实例X与实例Y，只能有一个实例能收到消息A；同理ConsumerGroupID-demo组Consumer实例Z与实例W，只能有一个实例能收到消息A。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的生产者实例，发送消息逻辑一致。相同Group</w:t>
      </w:r>
      <w:r w:rsidR="006649DE"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的消费者实例，消费消息逻辑一致。</w:t>
      </w: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9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927B9">
        <w:rPr>
          <w:rFonts w:asciiTheme="minorEastAsia" w:eastAsiaTheme="minorEastAsia" w:hAnsiTheme="minorEastAsia" w:hint="eastAsia"/>
          <w:sz w:val="20"/>
          <w:szCs w:val="20"/>
        </w:rPr>
        <w:t>Consumer</w:t>
      </w:r>
      <w:r>
        <w:rPr>
          <w:rFonts w:asciiTheme="minorEastAsia" w:eastAsiaTheme="minorEastAsia" w:hAnsiTheme="minorEastAsia" w:hint="eastAsia"/>
          <w:sz w:val="20"/>
          <w:szCs w:val="20"/>
        </w:rPr>
        <w:t>Group组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1913B9">
        <w:rPr>
          <w:rFonts w:asciiTheme="minorEastAsia" w:eastAsiaTheme="minorEastAsia" w:hAnsiTheme="minorEastAsia" w:hint="eastAsia"/>
          <w:sz w:val="20"/>
          <w:szCs w:val="20"/>
        </w:rPr>
        <w:t>Consumer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Group组会再次收到消息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，即使这些消息已经被消费，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-update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该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ConsumerGroupID-test</w:t>
      </w:r>
      <w:r w:rsidR="00065C45">
        <w:rPr>
          <w:rFonts w:asciiTheme="minorEastAsia" w:eastAsiaTheme="minorEastAsia" w:hAnsiTheme="minorEastAsia" w:hint="eastAsia"/>
          <w:sz w:val="20"/>
          <w:szCs w:val="20"/>
        </w:rPr>
        <w:t>-update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组也会收到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Pr="00780DF1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0" w:name="_Toc458781438"/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9"/>
      <w:bookmarkEnd w:id="30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1" w:name="_Toc455766337"/>
      <w:bookmarkStart w:id="32" w:name="_Toc458781439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1"/>
      <w:bookmarkEnd w:id="32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8"/>
      <w:bookmarkStart w:id="34" w:name="_Toc458781440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3"/>
      <w:bookmarkEnd w:id="34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9"/>
      <w:bookmarkStart w:id="36" w:name="_Toc458781441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5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6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7" w:name="_Toc455766340"/>
    </w:p>
    <w:p w:rsidR="0027247C" w:rsidRDefault="0027247C" w:rsidP="0027247C">
      <w:pPr>
        <w:pStyle w:val="1"/>
      </w:pPr>
      <w:bookmarkStart w:id="38" w:name="_Toc458781442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7"/>
      <w:bookmarkEnd w:id="38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9" w:name="_Toc455766341"/>
      <w:bookmarkStart w:id="40" w:name="_Toc458781443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40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8781444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9"/>
      <w:bookmarkEnd w:id="41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2" w:name="_Toc455766342"/>
      <w:bookmarkStart w:id="43" w:name="_Toc458781445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2"/>
      <w:bookmarkEnd w:id="43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3"/>
      <w:bookmarkStart w:id="45" w:name="_Toc458781446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4"/>
      <w:bookmarkEnd w:id="45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4"/>
      <w:bookmarkStart w:id="47" w:name="_Toc458781447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5"/>
      <w:bookmarkStart w:id="49" w:name="_Toc458781448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0" w:name="_Toc455766346"/>
      <w:bookmarkStart w:id="51" w:name="_Toc45878144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0"/>
      <w:bookmarkEnd w:id="5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7"/>
      <w:bookmarkStart w:id="53" w:name="_Toc458781450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2"/>
      <w:bookmarkEnd w:id="53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8"/>
      <w:bookmarkStart w:id="55" w:name="_Toc458781451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4"/>
      <w:bookmarkEnd w:id="55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6" w:name="_Toc455766349"/>
      <w:bookmarkStart w:id="57" w:name="_Toc45878145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6"/>
      <w:bookmarkEnd w:id="5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0"/>
      <w:bookmarkStart w:id="59" w:name="_Toc458781453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8"/>
      <w:bookmarkEnd w:id="59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1"/>
      <w:bookmarkStart w:id="61" w:name="_Toc458781454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60"/>
      <w:bookmarkEnd w:id="61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2" w:name="_Toc458781455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2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3" w:name="_Toc458781456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3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4" w:name="_Toc458781457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4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5" w:name="_Toc458781458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5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6" w:name="_Toc455766352"/>
      <w:bookmarkStart w:id="67" w:name="_Toc458781459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8" w:name="_Toc455766353"/>
      <w:bookmarkEnd w:id="66"/>
      <w:bookmarkEnd w:id="67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9" w:name="_Toc458781460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8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0" w:name="_Toc455766354"/>
      <w:bookmarkEnd w:id="6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1" w:name="_Toc458781461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0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5"/>
      <w:bookmarkStart w:id="73" w:name="_Toc45878146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2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6"/>
      <w:bookmarkStart w:id="75" w:name="_Toc45878146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4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7"/>
      <w:bookmarkStart w:id="77" w:name="_Toc458781464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6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8" w:name="_Toc455766358"/>
      <w:bookmarkStart w:id="79" w:name="_Toc458781465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8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59"/>
      <w:bookmarkStart w:id="81" w:name="_Toc458781466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0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0"/>
      <w:bookmarkStart w:id="83" w:name="_Toc458781467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1"/>
      <w:bookmarkStart w:id="85" w:name="_Toc45878146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6" w:name="_Toc455766362"/>
      <w:bookmarkStart w:id="87" w:name="_Toc458781469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6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3"/>
      <w:bookmarkStart w:id="89" w:name="_Toc458781470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8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4"/>
      <w:bookmarkStart w:id="91" w:name="_Toc45878147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0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5"/>
      <w:bookmarkStart w:id="93" w:name="_Toc45878147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2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4" w:name="_Toc458781473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4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5" w:name="_Toc458781474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6" w:name="_Toc45878147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6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7" w:name="_附件一:_申请业务场景参数清单"/>
      <w:bookmarkEnd w:id="97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98" w:name="_Toc458781476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8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9" w:name="_附件二：GMQ开发者联系方式"/>
      <w:bookmarkEnd w:id="99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0" w:name="_Toc45878147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0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151900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900" w:rsidRDefault="00151900">
      <w:r>
        <w:separator/>
      </w:r>
    </w:p>
  </w:endnote>
  <w:endnote w:type="continuationSeparator" w:id="0">
    <w:p w:rsidR="00151900" w:rsidRDefault="0015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BD6629" w:rsidRPr="00BD6629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900" w:rsidRDefault="00151900">
      <w:r>
        <w:separator/>
      </w:r>
    </w:p>
  </w:footnote>
  <w:footnote w:type="continuationSeparator" w:id="0">
    <w:p w:rsidR="00151900" w:rsidRDefault="00151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4985"/>
    <w:rsid w:val="00175387"/>
    <w:rsid w:val="00177610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3CCD"/>
    <w:rsid w:val="00774553"/>
    <w:rsid w:val="007753A3"/>
    <w:rsid w:val="00775695"/>
    <w:rsid w:val="007800D2"/>
    <w:rsid w:val="0078045C"/>
    <w:rsid w:val="00780DF1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2B8D"/>
    <w:rsid w:val="00FF3416"/>
    <w:rsid w:val="00FF34E6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83742-7980-4A41-9144-F23190EF9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41</Pages>
  <Words>6791</Words>
  <Characters>38710</Characters>
  <Application>Microsoft Office Word</Application>
  <DocSecurity>0</DocSecurity>
  <Lines>322</Lines>
  <Paragraphs>90</Paragraphs>
  <ScaleCrop>false</ScaleCrop>
  <Company>国美电器</Company>
  <LinksUpToDate>false</LinksUpToDate>
  <CharactersWithSpaces>45411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347</cp:revision>
  <cp:lastPrinted>2016-07-11T03:27:00Z</cp:lastPrinted>
  <dcterms:created xsi:type="dcterms:W3CDTF">2016-07-13T02:48:00Z</dcterms:created>
  <dcterms:modified xsi:type="dcterms:W3CDTF">2016-08-12T08:08:00Z</dcterms:modified>
</cp:coreProperties>
</file>