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Results</w:t>
      </w:r>
    </w:p>
    <w:p>
      <w:pPr>
        <w:pStyle w:val="Heading2"/>
      </w:pPr>
      <w:r>
        <w:t>Single-cell transcriptomic landscape reveals cellular heterogeneity in TNBC</w:t>
      </w:r>
    </w:p>
    <w:p>
      <w:r>
        <w:t>Triple-negative breast cancer (TNBC) represents the most aggressive and therapeutically challenging breast cancer subtype, characterized by the absence of estrogen receptor, progesterone receptor, and human epidermal growth factor receptor 2 expression [1]. To comprehensively characterize the cellular composition and heterogeneity of the TNBC tumor microenvironment (TME), we integrated single-cell RNA sequencing (scRNA-seq) data from 3 normal breast tissue samples and 16 TNBC tumor samples (Supplementary Table 1), comprising a total of 84,837 cells after rigorous quality control and batch effect correction (Supplementary Figure 1A-B) [17,18]. Uniform Manifold Approximation and Projection (UMAP) [2] dimensionality reduction identified 11 distinct cell clusters (Figure 1A). Cell type annotation was performed using established marker genes and cluster-specific highly expressed genes (Figure 1B), revealing the following cell populations: Epithelial cells (cluster 0), T cells (cluster 1), Proliferating Epithelial cells (cluster 2), Macrophages (cluster 3), Fibroblasts (cluster 4), Basal cells (cluster 5), Endothelial cells (cluster 6), Luminal Epithelial cells (cluster 7), Plasma cells (cluster 8), Pericytes (cluster 9), and B cells (cluster 10) (Figure 1C, Supplementary Figure 1C).</w:t>
      </w:r>
    </w:p>
    <w:p>
      <w:r>
        <w:t>Comparative analysis of cell type proportions between normal and TNBC tissues revealed substantially elevated infiltration of immune cells in tumor samples, particularly B cells, T cells, and macrophages (Figure 1D, Supplementary Figure 1D, Supplementary Table 2). This increased immune infiltration is consistent with the immunogenic nature of TNBC and reflects an active immune response within the TME. Notably, the pronounced T cell infiltration observed in our cohort aligns with previous studies demonstrating the prognostic significance of tumor-infiltrating lymphocytes (TILs) in TNBC, where higher TIL density correlates with improved clinical outcomes and enhanced response to chemotherapy [3].</w:t>
      </w:r>
    </w:p>
    <w:p>
      <w:r>
        <w:t>Differential expression analysis across all 11 cell types identified cell type-specific transcriptional alterations between TNBC and normal tissues (Figure 1E). Notably, T cells exhibited significant upregulation of immunoglobulin variable genes (IGLV1), T cell receptor components (TRBV20-1), and metabolic genes (ATP5E) in TNBC samples (adjusted P &lt; 0.01), suggesting enhanced T cell activation and clonal expansion within the TME. Macrophages demonstrated upregulation of inflammatory markers and chemokine receptors, while cancer-associated fibroblasts (CAFs) showed elevated expression of extracellular matrix remodeling genes and immunosuppressive factors.</w:t>
      </w:r>
    </w:p>
    <w:p>
      <w:r>
        <w:t>Gene Ontology (GO) enrichment analysis [16] revealed distinct functional patterns characteristic of the TNBC microenvironment (Supplementary Figure 2). Upregulated genes were predominantly enriched in immune-related pathways, with "antigen processing and presentation" universally enriched across all 11 cell types (adjusted P &lt; 0.01), reflecting the immunogenic potential of TNBC. T cell-related pathways, including "T cell proliferation," "lymphocyte-mediated immunity," and "T cell activation," were significantly upregulated in both immune and stromal cell populations, suggesting coordinated immune activation across multiple cellular compartments. In contrast, downregulated genes were enriched in metabolic pathways including "regulation of translation," "ribosomal biogenesis," and "response to oxidative stress," most prominently observed in endothelial cells and fibroblasts. This reciprocal pattern of immune activation coupled with metabolic reprogramming reflects the complex adaptations occurring in the TNBC microenvironment.</w:t>
      </w:r>
    </w:p>
    <w:p>
      <w:pPr>
        <w:pStyle w:val="Heading2"/>
      </w:pPr>
      <w:r>
        <w:t>Enhanced intercellular communication networks in the TNBC microenvironment</w:t>
      </w:r>
    </w:p>
    <w:p>
      <w:r>
        <w:t>To systematically delineate the complex intercellular communication networks governing T cell function within the TNBC TME, we employed CellChat [4], a computationally rigorous framework for inferring and quantifying cell-cell interactions from scRNA-seq data (Figure 2A-D and Supplementary Table S2). Our analysis identified 87 distinct signaling pathways mediating intercellular communication, comprising 44 pathways shared between normal and TNBC tissues, 31 TNBC-specific pathways, and 12 normal-specific pathways (Figure 2E). This substantial expansion of TNBC-specific signaling axes suggests a profound remodeling of the communication landscape during malignant transformation, potentially facilitating immune evasion and tumor progression.</w:t>
      </w:r>
    </w:p>
    <w:p>
      <w:r>
        <w:t>Comparative quantitative analysis of signaling strength revealed striking alterations in T cell communication patterns between normal breast tissue and TNBC. Two-dimensional representation of outgoing and incoming interaction strengths demonstrated that T cells in TNBC exhibited dramatically enhanced incoming signaling relative to normal tissue, with a 2.5-fold increase in signal reception strength (P &lt; 0.001) (Figure 2F, G). This enhanced incoming signaling indicates that T cells within the TNBC microenvironment are subjected to intensified regulatory inputs from surrounding cellular populations. Pathway-specific analysis identified distinctive signaling alterations in TNBC T cells, particularly through the macrophage migration inhibitory factor (MIF), CXCL, CCL, and MHC-I pathways (Figure 2H), implicating these signaling axes as critical mediators of T cell regulation and dysfunction in the TME [5,6].</w:t>
      </w:r>
    </w:p>
    <w:p>
      <w:r>
        <w:t>To comprehensively assess the global signaling landscape, we examined incoming and outgoing signaling patterns across all cell types in normal and TNBC tissues (Supplementary Figure S3A, B). Analysis of incoming signaling patterns revealed that TNBC tissues exhibited substantially altered signal reception profiles compared to normal breast tissue, with prominent changes in COLLAGEN, MHC-I, CXCL, CCL, and COMPLEMENT pathways (Supplementary Figure S3A). Notably, T cells, macrophages, and endothelial cells demonstrated markedly increased incoming signal strength in TNBC, consistent with their roles as key regulatory nodes within the TME. Conversely, examination of outgoing signaling patterns showed that TNBC tissues displayed enhanced ligand production across multiple pathways, particularly in MHC-I, COLLAGEN, CXCL, and CCL signaling axes (Supplementary Figure S3B). Epithelial cells, macrophages, and CAFs emerged as dominant signal senders in TNBC, suggesting their active participation in reshaping the immunosuppressive microenvironment through secretion of immunomodulatory chemokines and cytokines [5,6].</w:t>
      </w:r>
    </w:p>
    <w:p>
      <w:r>
        <w:t>Network topology analysis illustrated the complexity of intercellular communication in normal breast tissue, revealing extensive crosstalk among epithelial populations, immune cells, and stromal components (Supplementary Figure S3C). This balanced communication network appeared to maintain tissue homeostasis through coordinated signaling among multiple cell types. To investigate the molecular basis underlying these communication networks, we examined the expression patterns of key ligand-receptor pairs across cell types (Supplementary Figure S3D). Cell-type-specific expression analysis revealed differential distribution of chemokine ligands and receptors, with CCL and CXCL family members showing distinct expression patterns between normal and TNBC contexts. Notably, CCL5 was predominantly expressed by T cells and plasma cells, while CXCL12 showed enrichment in fibroblasts and endothelial cells. Chemokine receptors including CXCR3, CXCR4, and CCR1 exhibited cell-type-specific distribution patterns, with CXCR4 broadly expressed across immune populations and ACKR1 specifically enriched in endothelial cells. These expression patterns provide the molecular foundation for the observed communication networks.</w:t>
      </w:r>
    </w:p>
    <w:p>
      <w:r>
        <w:t>Ligand-receptor interaction analysis revealed complex multicellular signaling networks converging on T cells within TNBC tissues. Nine distinct cellular populations functioned as ligand-expressing sender cells, communicating with T cells through the MIF, CXCL, CCL, and COMPLEMENT pathways via multiple cognate ligand-receptor pairs (Figure 2I). The MIF signaling pathway exhibited the most diverse cellular source distribution, with epithelial cells (communication probability: 0.112 ± 0.016), macrophages (0.073 ± 0.011), fibroblasts (0.070 ± 0.011), and endothelial cells (0.055 ± 0.008) serving as predominant signal sources [7]. Notably, MIF signaling was transduced through two distinct receptor complexes: CD74-CD44 and CD74-CXCR4, suggesting functional heterogeneity in MIF-mediated T cell regulation. Among chemokine pathways, CXCL12-CXCR4 interactions were particularly prominent, likely contributing to T cell recruitment and retention within the TME. Additionally, CXCL10-CXCR3 signaling emerged as a bidirectional communication circuit between T cells and macrophages, with both cell types serving as both ligand producers and signal receivers.</w:t>
      </w:r>
    </w:p>
    <w:p>
      <w:r>
        <w:t>Reciprocal analysis of T cell-derived signaling identified three primary receiver populations: B cells, macrophages, and endothelial cells (Figure 2J). T cells communicated with these populations primarily through MIF and CCL signaling pathways. Specifically, T cells secreted MIF to engage CD74-containing receptor complexes on target cells, while also producing CCL5, which interacted with ACKR1 and CCR1 receptors on endothelial cells and macrophages. The identification of CXCL10-CXCR3 as a bidirectional signaling axis between T cells and macrophages is particularly noteworthy, as it suggests reciprocal regulatory interactions between these two immune populations within the TNBC microenvironment.</w:t>
      </w:r>
    </w:p>
    <w:p>
      <w:r>
        <w:t>Collectively, these findings delineate a comprehensive cell-cell communication network centered on T cells within the TNBC TME, with MIF and chemokine signaling pathways emerging as dominant mediators of intercellular crosstalk [4,5,6,7]. The global analysis of incoming and outgoing signaling patterns, coupled with detailed ligand-receptor expression profiling, reveals a coordinated remodeling of the communication landscape in TNBC. The enhanced incoming signaling to T cells, expansion of TNBC-specific communication pathways, and altered expression of key signaling molecules suggest that the TME exerts multifaceted regulatory control over T cell function through both paracrine and juxtacrine mechanisms.</w:t>
      </w:r>
    </w:p>
    <w:p>
      <w:pPr>
        <w:pStyle w:val="Heading2"/>
      </w:pPr>
      <w:r>
        <w:t>Identification of ubiquitination-related prognostic genes through integrated analysis</w:t>
      </w:r>
    </w:p>
    <w:p>
      <w:r>
        <w:t>Given the pivotal role of T cells in determining TNBC progression and clinical outcomes, coupled with the fundamental involvement of ubiquitination in regulating diverse cellular processes including proliferation, differentiation, cell cycle progression, apoptosis, and oncogenesis [8], we conducted an integrated multi-omics analysis to identify prognostically relevant ubiquitination-related genes in the T cell compartment. The ubiquitin-proteasome system (UPS) represents a critical post-translational regulatory mechanism that governs protein stability and function, with particular importance in immune cell biology and T cell activation, exhaustion, and effector function. We first identified 3,067 T cell-associated genes from our scRNA-seq analysis and intersected them with 807 established ubiquitination-related genes, yielding 177 T cell-related ubiquitination genes (TCRUG) for further investigation (Figure 3A).</w:t>
      </w:r>
    </w:p>
    <w:p>
      <w:r>
        <w:t>To systematically identify functionally relevant gene modules and reduce dimensionality, we performed weighted gene co-expression network analysis (WGCNA) [9] on the TCRUG. This analysis revealed four distinct co-expression modules characterized by unique correlation patterns: MEblue, MEbrown, MEturquoise, and MEgrey (Figure 3B). Module-trait correlation analysis demonstrated that the MEturquoise module exhibited the strongest and most statistically significant association with patient survival time (Pearson correlation coefficient = 0.42, P = 0.002), suggesting its potential prognostic relevance in TNBC (Figure 3C). The MEturquoise module comprised 61 genes with coordinated expression patterns, suggesting potential functional relationships and shared regulatory mechanisms.</w:t>
      </w:r>
    </w:p>
    <w:p>
      <w:r>
        <w:t>To rigorously identify robust prognostic candidates with clinical translational potential, we implemented a stringent three-tiered filtering strategy integrating multiple independent analytical approaches. First, differential expression analysis comparing the 61 genes within the MEturquoise module between TNBC tumors and adjacent normal tissues revealed 59 genes significantly dysregulated (fold change &gt; 1.5, adjusted P &lt; 0.05) (Figure 3D), confirming their transcriptional alteration in malignant transformation. Second, univariate Cox proportional hazards regression analysis identified 30 genes significantly associated with patient overall survival (P &lt; 0.05) (Figure 3E), demonstrating their individual prognostic capacity. Third, Kaplan-Meier survival analysis stratified by median gene expression revealed 21 genes with significant prognostic discrimination capacity (log-rank P &lt; 0.05) (Figure 3F), confirming their ability to stratify patients into distinct risk groups with differential survival outcomes. The intersection of these three independent analytical approaches identified 13 genes consistently validated across all methodologies, representing high-confidence prognostic biomarkers for TNBC (Figure 3G).</w:t>
      </w:r>
    </w:p>
    <w:p>
      <w:pPr>
        <w:pStyle w:val="Heading2"/>
      </w:pPr>
      <w:r>
        <w:t>Construction and validation of a three-gene prognostic risk model</w:t>
      </w:r>
    </w:p>
    <w:p>
      <w:pPr>
        <w:pStyle w:val="Heading3"/>
      </w:pPr>
      <w:r>
        <w:t>Application of LASSO-Cox regression analysis for feature selection</w:t>
      </w:r>
    </w:p>
    <w:p>
      <w:r>
        <w:t>To construct a parsimonious yet powerful prognostic model while minimizing overfitting and enhancing clinical applicability, we applied least absolute shrinkage and selection operator (LASSO)-Cox regression analysis [10] to the 13 candidate genes identified through differential expression, univariate Cox analysis, and survival stratification. LASSO regression employs L1 penalty regularization to perform automatic feature selection by shrinking less important coefficients toward zero, thereby identifying the most predictive variables while maintaining model parsimony.</w:t>
      </w:r>
    </w:p>
    <w:p>
      <w:r>
        <w:t>Ten-fold cross-validation was performed to determine the optimal regularization parameter (λ) that minimized partial likelihood deviance while balancing model complexity and predictive accuracy. The optimal λ value was identified at the point where model performance stabilized, corresponding to log(λ) ≈ −3.5 (Supplementary Figure S4A). At this optimal λ, three genes—GMCL1 (Germ Cell-Less Protein Like 1), KRT8 (Keratin 8), and OTUB1 (OTU Deubiquitinase, Ubiquitin Aldehyde Binding 1)—demonstrated non-zero coefficients and were selected for prognostic model construction (Supplementary Figure S4B). The risk score for each patient was calculated using the formula: Risk Score = Σ(βi × Expri), where βi represents the LASSO-Cox regression coefficient and Expri denotes the expression level of each gene.</w:t>
      </w:r>
    </w:p>
    <w:p>
      <w:pPr>
        <w:pStyle w:val="Heading3"/>
      </w:pPr>
      <w:r>
        <w:t>Multi-cohort validation demonstrates robust prognostic stratification</w:t>
      </w:r>
    </w:p>
    <w:p>
      <w:r>
        <w:t>To rigorously validate the model's predictive performance and generalizability across diverse patient populations and platforms, we employed a comprehensive multi-cohort validation strategy. The TCGA-TNBC dataset (n = 116) was randomly partitioned into training (n = 82) and internal test (n = 34) sets at a 7:3 ratio using stratified sampling. Additionally, the GSE25066 dataset (n = 508) served as an external validation cohort.</w:t>
      </w:r>
    </w:p>
    <w:p>
      <w:r>
        <w:t>Patients in each cohort were dichotomized into high-risk and low-risk groups based on the median risk score threshold. Kaplan-Meier survival analysis demonstrated that patients in the high-risk group exhibited significantly worse overall survival compared to the low-risk group across all three datasets (Figure 4A-C). In the TCGA-Train cohort, the high-risk group showed markedly reduced survival probability (log-rank P &lt; 0.0001; hazard ratio [HR] = 4.82, 95% confidence interval [CI]: 2.31–10.05). This prognostic stratification was successfully replicated in the TCGA-Test cohort (P = 0.00019; HR = 5.47, 95% CI: 1.89–15.82) and the external GSE25066 cohort (P = 0.0023; HR = 1.76, 95% CI: 1.22–2.54), confirming the model's reproducibility and generalizability.</w:t>
      </w:r>
    </w:p>
    <w:p>
      <w:pPr>
        <w:pStyle w:val="Heading3"/>
      </w:pPr>
      <w:r>
        <w:t>Risk score distribution and gene expression patterns</w:t>
      </w:r>
    </w:p>
    <w:p>
      <w:r>
        <w:t>Risk score distribution analysis revealed a continuous spectrum of risk, with mortality rates exhibiting a strong positive correlation with risk scores across all cohorts (Figure 4D-F). In the TCGA-Train cohort, 73.2% of patients in the high-risk group experienced mortality events compared to only 26.8% in the low-risk group.</w:t>
      </w:r>
    </w:p>
    <w:p>
      <w:r>
        <w:t>Heatmap analysis of the three model genes revealed distinct expression patterns. KRT8 and OTUB1 were significantly upregulated in high-risk patients, while GMCL1 exhibited higher expression in low-risk patients. KRT8, a type II intermediate filament protein, has been implicated in cancer cell invasion and metastasis [11]; OTUB1, a deubiquitinating enzyme, promotes tumor progression by stabilizing oncogenic substrates such as FOXM1 and modulating DNA damage response pathways [12]. The coordinated dysregulation of these genes in high-risk patients underscores their collective contribution to aggressive TNBC phenotypes.</w:t>
      </w:r>
    </w:p>
    <w:p>
      <w:pPr>
        <w:pStyle w:val="Heading2"/>
      </w:pPr>
      <w:r>
        <w:t>Independent prognostic value and clinical nomogram construction</w:t>
      </w:r>
    </w:p>
    <w:p>
      <w:pPr>
        <w:pStyle w:val="Heading3"/>
      </w:pPr>
      <w:r>
        <w:t>Time-dependent ROC analysis validates discriminatory capacity</w:t>
      </w:r>
    </w:p>
    <w:p>
      <w:r>
        <w:t>To assess the temporal stability and discriminatory capacity of the three-gene risk model, we performed time-dependent receiver operating characteristic (ROC) curve analysis [15] across multiple time points (Figure 5A-C). In the TCGA-Train cohort, the model demonstrated progressive improvement with area under the curve (AUC) values of 0.67, 0.69, and 0.72 for 2-year, 3-year, and 5-year survival predictions, respectively. The TCGA-Test and GSE25066 cohorts showed consistent discriminatory ability, supporting the model's generalizability.</w:t>
      </w:r>
    </w:p>
    <w:p>
      <w:pPr>
        <w:pStyle w:val="Heading3"/>
      </w:pPr>
      <w:r>
        <w:t>Risk score serves as an independent prognostic factor</w:t>
      </w:r>
    </w:p>
    <w:p>
      <w:r>
        <w:t>Univariate Cox regression analysis identified T stage (HR = 1.600, P = 0.004), N stage (HR = 1.340, P = 0.026), and risk score (HR = 6.549, P = 0.007) as significant prognostic factors (Figure 5D). Multivariate analysis confirmed the risk score as an independent predictor (HR = 8.881, 95% CI: 2.058–38.329, P = 0.003) (Figure 5E), with the hazard ratio exceeding that of traditional staging parameters.</w:t>
      </w:r>
    </w:p>
    <w:p>
      <w:pPr>
        <w:pStyle w:val="Heading3"/>
      </w:pPr>
      <w:r>
        <w:t>Development of an integrated clinical-molecular nomogram</w:t>
      </w:r>
    </w:p>
    <w:p>
      <w:r>
        <w:t>To facilitate clinical translation, we developed a comprehensive nomogram [13] integrating the three-gene risk score with clinicopathological variables including age, T stage, tumor grade, and N stage (Figure 5F). Calibration curves demonstrated excellent agreement between predicted and observed survival at 1, 3, and 5 years (Figure 5G). Comparative ROC analysis showed the nomogram achieved superior predictive accuracy (AUC = 0.719) compared to individual factors (Figure 5H). Kaplan-Meier analysis stratified by nomogram scores confirmed robust prognostic stratification (log-rank P = 0.00034) (Figure 5I), with 5-year survival rates of approximately 30% versus 70% for high-risk and low-risk groups,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