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Methods</w:t>
      </w:r>
    </w:p>
    <w:p>
      <w:pPr>
        <w:pStyle w:val="Heading2"/>
      </w:pPr>
      <w:r>
        <w:t>Data Collection and Preprocessing</w:t>
      </w:r>
    </w:p>
    <w:p>
      <w:r>
        <w:t>Single-cell RNA sequencing (scRNA-seq) datasets were obtained from the Gene Expression Omnibus (GEO, https://www.ncbi.nlm.nih.gov/geo/) database [1], including GSE199515, GSE176078, and GSE161529. These datasets comprised 3 normal breast tissue samples and 16 TNBC tumor samples, totaling 84,837 high-quality cells after quality control and batch effect correction. Bulk transcriptomic data and clinical information for TNBC patients were downloaded from multiple sources: (1) The Cancer Genome Atlas (TCGA) breast cancer cohort was accessed via the UCSC Xena browser (https://xenabrowser.net/) [2], from which 116 TNBC patients with complete gene expression profiles and survival information were selected and randomly divided into training (n=82) and internal test (n=34) cohorts at a 7:3 ratio using stratified sampling; (2) GSE25066 dataset containing microarray data and clinical information from 508 TNBC samples was retrieved from GEO for external validation; (3) Additional validation was performed using the Molecular Taxonomy of Breast Cancer International Consortium (METABRIC) dataset obtained from the cBioPortal database (http://www.cbioportal.org/) [3]. After excluding non-primary breast cancer cases or patients lacking complete gene expression profiles, 298 primary TNBC patients from METABRIC were included. A curated list of 807 ubiquitination-related genes was obtained from a previous study [4].</w:t>
      </w:r>
    </w:p>
    <w:p>
      <w:pPr>
        <w:pStyle w:val="Heading2"/>
      </w:pPr>
      <w:r>
        <w:t>Single-Cell RNA Sequencing Data Processing</w:t>
      </w:r>
    </w:p>
    <w:p>
      <w:r>
        <w:t>scRNA-seq data processing and analysis were performed using the Seurat package (version 4.3.0) in R (version 4.2.0) [5, 6]. Raw count matrices were converted to Seurat objects using the CreateSeuratObject function with minimum feature count of 200 genes per cell and minimum cell count of 3 cells per feature. Quality control steps included: (1) Excluding low-quality cells expressing fewer than 200 genes; (2) Removing potential doublets using the DoubletFinder package (version 2.0.3) with expected doublet rate set to 0.075 [7]; (3) Filtering cells expressing more than 6,000 genes or with mitochondrial gene content exceeding 25% of total counts; (4) Normalizing gene expression matrices using the LogNormalize method with a scale factor of 10,000; (5) Identifying the 2,000 most highly variable features using variance-stabilizing transformation (vst) method; (6) Integrating individual datasets using the Harmony algorithm [8] to eliminate batch effects while preserving biological variation.</w:t>
      </w:r>
    </w:p>
    <w:p>
      <w:pPr>
        <w:pStyle w:val="Heading2"/>
      </w:pPr>
      <w:r>
        <w:t>Dimensionality Reduction, Clustering, and Cell Type Annotation</w:t>
      </w:r>
    </w:p>
    <w:p>
      <w:r>
        <w:t>Gene expression data were scaled using the ScaleData function, regressing out mitochondrial percentage. Principal component analysis (PCA) was performed using the RunPCA function, and the first 50 principal components were retained based on elbow plot and jackstraw analysis. Unsupervised clustering was performed using the FindNeighbors and FindClusters functions with resolution parameter set to 0.1, yielding 11 distinct cell clusters. Dimensionality reduction for visualization was performed using Uniform Manifold Approximation and Projection (UMAP) [9] through the RunUMAP function. Cell type annotation was conducted through: (1) Automated preliminary annotation using the SingleR package [10] with Human Primary Cell Atlas reference; (2) Manual validation based on canonical marker genes identified by FindAllMarkers function; (3) Cross-referencing with the CellMarker 2.0 database (http://bio-bigdata.hrbmu.edu.cn/CellMarker/) [11]. Representative marker genes included: epithelial cells (EPCAM, KRT18), T cells (CD3D, CD3E), proliferating epithelial cells (MKI67, TOP2A), macrophages (CD68, CD163), fibroblasts (COL1A1, DCN), basal cells (KRT14, KRT5), endothelial cells (PECAM1, VWF), luminal epithelial cells (KRT8, KRT19), plasma cells (JCHAIN, MZB1), pericytes (RGS5, ACTA2), and B cells (CD79A, MS4A1).</w:t>
      </w:r>
    </w:p>
    <w:p>
      <w:pPr>
        <w:pStyle w:val="Heading2"/>
      </w:pPr>
      <w:r>
        <w:t>Differential Expression Analysis</w:t>
      </w:r>
    </w:p>
    <w:p>
      <w:r>
        <w:t>Differentially expressed genes (DEGs) between TNBC and normal breast tissue across individual cell types were identified using the FindMarkers function in Seurat. For each cell type, genes were tested using the Wilcoxon rank-sum test with the following criteria: minimum percentage of cells expressing the gene in either group ≥ 25%, log2 fold-change threshold ≥ 0.25, and adjusted P value &lt; 0.05 using Bonferroni correction. Gene Ontology (GO) enrichment analysis was performed using the clusterProfiler package (version 4.6.0) [12] with adjusted P value &lt; 0.01 to identify enriched biological processes, cellular components, and molecular functions.</w:t>
      </w:r>
    </w:p>
    <w:p>
      <w:pPr>
        <w:pStyle w:val="Heading2"/>
      </w:pPr>
      <w:r>
        <w:t>Cell-Cell Communication Network Analysis</w:t>
      </w:r>
    </w:p>
    <w:p>
      <w:r>
        <w:t>Cell-cell communication networks were analyzed using CellChat (version 1.6.0) [13]. Seurat objects were converted to CellChat format using the createCellChat function. The analysis included: (1) Identifying overexpressed ligands and receptors using identifyOverExpressedGenes and identifyOverExpressedInteractions functions; (2) Projecting gene expression data onto protein-protein interaction networks; (3) Computing communication probabilities using computeCommunProb function; (4) Inferring signaling pathways using computeCommunProbPathway function; (5) Aggregating networks using aggregateNet function. Separate CellChat objects were created for normal and TNBC tissues and merged using mergeCellChat function for comparison. Statistical significance was assessed using permutation tests with 100 iterations.</w:t>
      </w:r>
    </w:p>
    <w:p>
      <w:pPr>
        <w:pStyle w:val="Heading2"/>
      </w:pPr>
      <w:r>
        <w:t>Identification of T Cell-Related Ubiquitination Genes</w:t>
      </w:r>
    </w:p>
    <w:p>
      <w:r>
        <w:t>To identify T cell-related ubiquitination genes (TCRUG) with prognostic potential, we implemented a multi-step strategy. First, DEGs in T cells between TNBC and normal samples were extracted from single-cell analysis results. Second, these T cell DEGs were intersected with the curated database of 807 ubiquitination-related genes [4], generating a focused set of 177 TCRUG. Third, expression matrices for these 177 genes were extracted from bulk transcriptomic datasets for subsequent network analysis and prognostic model construction.</w:t>
      </w:r>
    </w:p>
    <w:p>
      <w:pPr>
        <w:pStyle w:val="Heading2"/>
      </w:pPr>
      <w:r>
        <w:t>Weighted Gene Co-expression Network Analysis</w:t>
      </w:r>
    </w:p>
    <w:p>
      <w:r>
        <w:t>Weighted gene co-expression network analysis (WGCNA) was performed using the WGCNA package (version 1.71) [14] on the 177 TCRUG using expression data from GSE58812. The workflow included: (1) Sample quality assessment and outlier detection using hierarchical clustering; (2) Determining optimal soft-thresholding power (β=6) to achieve scale-free topology fit index (R²) &gt; 0.85; (3) Calculating adjacency matrix and transforming to topological overlap matrix (TOM); (4) Hierarchical clustering and module identification using dynamic tree cut algorithm with minimum module size of 30 genes and deepSplit parameter of 2; (5) Calculating module eigengenes (MEs); (6) Correlating MEs with overall survival time using Pearson correlation. Modules with P &lt; 0.05 were selected for further analysis.</w:t>
      </w:r>
    </w:p>
    <w:p>
      <w:pPr>
        <w:pStyle w:val="Heading2"/>
      </w:pPr>
      <w:r>
        <w:t>Construction and Validation of Prognostic Risk Model</w:t>
      </w:r>
    </w:p>
    <w:p>
      <w:r>
        <w:t>A prognostic model was developed through a three-tiered filtering strategy. First, genes from the survival-associated WGCNA module (MEturquoise, 61 genes) were subjected to differential expression analysis between tumor and normal tissues using datasets GSE6522 and GSE6594 (P &lt; 0.05), identifying 59 dysregulated genes. Second, univariate Cox regression analysis [15] identified 30 genes significantly associated with survival (P &lt; 0.05). Third, Kaplan-Meier survival analysis using median expression cutoffs identified 21 genes with significant prognostic discrimination (log-rank P &lt; 0.05). The intersection yielded 13 high-confidence prognostic genes.</w:t>
      </w:r>
    </w:p>
    <w:p>
      <w:r>
        <w:t>LASSO penalized Cox regression was performed on the 13 candidate genes using the glmnet package (version 4.1-6) [16]. The optimal regularization parameter (λ) was determined by 10-fold cross-validation. This selected three genes—GMCL1, KRT8, and OTUB1—for the final model. Risk score was calculated as: Risk Score = Σ(βᵢ × Exprᵢ), where βᵢ is the LASSO-Cox coefficient and Exprᵢ is the normalized expression level. Patients were divided into high-risk and low-risk groups using the median risk score as cutoff.</w:t>
      </w:r>
    </w:p>
    <w:p>
      <w:r>
        <w:t>Model validation was conducted across multiple cohorts. The TCGA-TNBC cohort (n=116) was randomly divided into training (n=82) and internal test (n=34) sets at a 7:3 ratio using stratified sampling. External validation used GSE25066 (n=508). For each cohort, Kaplan-Meier survival curves were compared using log-rank tests. Hazard ratios (HR) and 95% confidence intervals (CI) were calculated using Cox regression. Time-dependent ROC curve analysis was performed using the timeROC package [17] to evaluate discriminatory capacity at 2-year, 3-year, and 5-year survival timepoints, with area under the curve (AUC) values calculated.</w:t>
      </w:r>
    </w:p>
    <w:p>
      <w:pPr>
        <w:pStyle w:val="Heading2"/>
      </w:pPr>
      <w:r>
        <w:t>Assessment of Independent Prognostic Value</w:t>
      </w:r>
    </w:p>
    <w:p>
      <w:r>
        <w:t>Univariate and multivariate Cox regression analyses were conducted to assess independent prognostic value. Clinical variables included age at diagnosis (continuous), tumor stage (T1-T4), lymph node stage (N0-N3), tumor grade (Grade 1-3), and the molecular risk score (continuous). Variables with P &lt; 0.1 in univariate analysis were incorporated into multivariate Cox regression. Hazard ratios, 95% confidence intervals, and P values were calculated. The proportional hazards assumption was verified using Schoenfeld residuals test.</w:t>
      </w:r>
    </w:p>
    <w:p>
      <w:pPr>
        <w:pStyle w:val="Heading2"/>
      </w:pPr>
      <w:r>
        <w:t>Development and Validation of Clinical Nomogram</w:t>
      </w:r>
    </w:p>
    <w:p>
      <w:r>
        <w:t>An integrated nomogram was developed using the rms package (version 6.3-0) [18], incorporating the three-gene risk score and clinicopathological variables (age, T stage, N stage, tumor grade). Each variable was assigned points based on its regression coefficient, with total scores corresponding to predicted survival probabilities at 1, 3, and 5 years. Calibration was assessed by comparing predicted versus observed survival probabilities using calibration plots with 1,000 bootstrap resamples. Discriminatory performance was evaluated by concordance index (C-index) and time-dependent AUC values. Decision curve analysis assessed clinical utility across different threshold probabilities.</w:t>
      </w:r>
    </w:p>
    <w:p>
      <w:pPr>
        <w:pStyle w:val="Heading2"/>
      </w:pPr>
      <w:r>
        <w:t>Statistical Analysis</w:t>
      </w:r>
    </w:p>
    <w:p>
      <w:r>
        <w:t>All statistical analyses were performed using R software (version 4.2.0) [19]. Continuous variables were compared using Wilcoxon rank-sum test for non-normally distributed data or Student's t-test for normally distributed data after Shapiro-Wilk test. Categorical variables were compared using Chi-square test or Fisher's exact test as appropriate. Survival curves were generated using Kaplan-Meier method and compared using log-rank test. Cox proportional hazards regression [15] was used to evaluate prognostic factors and calculate hazard ratios with 95% confidence intervals. Time-dependent ROC curves were constructed using the timeROC package [17]. Nomogram construction and validation were performed using the rms package [18]. Multiple testing correction was applied using Bonferroni method or false discovery rate (FDR) approach where appropriate. Data visualization was performed using ggplot2 (version 3.4.0) [20], ComplexHeatmap (version 2.14.0) [21], and other R graphics packages. All tests were two-sided, and P &lt; 0.05 was considered statistically significant unless otherwise specified.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