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Methods</w:t>
      </w:r>
    </w:p>
    <w:p>
      <w:pPr>
        <w:pStyle w:val="Heading2"/>
      </w:pPr>
      <w:r>
        <w:t>Data Collection and Preprocessing</w:t>
      </w:r>
    </w:p>
    <w:p>
      <w:r>
        <w:t>Single-cell RNA sequencing (scRNA-seq) datasets were obtained from the Gene Expression Omnibus (GEO, https://www.ncbi.nlm.nih.gov/geo/) database [1], including GSE199515, GSE176078, and GSE161529. These datasets comprised 3 normal breast tissue samples and 16 triple-negative breast cancer (TNBC) tumor samples, totaling 84,837 high-quality cells after rigorous quality control and batch effect correction. Bulk transcriptomic data and corresponding clinical information for TNBC patients were retrieved from multiple public repositories: (1) The Cancer Genome Atlas (TCGA) breast cancer cohort was accessed via the UCSC Xena browser (https://xenabrowser.net/) [2], from which 116 TNBC patients with complete gene expression profiles and survival data were identified and randomly divided into training (n=82) and internal test (n=34) cohorts using a 7:3 ratio through stratified sampling to maintain balanced outcome distributions; (2) The GSE25066 dataset, containing microarray-based expression data and clinical annotations from 508 TNBC samples, was retrieved from GEO for independent external validation; (3) Additional validation was performed using the Molecular Taxonomy of Breast Cancer International Consortium (METABRIC) dataset obtained from the cBioPortal database (http://www.cbioportal.org/) [3]. Following exclusion of non-primary breast cancer cases and patients lacking complete gene expression profiles, 298 primary TNBC patients from METABRIC were included in the validation cohort. A curated list of 807 ubiquitination-related genes was obtained from a comprehensive literature-based study [4].</w:t>
      </w:r>
    </w:p>
    <w:p>
      <w:pPr>
        <w:pStyle w:val="Heading2"/>
      </w:pPr>
      <w:r>
        <w:t>Single-Cell RNA Sequencing Data Processing</w:t>
      </w:r>
    </w:p>
    <w:p>
      <w:r>
        <w:t>All scRNA-seq data processing and downstream analyses were performed using the Seurat package (version 4.3.0) implemented in R (version 4.2.0) [5, 6]. Raw count matrices were converted to Seurat objects using the CreateSeuratObject function with the following initial filtering parameters: minimum feature count of 200 genes per cell and minimum cell count of 3 cells per feature to ensure data quality. Quality control and preprocessing comprised multiple sequential steps: (1) Low-quality cells expressing fewer than 200 genes were excluded to remove empty droplets and cellular debris; (2) Potential doublets were systematically identified and removed using the DoubletFinder package (version 2.0.3) with the expected doublet formation rate set to 0.075 (7.5%) according to 10x Genomics technical specifications [7]; (3) Cells expressing more than 6,000 genes or exhibiting mitochondrial gene content exceeding 25% of total transcript counts were filtered out to eliminate potential multiplets and dead or dying cells; (4) Gene expression matrices were normalized using the LogNormalize method implemented in the NormalizeData function with a scaling factor of 10,000 to account for differences in sequencing depth across cells; (5) The 2,000 most highly variable features were identified using the variance-stabilizing transformation (vst) method in the FindVariableFeatures function to capture biological variation while reducing technical noise; (6) To eliminate technical batch effects while preserving genuine biological variation across datasets, individual datasets were integrated using the Harmony algorithm [8], which has been demonstrated to perform robustly and efficiently across diverse single-cell experimental platforms and biological contexts.</w:t>
      </w:r>
    </w:p>
    <w:p>
      <w:pPr>
        <w:pStyle w:val="Heading2"/>
      </w:pPr>
      <w:r>
        <w:t>Dimensionality Reduction, Clustering, and Cell Type Annotation</w:t>
      </w:r>
    </w:p>
    <w:p>
      <w:r>
        <w:t>Following successful integration, gene expression data were scaled using the ScaleData function to generate z-scores for each variable gene, with regression to remove unwanted sources of variation including mitochondrial gene percentage. Principal component analysis (PCA) was performed on the scaled data using the RunPCA function, and the optimal number of principal components (PCs) was determined through systematic examination of elbow plots and jackstraw resampling analysis. Based on these comprehensive evaluations, the first 50 principal components were retained for subsequent downstream analyses to capture the majority of biological variation. Unsupervised graph-based clustering was performed using the FindNeighbors and FindClusters functions with the resolution parameter set to 0.1 to identify major cell types while avoiding over-fragmentation, ultimately yielding 11 distinct cell clusters. For visualization purposes, dimensionality reduction was performed using Uniform Manifold Approximation and Projection (UMAP) [9] through the RunUMAP function, which projects high-dimensional data into two-dimensional space while preserving both local and global structure. Cell type annotation was conducted through a rigorous multi-step approach: (1) Automated preliminary annotation was performed using the SingleR package [10] with reference datasets from the Human Primary Cell Atlas to provide initial cell type assignments; (2) Manual curation and validation were conducted based on canonical marker genes identified through the FindAllMarkers function using Wilcoxon rank-sum tests; (3) Cross-referencing with established markers from extensive literature review and the CellMarker 2.0 database (http://bio-bigdata.hrbmu.edu.cn/CellMarker/) [11] to ensure annotation accuracy. Representative marker genes used for definitive annotation included: epithelial cells (EPCAM, KRT18), T cells (CD3D, CD3E), proliferating epithelial cells (MKI67, TOP2A), macrophages (CD68, CD163), fibroblasts (COL1A1, DCN), basal cells (KRT14, KRT5), endothelial cells (PECAM1, VWF), luminal epithelial cells (KRT8, KRT19), plasma cells (JCHAIN, MZB1), pericytes (RGS5, ACTA2), and B cells (CD79A, MS4A1).</w:t>
      </w:r>
    </w:p>
    <w:p>
      <w:pPr>
        <w:pStyle w:val="Heading2"/>
      </w:pPr>
      <w:r>
        <w:t>Differential Expression Analysis</w:t>
      </w:r>
    </w:p>
    <w:p>
      <w:r>
        <w:t>To comprehensively characterize transcriptional differences between TNBC tumor tissues and adjacent normal breast tissue across individual cell types, differentially expressed genes (DEGs) were identified using the FindMarkers function implemented in Seurat. For each annotated cell type, genes showing differential expression between tumor and normal samples were identified using the non-parametric Wilcoxon rank-sum test with the following stringent statistical criteria: minimum percentage of cells expressing the gene in either group ≥ 25%, absolute log2 fold-change threshold ≥ 0.25, and adjusted P value &lt; 0.05 using Bonferroni correction for multiple hypothesis testing. To identify distinctive markers specific to each cell cluster for robust annotation purposes, the FindAllMarkers function was employed with identical statistical parameters. Functional enrichment analysis based on Gene Ontology (GO) terms was performed using the clusterProfiler package (version 4.6.0) [12] with a significance threshold of adjusted P value &lt; 0.01 to identify biological processes, cellular components, and molecular functions significantly enriched in the identified DEGs, thereby providing biological context to the observed transcriptional changes.</w:t>
      </w:r>
    </w:p>
    <w:p>
      <w:pPr>
        <w:pStyle w:val="Heading2"/>
      </w:pPr>
      <w:r>
        <w:t>Cell-Cell Communication Network Analysis</w:t>
      </w:r>
    </w:p>
    <w:p>
      <w:r>
        <w:t>To systematically characterize intercellular communication networks within the TNBC tumor microenvironment, we employed CellChat (version 1.6.0) [13], a state-of-the-art computational framework that quantitatively infers cell-cell communication based on expression patterns of known ligand-receptor pairs and their associated cofactors. Seurat objects containing normalized expression data and validated cell type annotations were converted to the CellChat-compatible format using the createCellChat function. The comprehensive analysis workflow comprised the following sequential steps: (1) Preprocessing of expression data using identifyOverExpressedGenes and identifyOverExpressedInteractions functions to identify significantly overexpressed ligands and receptors in each cell type compared to the overall population; (2) Projection of gene expression data onto the protein-protein interaction (PPI) network using the projectData function to account for potential cofactors and regulatory proteins; (3) Computation of communication probability between all cell type pairs using the computeCommunProb function with default mass-action-based modeling parameters; (4) Inference of cellular communication networks at the signaling pathway level using the computeCommunProbPathway function to aggregate individual ligand-receptor interactions into biologically meaningful pathways; (5) Calculation of aggregated cell-cell communication networks using the aggregateNet function to quantify overall interaction strength between cell populations. To systematically compare communication patterns between normal breast tissue and TNBC tumor microenvironments, separate CellChat objects were created for each condition and subsequently merged using the mergeCellChat function. Differential patterns in signaling pathway activity, interaction strength, and information flow were visualized using built-in visualization functions including netVisual_circle for circular network plots, netVisual_heatmap for heatmap representations, and rankNet for ranking pathway activities. Statistical significance of differential interactions was rigorously assessed using permutation tests with 100 iterations to establish empirical null distributions.</w:t>
      </w:r>
    </w:p>
    <w:p>
      <w:pPr>
        <w:pStyle w:val="Heading2"/>
      </w:pPr>
      <w:r>
        <w:t>Identification of T Cell-Related Ubiquitination Genes</w:t>
      </w:r>
    </w:p>
    <w:p>
      <w:r>
        <w:t>To identify T cell-related ubiquitination genes (TCRUG) with prognostic potential in TNBC, we implemented a systematic multi-step integration strategy. First, differentially expressed genes (DEGs) in T cells between TNBC and normal samples were extracted from the single-cell analysis results based on the statistical criteria described above. Second, these T cell-specific DEGs were intersected with the curated database of 807 ubiquitination-related genes [4] to generate a focused set of 177 candidate TCRUG that are both T cell-relevant and involved in ubiquitination processes. Third, expression matrices for these 177 genes were extracted from bulk transcriptomic datasets for subsequent weighted gene co-expression network analysis and prognostic model construction, thereby bridging single-cell insights with bulk tumor profiling data.</w:t>
      </w:r>
    </w:p>
    <w:p>
      <w:pPr>
        <w:pStyle w:val="Heading2"/>
      </w:pPr>
      <w:r>
        <w:t>Weighted Gene Co-expression Network Analysis</w:t>
      </w:r>
    </w:p>
    <w:p>
      <w:r>
        <w:t>To identify functionally coordinated gene modules within the 177 candidate TCRUG, weighted gene co-expression network analysis (WGCNA) was performed using the WGCNA package (version 1.71) in R [14]. Expression data from the GSE58812 dataset were utilized as the discovery cohort. The comprehensive analysis workflow included the following steps: (1) Assessment of sample quality and outlier detection using hierarchical clustering with the hclust function to ensure data integrity; (2) Construction of a scale-free topology network by determining the optimal soft-thresholding power (β) through systematic evaluation of values ranging from 1 to 20, with β=6 selected to achieve a scale-free topology fit index (R²) &gt; 0.85, consistent with the scale-free property of biological networks; (3) Calculation of the adjacency matrix using the adjacency function with the selected soft-thresholding power to quantify co-expression relationships; (4) Transformation of the adjacency matrix to a topological overlap matrix (TOM) to measure network interconnectedness and reduce noise from spurious correlations; (5) Hierarchical clustering of genes based on TOM-based dissimilarity measures; (6) Module identification using the dynamic tree cut algorithm with minimum module size set to 30 genes and deepSplit parameter set to 2 to identify robust co-expression modules; (7) Calculation of module eigengenes (MEs) representing the first principal component of expression patterns for each identified module, thereby summarizing module behavior; (8) Correlation analysis between MEs and clinical phenotypes, particularly overall survival time, using Pearson correlation coefficients with statistical significance determined by Student asymptotic P values. Gene modules demonstrating significant correlation with survival outcomes (P &lt; 0.05) were selected for further prognostic analysis to identify clinically relevant co-expression patterns.</w:t>
      </w:r>
    </w:p>
    <w:p>
      <w:pPr>
        <w:pStyle w:val="Heading2"/>
      </w:pPr>
      <w:r>
        <w:t>Construction and Validation of Prognostic Risk Model</w:t>
      </w:r>
    </w:p>
    <w:p>
      <w:r>
        <w:t>A robust prognostic model was developed through a rigorous three-tiered filtering strategy to ensure both biological relevance and clinical significance. First, genes from the survival-associated WGCNA module (MEturquoise, containing 61 genes) were subjected to differential expression analysis between tumor and adjacent normal tissues using the independent datasets GSE6522 and GSE6594, with the significance threshold set at P &lt; 0.05, successfully identifying 59 significantly dysregulated genes. Second, univariate Cox proportional hazards regression analysis [15] was performed on these 59 genes using the coxph function from the survival package, with overall survival as the primary outcome variable, identifying 30 genes significantly associated with patient survival (P &lt; 0.05). Third, Kaplan-Meier survival analysis was conducted for each of the 30 candidate genes by stratifying patients into high and low expression groups based on median expression values, with survival differences rigorously evaluated using the log-rank test, ultimately identifying 21 genes demonstrating significant prognostic discrimination (P &lt; 0.05). The intersection of these three independent analytical approaches yielded 13 high-confidence prognostic genes that were consistently validated across all methodological frameworks, thereby minimizing false-positive discoveries.</w:t>
      </w:r>
    </w:p>
    <w:p>
      <w:r>
        <w:t>To construct a parsimonious prognostic signature while preventing overfitting and ensuring model generalizability, least absolute shrinkage and selection operator (LASSO) penalized Cox regression analysis was performed on the 13 candidate genes using the glmnet package (version 4.1-6) [16]. The optimal regularization parameter (λ) was determined through 10-fold cross-validation by identifying the λ value that minimized partial likelihood deviance, balancing model complexity and predictive performance. This rigorous procedure selected three genes—GMCL1, KRT8, and OTUB1—with non-zero regression coefficients for inclusion in the final prognostic model. The risk score for each patient was calculated using the following formula: Risk Score = Σ(βᵢ × Exprᵢ), where βᵢ represents the LASSO-Cox regression coefficient for gene i and Exprᵢ denotes the normalized expression level of gene i. Patients were dichotomized into high-risk and low-risk groups using the median risk score as the cutoff threshold to ensure balanced group sizes for subsequent survival analyses.</w:t>
      </w:r>
    </w:p>
    <w:p>
      <w:r>
        <w:t>Comprehensive model validation was conducted across multiple independent cohorts to rigorously assess generalizability and robustness. The TCGA-TNBC cohort (n=116) served as the primary validation dataset, with patients randomly partitioned into training (n=82) and internal test (n=34) sets using a 7:3 ratio through stratified sampling based on survival status to maintain balanced clinical outcomes. External validation was performed using the GSE25066 dataset (n=508), which represents an independent patient population profiled on different microarray platforms and treated according to varying therapeutic protocols, thereby testing model robustness across technical and clinical heterogeneity. For each validation cohort, Kaplan-Meier survival curves were generated to compare overall survival between high-risk and low-risk groups, with statistical significance rigorously evaluated using the log-rank test. Hazard ratios (HR) and corresponding 95% confidence intervals (CI) were calculated using Cox proportional hazards regression to quantify risk magnitude. Time-dependent receiver operating characteristic (ROC) curve analysis was performed using the timeROC package [17] to evaluate the discriminatory capacity of the risk model at clinically relevant 2-year, 3-year, and 5-year survival timepoints, with area under the curve (AUC) values calculated as quantitative measures of predictive accuracy and model discrimination.</w:t>
      </w:r>
    </w:p>
    <w:p>
      <w:pPr>
        <w:pStyle w:val="Heading2"/>
      </w:pPr>
      <w:r>
        <w:t>Assessment of Independent Prognostic Value</w:t>
      </w:r>
    </w:p>
    <w:p>
      <w:r>
        <w:t>To determine whether the three-gene risk score provides prognostic information independent of established clinicopathological parameters, comprehensive univariate and multivariate Cox proportional hazards regression analyses were conducted. Clinical variables incorporated in the analysis comprised age at diagnosis (analyzed as a continuous variable), tumor stage (categorized as T1-T4), lymph node stage (categorized as N0-N3), tumor grade (categorized as Grade 1-3), and the molecular risk score (analyzed as a continuous variable). Univariate Cox regression was initially performed to identify individual prognostic factors associated with overall survival. Subsequently, all variables demonstrating P &lt; 0.1 in univariate analysis were incorporated into a comprehensive multivariate Cox regression model to assess independent prognostic significance while adjusting for potential confounding factors. Hazard ratios, 95% confidence intervals, and corresponding P values were calculated for each variable in both univariate and multivariate models to quantify their prognostic impact. The proportional hazards assumption, a critical requirement for valid Cox regression inference, was rigorously verified using Schoenfeld residuals tests to ensure model assumptions were satisfied.</w:t>
      </w:r>
    </w:p>
    <w:p>
      <w:pPr>
        <w:pStyle w:val="Heading2"/>
      </w:pPr>
      <w:r>
        <w:t>Development and Validation of Clinical Nomogram</w:t>
      </w:r>
    </w:p>
    <w:p>
      <w:r>
        <w:t>To facilitate clinical application and enable individualized risk assessment in routine oncological practice, an integrated predictive nomogram was developed using the rms package (version 6.3-0) in R [18]. The nomogram incorporated the three-gene risk score along with significant clinicopathological variables including age, tumor stage (T stage), lymph node stage (N stage), and tumor grade. Each predictor variable was assigned a point value proportional to its regression coefficient in the multivariate Cox model, with total accumulated point scores corresponding to predicted survival probabilities at clinically meaningful 1-year, 3-year, and 5-year post-diagnosis timepoints. The nomogram was constructed using the nomogram function, which graphically displays the relative contribution of each variable to individualized survival prediction. Model calibration, assessing agreement between predicted and observed outcomes, was rigorously evaluated by comparing nomogram-predicted versus actual observed survival probabilities at 1, 3, and 5 years using calibration plots generated by the calibrate function with 1,000 bootstrap resamples to correct for optimism and overfitting. Calibration curves display the relationship between nomogram-predicted probabilities and actual observed survival rates, with the 45-degree reference line representing perfect calibration. Discriminatory performance of the nomogram was comprehensively evaluated by calculating the concordance index (C-index) and comparing time-dependent AUC values against individual prognostic factors to demonstrate added predictive value. Decision curve analysis was performed to assess the clinical utility and net benefit of the nomogram by quantifying the clinical value across different threshold probabilities, thereby informing clinical decision-making.</w:t>
      </w:r>
    </w:p>
    <w:p>
      <w:pPr>
        <w:pStyle w:val="Heading2"/>
      </w:pPr>
      <w:r>
        <w:t>Statistical Analysis</w:t>
      </w:r>
    </w:p>
    <w:p>
      <w:r>
        <w:t>All statistical analyses were performed using R software (version 4.2.0, R Foundation for Statistical Computing, Vienna, Austria) [19]. Continuous variables were compared between two groups using the non-parametric Wilcoxon rank-sum test (Mann-Whitney U test) for non-normally distributed data or the parametric Student's t-test for normally distributed data following assessment with the Shapiro-Wilk normality test. Categorical variables were compared using the Chi-square test or Fisher's exact test as appropriate based on expected cell frequencies. Survival curves were generated using the Kaplan-Meier method and compared between groups using the log-rank test. Univariate and multivariate Cox proportional hazards regression models [15] were employed to evaluate prognostic factors and calculate hazard ratios with corresponding 95% confidence intervals. Time-dependent receiver operating characteristic (ROC) curves were constructed using the timeROC package [17] to assess model performance at specific time points. Nomogram construction, calibration, and validation were performed using the rms package [18]. Multiple testing correction was applied using the Bonferroni method or false discovery rate (FDR) approach where appropriate to control for type I error inflation. Data visualization was performed using ggplot2 (version 3.4.0) [20], ComplexHeatmap (version 2.14.0) [21], and other standard R graphics packages to generate publication-quality figures. All statistical tests were two-sided, and P values &lt; 0.05 were considered statistically significant unless otherwise explicitly specified.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